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360045</wp:posOffset>
            </wp:positionV>
            <wp:extent cx="6480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386080</wp:posOffset>
            </wp:positionV>
            <wp:extent cx="64808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 to ____________</w:t>
      </w:r>
    </w:p>
    <w:p>
      <w:pPr>
        <w:spacing w:after="0" w:line="119" w:lineRule="exact"/>
        <w:rPr>
          <w:sz w:val="24"/>
          <w:szCs w:val="24"/>
          <w:color w:val="auto"/>
        </w:rPr>
      </w:pPr>
    </w:p>
    <w:p>
      <w:pPr>
        <w:ind w:left="4240"/>
        <w:spacing w:after="0"/>
        <w:rPr>
          <w:sz w:val="20"/>
          <w:szCs w:val="20"/>
          <w:color w:val="auto"/>
        </w:rPr>
      </w:pPr>
      <w:r>
        <w:rPr>
          <w:rFonts w:ascii="Arial" w:cs="Arial" w:eastAsia="Arial" w:hAnsi="Arial"/>
          <w:sz w:val="18"/>
          <w:szCs w:val="18"/>
          <w:b w:val="1"/>
          <w:bCs w:val="1"/>
          <w:i w:val="1"/>
          <w:iCs w:val="1"/>
          <w:color w:val="auto"/>
        </w:rPr>
        <w:t>Commission File Number 1-6075</w:t>
      </w:r>
    </w:p>
    <w:p>
      <w:pPr>
        <w:spacing w:after="0" w:line="11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UNION PACIFIC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9"/>
              </w:rPr>
              <w:t>Utah</w:t>
            </w:r>
          </w:p>
        </w:tc>
        <w:tc>
          <w:tcPr>
            <w:tcW w:w="3720" w:type="dxa"/>
            <w:vAlign w:val="bottom"/>
          </w:tcPr>
          <w:p>
            <w:pPr>
              <w:jc w:val="right"/>
              <w:ind w:right="810"/>
              <w:spacing w:after="0"/>
              <w:rPr>
                <w:sz w:val="20"/>
                <w:szCs w:val="20"/>
                <w:color w:val="auto"/>
              </w:rPr>
            </w:pPr>
            <w:r>
              <w:rPr>
                <w:rFonts w:ascii="Arial" w:cs="Arial" w:eastAsia="Arial" w:hAnsi="Arial"/>
                <w:sz w:val="18"/>
                <w:szCs w:val="18"/>
                <w:b w:val="1"/>
                <w:bCs w:val="1"/>
                <w:color w:val="auto"/>
              </w:rPr>
              <w:t>13-2626465</w:t>
            </w:r>
          </w:p>
        </w:tc>
      </w:tr>
      <w:tr>
        <w:trPr>
          <w:trHeight w:val="262"/>
        </w:trPr>
        <w:tc>
          <w:tcPr>
            <w:tcW w:w="5600" w:type="dxa"/>
            <w:vAlign w:val="bottom"/>
          </w:tcPr>
          <w:p>
            <w:pPr>
              <w:jc w:val="center"/>
              <w:ind w:right="87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(I.R.S. Employer Identification No.)</w:t>
            </w:r>
          </w:p>
        </w:tc>
      </w:tr>
      <w:tr>
        <w:trPr>
          <w:trHeight w:val="426"/>
        </w:trPr>
        <w:tc>
          <w:tcPr>
            <w:tcW w:w="5600" w:type="dxa"/>
            <w:vAlign w:val="bottom"/>
          </w:tcPr>
          <w:p>
            <w:pPr>
              <w:jc w:val="center"/>
              <w:ind w:right="850"/>
              <w:spacing w:after="0"/>
              <w:rPr>
                <w:sz w:val="20"/>
                <w:szCs w:val="20"/>
                <w:color w:val="auto"/>
              </w:rPr>
            </w:pPr>
            <w:r>
              <w:rPr>
                <w:rFonts w:ascii="Arial" w:cs="Arial" w:eastAsia="Arial" w:hAnsi="Arial"/>
                <w:sz w:val="18"/>
                <w:szCs w:val="18"/>
                <w:b w:val="1"/>
                <w:bCs w:val="1"/>
                <w:color w:val="auto"/>
                <w:w w:val="99"/>
              </w:rPr>
              <w:t>1400 Douglas Street, Omaha, Nebraska</w:t>
            </w:r>
          </w:p>
        </w:tc>
        <w:tc>
          <w:tcPr>
            <w:tcW w:w="3720" w:type="dxa"/>
            <w:vAlign w:val="bottom"/>
          </w:tcPr>
          <w:p>
            <w:pPr>
              <w:jc w:val="right"/>
              <w:ind w:right="1050"/>
              <w:spacing w:after="0"/>
              <w:rPr>
                <w:sz w:val="20"/>
                <w:szCs w:val="20"/>
                <w:color w:val="auto"/>
              </w:rPr>
            </w:pPr>
            <w:r>
              <w:rPr>
                <w:rFonts w:ascii="Arial" w:cs="Arial" w:eastAsia="Arial" w:hAnsi="Arial"/>
                <w:sz w:val="18"/>
                <w:szCs w:val="18"/>
                <w:b w:val="1"/>
                <w:bCs w:val="1"/>
                <w:color w:val="auto"/>
              </w:rPr>
              <w:t>68179</w:t>
            </w:r>
          </w:p>
        </w:tc>
      </w:tr>
      <w:tr>
        <w:trPr>
          <w:trHeight w:val="262"/>
        </w:trPr>
        <w:tc>
          <w:tcPr>
            <w:tcW w:w="5600" w:type="dxa"/>
            <w:vAlign w:val="bottom"/>
          </w:tcPr>
          <w:p>
            <w:pPr>
              <w:jc w:val="center"/>
              <w:ind w:right="850"/>
              <w:spacing w:after="0"/>
              <w:rPr>
                <w:sz w:val="20"/>
                <w:szCs w:val="20"/>
                <w:color w:val="auto"/>
              </w:rPr>
            </w:pPr>
            <w:r>
              <w:rPr>
                <w:rFonts w:ascii="Arial" w:cs="Arial" w:eastAsia="Arial" w:hAnsi="Arial"/>
                <w:sz w:val="18"/>
                <w:szCs w:val="18"/>
                <w:color w:val="auto"/>
                <w:w w:val="99"/>
              </w:rPr>
              <w:t>(Address of principal executive offices)</w:t>
            </w:r>
          </w:p>
        </w:tc>
        <w:tc>
          <w:tcPr>
            <w:tcW w:w="3720" w:type="dxa"/>
            <w:vAlign w:val="bottom"/>
          </w:tcPr>
          <w:p>
            <w:pPr>
              <w:jc w:val="center"/>
              <w:ind w:left="850"/>
              <w:spacing w:after="0"/>
              <w:rPr>
                <w:sz w:val="20"/>
                <w:szCs w:val="20"/>
                <w:color w:val="auto"/>
              </w:rPr>
            </w:pPr>
            <w:r>
              <w:rPr>
                <w:rFonts w:ascii="Arial" w:cs="Arial" w:eastAsia="Arial" w:hAnsi="Arial"/>
                <w:sz w:val="18"/>
                <w:szCs w:val="18"/>
                <w:color w:val="auto"/>
              </w:rPr>
              <w:t>(Zip Code)</w:t>
            </w:r>
          </w:p>
        </w:tc>
      </w:tr>
    </w:tbl>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(402) 544-5000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0"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Name of each exchange on which registered</w:t>
            </w:r>
          </w:p>
        </w:tc>
      </w:tr>
      <w:tr>
        <w:trPr>
          <w:trHeight w:val="295"/>
        </w:trPr>
        <w:tc>
          <w:tcPr>
            <w:tcW w:w="4280" w:type="dxa"/>
            <w:vAlign w:val="bottom"/>
            <w:gridSpan w:val="3"/>
          </w:tcPr>
          <w:p>
            <w:pPr>
              <w:jc w:val="center"/>
              <w:ind w:right="800"/>
              <w:spacing w:after="0"/>
              <w:rPr>
                <w:sz w:val="20"/>
                <w:szCs w:val="20"/>
                <w:color w:val="auto"/>
              </w:rPr>
            </w:pPr>
            <w:r>
              <w:rPr>
                <w:rFonts w:ascii="Arial" w:cs="Arial" w:eastAsia="Arial" w:hAnsi="Arial"/>
                <w:sz w:val="18"/>
                <w:szCs w:val="18"/>
                <w:color w:val="auto"/>
                <w:w w:val="99"/>
              </w:rPr>
              <w:t>Common Stock (Par Value $2.50 per share)</w:t>
            </w:r>
          </w:p>
        </w:tc>
        <w:tc>
          <w:tcPr>
            <w:tcW w:w="17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UNP</w:t>
            </w:r>
          </w:p>
        </w:tc>
        <w:tc>
          <w:tcPr>
            <w:tcW w:w="5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6"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50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6">
            <w:col w:w="2620" w:space="720"/>
            <w:col w:w="160" w:space="220"/>
            <w:col w:w="2020" w:space="720"/>
            <w:col w:w="160" w:space="260"/>
            <w:col w:w="1740" w:space="580"/>
            <w:col w:w="2040"/>
          </w:cols>
          <w:pgMar w:left="320" w:top="229" w:right="339" w:bottom="1440" w:gutter="0" w:footer="0" w:header="0"/>
          <w:type w:val="continuous"/>
        </w:sectPr>
      </w:pPr>
    </w:p>
    <w:p>
      <w:pPr>
        <w:spacing w:after="0" w:line="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2" w:lineRule="exact"/>
        <w:rPr>
          <w:sz w:val="24"/>
          <w:szCs w:val="24"/>
          <w:color w:val="auto"/>
        </w:rPr>
      </w:pPr>
    </w:p>
    <w:p>
      <w:pPr>
        <w:sectPr>
          <w:pgSz w:w="11900" w:h="16838" w:orient="portrait"/>
          <w:cols w:equalWidth="0" w:num="4">
            <w:col w:w="2760" w:space="580"/>
            <w:col w:w="160" w:space="220"/>
            <w:col w:w="2220" w:space="520"/>
            <w:col w:w="4780"/>
          </w:cols>
          <w:pgMar w:left="320" w:top="229" w:right="339" w:bottom="1440" w:gutter="0" w:footer="0" w:header="0"/>
          <w:type w:val="continuous"/>
        </w:sectPr>
      </w:pPr>
    </w:p>
    <w:p>
      <w:pPr>
        <w:spacing w:after="0" w:line="5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As of July 18, 2025, there were 593,043,666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360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6360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8"/>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0" w:type="dxa"/>
            <w:vAlign w:val="bottom"/>
            <w:gridSpan w:val="19"/>
          </w:tcPr>
          <w:p>
            <w:pPr>
              <w:jc w:val="center"/>
              <w:ind w:right="3640"/>
              <w:spacing w:after="0"/>
              <w:rPr>
                <w:sz w:val="20"/>
                <w:szCs w:val="20"/>
                <w:color w:val="auto"/>
              </w:rPr>
            </w:pPr>
            <w:r>
              <w:rPr>
                <w:rFonts w:ascii="Arial" w:cs="Arial" w:eastAsia="Arial" w:hAnsi="Arial"/>
                <w:sz w:val="18"/>
                <w:szCs w:val="18"/>
                <w:b w:val="1"/>
                <w:bCs w:val="1"/>
                <w:color w:val="auto"/>
                <w:w w:val="98"/>
              </w:rPr>
              <w:t>UNION PACIFIC CORPORATION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60" w:type="dxa"/>
            <w:vAlign w:val="bottom"/>
            <w:gridSpan w:val="18"/>
          </w:tcPr>
          <w:p>
            <w:pPr>
              <w:jc w:val="center"/>
              <w:ind w:right="3780"/>
              <w:spacing w:after="0"/>
              <w:rPr>
                <w:sz w:val="20"/>
                <w:szCs w:val="20"/>
                <w:color w:val="auto"/>
              </w:rPr>
            </w:pPr>
            <w:r>
              <w:rPr>
                <w:rFonts w:ascii="Arial" w:cs="Arial" w:eastAsia="Arial" w:hAnsi="Arial"/>
                <w:sz w:val="18"/>
                <w:szCs w:val="18"/>
                <w:b w:val="1"/>
                <w:bCs w:val="1"/>
                <w:color w:val="auto"/>
                <w:w w:val="99"/>
              </w:rPr>
              <w:t>AND SUBSIDIARY COMPANIES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Borders>
              <w:bottom w:val="single" w:sz="8" w:color="0000FF"/>
            </w:tcBorders>
            <w:gridSpan w:val="12"/>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64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820" w:type="dxa"/>
            <w:vAlign w:val="bottom"/>
            <w:tcBorders>
              <w:bottom w:val="single" w:sz="8" w:color="0000FF"/>
            </w:tcBorders>
            <w:gridSpan w:val="13"/>
          </w:tcPr>
          <w:p>
            <w:pPr>
              <w:ind w:left="20"/>
              <w:spacing w:after="0"/>
              <w:rPr>
                <w:sz w:val="20"/>
                <w:szCs w:val="20"/>
                <w:color w:val="auto"/>
              </w:rPr>
            </w:pPr>
            <w:r>
              <w:rPr>
                <w:rFonts w:ascii="Arial" w:cs="Arial" w:eastAsia="Arial" w:hAnsi="Arial"/>
                <w:sz w:val="18"/>
                <w:szCs w:val="18"/>
                <w:color w:val="0000FF"/>
                <w:w w:val="99"/>
              </w:rPr>
              <w:t>Condensed Consolidated Financial Statements:</w:t>
            </w:r>
          </w:p>
        </w:tc>
        <w:tc>
          <w:tcPr>
            <w:tcW w:w="604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8"/>
              </w:rPr>
              <w:t>CONDENSED CONSOLIDATED STATEMENTS OF INCOME (Unaudited)</w:t>
            </w:r>
          </w:p>
        </w:tc>
        <w:tc>
          <w:tcPr>
            <w:tcW w:w="3780" w:type="dxa"/>
            <w:vAlign w:val="bottom"/>
            <w:gridSpan w:val="8"/>
          </w:tcPr>
          <w:p>
            <w:pPr>
              <w:spacing w:after="0"/>
              <w:rPr>
                <w:sz w:val="21"/>
                <w:szCs w:val="21"/>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gridSpan w:val="14"/>
          </w:tcPr>
          <w:p>
            <w:pPr>
              <w:spacing w:after="0" w:line="196" w:lineRule="exact"/>
              <w:rPr>
                <w:sz w:val="20"/>
                <w:szCs w:val="20"/>
                <w:color w:val="auto"/>
              </w:rPr>
            </w:pPr>
            <w:r>
              <w:rPr>
                <w:rFonts w:ascii="Arial" w:cs="Arial" w:eastAsia="Arial" w:hAnsi="Arial"/>
                <w:sz w:val="18"/>
                <w:szCs w:val="18"/>
                <w:color w:val="0000FF"/>
                <w:w w:val="99"/>
              </w:rPr>
              <w:t>For the three months ended June 30, 2025 and 2024</w:t>
            </w:r>
          </w:p>
        </w:tc>
        <w:tc>
          <w:tcPr>
            <w:tcW w:w="5160" w:type="dxa"/>
            <w:vAlign w:val="bottom"/>
            <w:gridSpan w:val="13"/>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220" w:type="dxa"/>
            <w:vAlign w:val="bottom"/>
            <w:tcBorders>
              <w:top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9"/>
              </w:rPr>
              <w:t>For the three months ended June 30, 2025 and 2024</w:t>
            </w:r>
          </w:p>
        </w:tc>
        <w:tc>
          <w:tcPr>
            <w:tcW w:w="3000" w:type="dxa"/>
            <w:vAlign w:val="bottom"/>
            <w:tcBorders>
              <w:top w:val="single" w:sz="8" w:color="0000FF"/>
            </w:tcBorders>
            <w:gridSpan w:val="11"/>
          </w:tcPr>
          <w:p>
            <w:pPr>
              <w:spacing w:after="0"/>
              <w:rPr>
                <w:sz w:val="17"/>
                <w:szCs w:val="17"/>
                <w:color w:val="auto"/>
              </w:rPr>
            </w:pPr>
          </w:p>
        </w:tc>
        <w:tc>
          <w:tcPr>
            <w:tcW w:w="2160" w:type="dxa"/>
            <w:vAlign w:val="bottom"/>
            <w:gridSpan w:val="2"/>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8"/>
              </w:rPr>
              <w:t>CONDENSED CONSOLIDATED STATEMENTS OF INCOME (Unaudited)</w:t>
            </w:r>
          </w:p>
        </w:tc>
        <w:tc>
          <w:tcPr>
            <w:tcW w:w="3780" w:type="dxa"/>
            <w:vAlign w:val="bottom"/>
            <w:gridSpan w:val="8"/>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40" w:type="dxa"/>
            <w:vAlign w:val="bottom"/>
            <w:gridSpan w:val="13"/>
          </w:tcPr>
          <w:p>
            <w:pPr>
              <w:spacing w:after="0" w:line="196" w:lineRule="exact"/>
              <w:rPr>
                <w:sz w:val="20"/>
                <w:szCs w:val="20"/>
                <w:color w:val="auto"/>
              </w:rPr>
            </w:pPr>
            <w:r>
              <w:rPr>
                <w:rFonts w:ascii="Arial" w:cs="Arial" w:eastAsia="Arial" w:hAnsi="Arial"/>
                <w:sz w:val="18"/>
                <w:szCs w:val="18"/>
                <w:color w:val="0000FF"/>
                <w:w w:val="99"/>
              </w:rPr>
              <w:t>For the six months ended June 30, 2025 and 2024</w:t>
            </w:r>
          </w:p>
        </w:tc>
        <w:tc>
          <w:tcPr>
            <w:tcW w:w="5340" w:type="dxa"/>
            <w:vAlign w:val="bottom"/>
            <w:gridSpan w:val="14"/>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4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For the six months ended June 30, 2025 and 2024</w:t>
            </w:r>
          </w:p>
        </w:tc>
        <w:tc>
          <w:tcPr>
            <w:tcW w:w="3180" w:type="dxa"/>
            <w:vAlign w:val="bottom"/>
            <w:tcBorders>
              <w:top w:val="single" w:sz="8" w:color="0000FF"/>
            </w:tcBorders>
            <w:gridSpan w:val="12"/>
          </w:tcPr>
          <w:p>
            <w:pPr>
              <w:spacing w:after="0"/>
              <w:rPr>
                <w:sz w:val="17"/>
                <w:szCs w:val="17"/>
                <w:color w:val="auto"/>
              </w:rPr>
            </w:pPr>
          </w:p>
        </w:tc>
        <w:tc>
          <w:tcPr>
            <w:tcW w:w="2160" w:type="dxa"/>
            <w:vAlign w:val="bottom"/>
            <w:gridSpan w:val="2"/>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FINANCIAL POSITION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9"/>
              </w:rPr>
              <w:t>At June 30, 2025, and December 31, 2024</w:t>
            </w:r>
          </w:p>
        </w:tc>
        <w:tc>
          <w:tcPr>
            <w:tcW w:w="3320" w:type="dxa"/>
            <w:vAlign w:val="bottom"/>
            <w:tcBorders>
              <w:top w:val="single" w:sz="8" w:color="0000FF"/>
            </w:tcBorders>
            <w:gridSpan w:val="12"/>
          </w:tcPr>
          <w:p>
            <w:pPr>
              <w:spacing w:after="0"/>
              <w:rPr>
                <w:sz w:val="17"/>
                <w:szCs w:val="17"/>
                <w:color w:val="auto"/>
              </w:rPr>
            </w:pPr>
          </w:p>
        </w:tc>
        <w:tc>
          <w:tcPr>
            <w:tcW w:w="2660" w:type="dxa"/>
            <w:vAlign w:val="bottom"/>
            <w:gridSpan w:val="4"/>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60" w:type="dxa"/>
            <w:vAlign w:val="bottom"/>
            <w:tcBorders>
              <w:top w:val="single" w:sz="8" w:color="0000FF"/>
            </w:tcBorders>
            <w:gridSpan w:val="21"/>
          </w:tcPr>
          <w:p>
            <w:pPr>
              <w:spacing w:after="0" w:line="196" w:lineRule="exact"/>
              <w:rPr>
                <w:sz w:val="20"/>
                <w:szCs w:val="20"/>
                <w:color w:val="auto"/>
              </w:rPr>
            </w:pPr>
            <w:r>
              <w:rPr>
                <w:rFonts w:ascii="Arial" w:cs="Arial" w:eastAsia="Arial" w:hAnsi="Arial"/>
                <w:sz w:val="18"/>
                <w:szCs w:val="18"/>
                <w:color w:val="0000FF"/>
              </w:rPr>
              <w:t>For the six months ended June 30, 2025 and 2024</w:t>
            </w:r>
          </w:p>
        </w:tc>
        <w:tc>
          <w:tcPr>
            <w:tcW w:w="3320" w:type="dxa"/>
            <w:vAlign w:val="bottom"/>
            <w:gridSpan w:val="6"/>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STATEMENTS OF CHANGES IN COMMON SHAREHOLDERS’ EQUITY (Unaudited)</w:t>
            </w:r>
          </w:p>
        </w:tc>
        <w:tc>
          <w:tcPr>
            <w:tcW w:w="200" w:type="dxa"/>
            <w:vAlign w:val="bottom"/>
          </w:tcPr>
          <w:p>
            <w:pPr>
              <w:spacing w:after="0"/>
              <w:rPr>
                <w:sz w:val="24"/>
                <w:szCs w:val="24"/>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gridSpan w:val="17"/>
          </w:tcPr>
          <w:p>
            <w:pPr>
              <w:spacing w:after="0" w:line="196" w:lineRule="exact"/>
              <w:rPr>
                <w:sz w:val="20"/>
                <w:szCs w:val="20"/>
                <w:color w:val="auto"/>
              </w:rPr>
            </w:pPr>
            <w:r>
              <w:rPr>
                <w:rFonts w:ascii="Arial" w:cs="Arial" w:eastAsia="Arial" w:hAnsi="Arial"/>
                <w:sz w:val="18"/>
                <w:szCs w:val="18"/>
                <w:color w:val="0000FF"/>
                <w:w w:val="99"/>
              </w:rPr>
              <w:t>For the three and six months ended June 30, 2025 and 2024</w:t>
            </w:r>
          </w:p>
        </w:tc>
        <w:tc>
          <w:tcPr>
            <w:tcW w:w="4540" w:type="dxa"/>
            <w:vAlign w:val="bottom"/>
            <w:gridSpan w:val="10"/>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9"/>
          </w:tcPr>
          <w:p>
            <w:pPr>
              <w:spacing w:after="0"/>
              <w:rPr>
                <w:sz w:val="20"/>
                <w:szCs w:val="20"/>
                <w:color w:val="auto"/>
              </w:rPr>
            </w:pPr>
            <w:r>
              <w:rPr>
                <w:rFonts w:ascii="Arial" w:cs="Arial" w:eastAsia="Arial" w:hAnsi="Arial"/>
                <w:sz w:val="18"/>
                <w:szCs w:val="18"/>
                <w:color w:val="0000FF"/>
              </w:rPr>
              <w:t>NOTES TO THE CONDENSED CONSOLIDATED FINANCIAL STATEMENTS (Unaudited)</w:t>
            </w:r>
          </w:p>
        </w:tc>
        <w:tc>
          <w:tcPr>
            <w:tcW w:w="200" w:type="dxa"/>
            <w:vAlign w:val="bottom"/>
            <w:gridSpan w:val="2"/>
          </w:tcPr>
          <w:p>
            <w:pPr>
              <w:spacing w:after="0"/>
              <w:rPr>
                <w:sz w:val="20"/>
                <w:szCs w:val="20"/>
                <w:color w:val="auto"/>
              </w:rPr>
            </w:pPr>
            <w:r>
              <w:rPr>
                <w:rFonts w:ascii="Arial" w:cs="Arial" w:eastAsia="Arial" w:hAnsi="Arial"/>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0"/>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3"/>
          </w:tcPr>
          <w:p>
            <w:pPr>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5"/>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5"/>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18"/>
          </w:tcPr>
          <w:p>
            <w:pPr>
              <w:ind w:left="20"/>
              <w:spacing w:after="0"/>
              <w:rPr>
                <w:sz w:val="20"/>
                <w:szCs w:val="20"/>
                <w:color w:val="auto"/>
              </w:rPr>
            </w:pPr>
            <w:r>
              <w:rPr>
                <w:rFonts w:ascii="Arial" w:cs="Arial" w:eastAsia="Arial" w:hAnsi="Arial"/>
                <w:sz w:val="18"/>
                <w:szCs w:val="18"/>
                <w:color w:val="0000FF"/>
              </w:rPr>
              <w:t>Controls and Procedures</w:t>
            </w:r>
          </w:p>
        </w:tc>
        <w:tc>
          <w:tcPr>
            <w:tcW w:w="5140" w:type="dxa"/>
            <w:vAlign w:val="bottom"/>
            <w:gridSpan w:val="12"/>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8"/>
          </w:tcPr>
          <w:p>
            <w:pPr>
              <w:jc w:val="center"/>
              <w:ind w:right="3800"/>
              <w:spacing w:after="0"/>
              <w:rPr>
                <w:sz w:val="20"/>
                <w:szCs w:val="20"/>
                <w:color w:val="auto"/>
              </w:rPr>
            </w:pPr>
            <w:r>
              <w:rPr>
                <w:rFonts w:ascii="Arial" w:cs="Arial" w:eastAsia="Arial" w:hAnsi="Arial"/>
                <w:sz w:val="18"/>
                <w:szCs w:val="18"/>
                <w:b w:val="1"/>
                <w:bCs w:val="1"/>
                <w:color w:val="0000FF"/>
                <w:w w:val="98"/>
              </w:rPr>
              <w:t>PART II. OTHER INFORMATION</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3400" w:type="dxa"/>
            <w:vAlign w:val="bottom"/>
            <w:gridSpan w:val="12"/>
          </w:tcPr>
          <w:p>
            <w:pPr>
              <w:ind w:left="20"/>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9"/>
          </w:tcPr>
          <w:p>
            <w:pPr>
              <w:spacing w:after="0"/>
              <w:rPr>
                <w:sz w:val="24"/>
                <w:szCs w:val="24"/>
                <w:color w:val="auto"/>
              </w:rPr>
            </w:pPr>
          </w:p>
        </w:tc>
        <w:tc>
          <w:tcPr>
            <w:tcW w:w="3800" w:type="dxa"/>
            <w:vAlign w:val="bottom"/>
            <w:gridSpan w:val="9"/>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ind w:left="20"/>
              <w:spacing w:after="0"/>
              <w:rPr>
                <w:sz w:val="20"/>
                <w:szCs w:val="20"/>
                <w:color w:val="auto"/>
              </w:rPr>
            </w:pPr>
            <w:r>
              <w:rPr>
                <w:rFonts w:ascii="Arial" w:cs="Arial" w:eastAsia="Arial" w:hAnsi="Arial"/>
                <w:sz w:val="18"/>
                <w:szCs w:val="18"/>
                <w:color w:val="0000FF"/>
              </w:rPr>
              <w:t>Risk Factors</w:t>
            </w:r>
          </w:p>
        </w:tc>
        <w:tc>
          <w:tcPr>
            <w:tcW w:w="8360" w:type="dxa"/>
            <w:vAlign w:val="bottom"/>
            <w:gridSpan w:val="23"/>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30"/>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860" w:type="dxa"/>
            <w:vAlign w:val="bottom"/>
            <w:gridSpan w:val="19"/>
          </w:tcPr>
          <w:p>
            <w:pPr>
              <w:ind w:left="20"/>
              <w:spacing w:after="0"/>
              <w:rPr>
                <w:sz w:val="20"/>
                <w:szCs w:val="20"/>
                <w:color w:val="auto"/>
              </w:rPr>
            </w:pPr>
            <w:r>
              <w:rPr>
                <w:rFonts w:ascii="Arial" w:cs="Arial" w:eastAsia="Arial" w:hAnsi="Arial"/>
                <w:sz w:val="18"/>
                <w:szCs w:val="18"/>
                <w:color w:val="0000FF"/>
              </w:rPr>
              <w:t>Defaults Upon Senior Securities</w:t>
            </w:r>
          </w:p>
        </w:tc>
        <w:tc>
          <w:tcPr>
            <w:tcW w:w="5000" w:type="dxa"/>
            <w:vAlign w:val="bottom"/>
            <w:gridSpan w:val="11"/>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300" w:type="dxa"/>
            <w:vAlign w:val="bottom"/>
            <w:gridSpan w:val="2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24"/>
                <w:szCs w:val="24"/>
                <w:color w:val="auto"/>
              </w:rPr>
            </w:pPr>
          </w:p>
        </w:tc>
        <w:tc>
          <w:tcPr>
            <w:tcW w:w="7300" w:type="dxa"/>
            <w:vAlign w:val="bottom"/>
            <w:gridSpan w:val="20"/>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20" w:type="dxa"/>
            <w:vAlign w:val="bottom"/>
            <w:gridSpan w:val="2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940" w:type="dxa"/>
            <w:vAlign w:val="bottom"/>
            <w:gridSpan w:val="8"/>
          </w:tcPr>
          <w:p>
            <w:pPr>
              <w:ind w:left="20"/>
              <w:spacing w:after="0"/>
              <w:rPr>
                <w:sz w:val="20"/>
                <w:szCs w:val="20"/>
                <w:color w:val="auto"/>
              </w:rPr>
            </w:pPr>
            <w:r>
              <w:rPr>
                <w:rFonts w:ascii="Arial" w:cs="Arial" w:eastAsia="Arial" w:hAnsi="Arial"/>
                <w:sz w:val="18"/>
                <w:szCs w:val="18"/>
                <w:color w:val="0000FF"/>
              </w:rPr>
              <w:t>Other Information</w:t>
            </w:r>
          </w:p>
        </w:tc>
        <w:tc>
          <w:tcPr>
            <w:tcW w:w="7920" w:type="dxa"/>
            <w:vAlign w:val="bottom"/>
            <w:gridSpan w:val="22"/>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460" w:type="dxa"/>
            <w:vAlign w:val="bottom"/>
            <w:gridSpan w:val="2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gridSpan w:val="4"/>
          </w:tcPr>
          <w:p>
            <w:pPr>
              <w:ind w:left="20"/>
              <w:spacing w:after="0"/>
              <w:rPr>
                <w:sz w:val="20"/>
                <w:szCs w:val="20"/>
                <w:color w:val="auto"/>
              </w:rPr>
            </w:pPr>
            <w:r>
              <w:rPr>
                <w:rFonts w:ascii="Arial" w:cs="Arial" w:eastAsia="Arial" w:hAnsi="Arial"/>
                <w:sz w:val="18"/>
                <w:szCs w:val="18"/>
                <w:color w:val="0000FF"/>
                <w:w w:val="95"/>
              </w:rPr>
              <w:t>Exhibits</w:t>
            </w:r>
          </w:p>
        </w:tc>
        <w:tc>
          <w:tcPr>
            <w:tcW w:w="760" w:type="dxa"/>
            <w:vAlign w:val="bottom"/>
            <w:gridSpan w:val="2"/>
          </w:tcPr>
          <w:p>
            <w:pPr>
              <w:spacing w:after="0"/>
              <w:rPr>
                <w:sz w:val="24"/>
                <w:szCs w:val="24"/>
                <w:color w:val="auto"/>
              </w:rPr>
            </w:pPr>
          </w:p>
        </w:tc>
        <w:tc>
          <w:tcPr>
            <w:tcW w:w="8460" w:type="dxa"/>
            <w:vAlign w:val="bottom"/>
            <w:gridSpan w:val="24"/>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0000FF"/>
                <w:w w:val="97"/>
              </w:rPr>
              <w:t>Signatures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gridSpan w:val="31"/>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10720" w:type="dxa"/>
            <w:vAlign w:val="bottom"/>
            <w:gridSpan w:val="31"/>
          </w:tcPr>
          <w:p>
            <w:pPr>
              <w:spacing w:after="0"/>
              <w:rPr>
                <w:sz w:val="20"/>
                <w:szCs w:val="20"/>
                <w:color w:val="auto"/>
              </w:rPr>
            </w:pPr>
            <w:r>
              <w:rPr>
                <w:rFonts w:ascii="Arial" w:cs="Arial" w:eastAsia="Arial" w:hAnsi="Arial"/>
                <w:sz w:val="18"/>
                <w:szCs w:val="18"/>
                <w:color w:val="auto"/>
              </w:rPr>
              <w:t>Certifications</w:t>
            </w:r>
          </w:p>
        </w:tc>
        <w:tc>
          <w:tcPr>
            <w:tcW w:w="500" w:type="dxa"/>
            <w:vAlign w:val="bottom"/>
            <w:gridSpan w:val="3"/>
          </w:tcPr>
          <w:p>
            <w:pPr>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60" w:type="dxa"/>
            <w:vAlign w:val="bottom"/>
            <w:gridSpan w:val="19"/>
          </w:tcPr>
          <w:p>
            <w:pPr>
              <w:jc w:val="center"/>
              <w:ind w:left="4530"/>
              <w:spacing w:after="0"/>
              <w:rPr>
                <w:sz w:val="20"/>
                <w:szCs w:val="20"/>
                <w:color w:val="auto"/>
              </w:rPr>
            </w:pPr>
            <w:r>
              <w:rPr>
                <w:rFonts w:ascii="Times New Roman" w:cs="Times New Roman" w:eastAsia="Times New Roman" w:hAnsi="Times New Roman"/>
                <w:sz w:val="18"/>
                <w:szCs w:val="18"/>
                <w:color w:val="auto"/>
                <w:w w:val="88"/>
              </w:rPr>
              <w:t>2</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three months ended June 30,</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Freight revenues</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5,843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6,154</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1,249</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Equipment and other rents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3,629</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2,525</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net (Note 6)</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2,313</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7)</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and per share (Note 8):</w:t>
            </w:r>
          </w:p>
        </w:tc>
        <w:tc>
          <w:tcPr>
            <w:tcW w:w="1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1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Weighted average number of shares - basic</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594.1</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594.8</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r>
      <w:tr>
        <w:trPr>
          <w:trHeight w:val="469"/>
        </w:trPr>
        <w:tc>
          <w:tcPr>
            <w:tcW w:w="75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5"/>
        </w:trPr>
        <w:tc>
          <w:tcPr>
            <w:tcW w:w="7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three months ended June 30,</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63"/>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1,876</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1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plans</w:t>
            </w:r>
          </w:p>
        </w:tc>
        <w:tc>
          <w:tcPr>
            <w:tcW w:w="1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 instruments</w:t>
            </w:r>
          </w:p>
        </w:tc>
        <w:tc>
          <w:tcPr>
            <w:tcW w:w="1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comprehensive income/(loss) [a]</w:t>
            </w:r>
          </w:p>
        </w:tc>
        <w:tc>
          <w:tcPr>
            <w:tcW w:w="1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r>
    </w:tbl>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Net of deferred taxes of ($1.7) million and $0.0 million during the three months ended June 30, 2025 and 2024,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six months ended June 30,</w:t>
            </w:r>
          </w:p>
        </w:tc>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Freight revenues</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11,534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11,254</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2,461</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1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1,223</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1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1,179</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Equipment and other rents</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w:t>
            </w:r>
          </w:p>
        </w:tc>
      </w:tr>
      <w:tr>
        <w:trPr>
          <w:trHeight w:val="27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4,896</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Other income, net (Note 6)</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63"/>
        </w:trPr>
        <w:tc>
          <w:tcPr>
            <w:tcW w:w="75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4,440</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4,324</w:t>
            </w:r>
          </w:p>
        </w:tc>
      </w:tr>
      <w:tr>
        <w:trPr>
          <w:trHeight w:val="271"/>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7)</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and per share (Note 8):</w:t>
            </w:r>
          </w:p>
        </w:tc>
        <w:tc>
          <w:tcPr>
            <w:tcW w:w="1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8"/>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63"/>
        </w:trPr>
        <w:tc>
          <w:tcPr>
            <w:tcW w:w="7560" w:type="dxa"/>
            <w:vAlign w:val="bottom"/>
          </w:tcPr>
          <w:p>
            <w:pPr>
              <w:ind w:left="180"/>
              <w:spacing w:after="0"/>
              <w:rPr>
                <w:sz w:val="20"/>
                <w:szCs w:val="20"/>
                <w:color w:val="auto"/>
              </w:rPr>
            </w:pPr>
            <w:r>
              <w:rPr>
                <w:rFonts w:ascii="Arial" w:cs="Arial" w:eastAsia="Arial" w:hAnsi="Arial"/>
                <w:sz w:val="18"/>
                <w:szCs w:val="18"/>
                <w:color w:val="auto"/>
              </w:rPr>
              <w:t>Weighted average number of shares - basic</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597.5</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609.3</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598.4</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r>
      <w:tr>
        <w:trPr>
          <w:trHeight w:val="469"/>
        </w:trPr>
        <w:tc>
          <w:tcPr>
            <w:tcW w:w="75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5"/>
        </w:trPr>
        <w:tc>
          <w:tcPr>
            <w:tcW w:w="75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7"/>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64"/>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1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7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plans</w:t>
            </w:r>
          </w:p>
        </w:tc>
        <w:tc>
          <w:tcPr>
            <w:tcW w:w="1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2"/>
        </w:trPr>
        <w:tc>
          <w:tcPr>
            <w:tcW w:w="756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1"/>
        </w:trPr>
        <w:tc>
          <w:tcPr>
            <w:tcW w:w="7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 instruments</w:t>
            </w:r>
          </w:p>
        </w:tc>
        <w:tc>
          <w:tcPr>
            <w:tcW w:w="1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comprehensive income/(loss) [a]</w:t>
            </w:r>
          </w:p>
        </w:tc>
        <w:tc>
          <w:tcPr>
            <w:tcW w:w="1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r>
    </w:tbl>
    <w:p>
      <w:pPr>
        <w:spacing w:after="0" w:line="231" w:lineRule="exact"/>
        <w:rPr>
          <w:sz w:val="20"/>
          <w:szCs w:val="20"/>
          <w:color w:val="auto"/>
        </w:rPr>
      </w:pPr>
    </w:p>
    <w:p>
      <w:pPr>
        <w:ind w:right="2100" w:firstLine="8"/>
        <w:spacing w:after="0" w:line="565" w:lineRule="auto"/>
        <w:tabs>
          <w:tab w:leader="none" w:pos="31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($1.9) million and ($0.1) million during the six months ended June 30, 2025 and 2024, respectively. The accompanying notes are an integral part of these unaudited Condensed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23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Jun. 30,</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share and per share amounts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62"/>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net (Note 10)</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63"/>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63"/>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4,183</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2,785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net (Note 11)</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59,017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58,343</w:t>
            </w:r>
          </w:p>
        </w:tc>
      </w:tr>
      <w:tr>
        <w:trPr>
          <w:trHeight w:val="263"/>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71"/>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68,576</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67,715</w:t>
            </w:r>
          </w:p>
        </w:tc>
      </w:tr>
      <w:tr>
        <w:trPr>
          <w:trHeight w:val="27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common shareholders' equity</w:t>
            </w:r>
          </w:p>
        </w:tc>
        <w:tc>
          <w:tcPr>
            <w:tcW w:w="1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other current liabilities (Note 12)</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63"/>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Debt due within one year (Note 14)</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r>
      <w:tr>
        <w:trPr>
          <w:trHeight w:val="264"/>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6,452</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Debt due after one year (Note 14)</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30,291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29,767</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62"/>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13,029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13,151</w:t>
            </w:r>
          </w:p>
        </w:tc>
      </w:tr>
      <w:tr>
        <w:trPr>
          <w:trHeight w:val="27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52,318</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50,825</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Common shareholders' equity:</w:t>
            </w:r>
          </w:p>
        </w:tc>
        <w:tc>
          <w:tcPr>
            <w:tcW w:w="1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7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 $2.50 par value, 1,400,000,000 authorized; 1,113,174,759 and</w:t>
            </w:r>
          </w:p>
        </w:tc>
        <w:tc>
          <w:tcPr>
            <w:tcW w:w="1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1,113,018,733 issued; 593,009,409 and 604,241,260 outstanding, respectively</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2,783</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Paid-in-surplus</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67,532</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65,628</w:t>
            </w:r>
          </w:p>
        </w:tc>
      </w:tr>
      <w:tr>
        <w:trPr>
          <w:trHeight w:val="278"/>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1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(58,870)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w:t>
            </w:r>
          </w:p>
        </w:tc>
      </w:tr>
      <w:tr>
        <w:trPr>
          <w:trHeight w:val="263"/>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loss (Note 9)</w:t>
            </w: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64"/>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common shareholders' equity</w:t>
            </w:r>
          </w:p>
        </w:tc>
        <w:tc>
          <w:tcPr>
            <w:tcW w:w="1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16,258</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r>
      <w:tr>
        <w:trPr>
          <w:trHeight w:val="263"/>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common shareholders' equity</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68,576</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67,715</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3,502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3,314</w:t>
            </w:r>
          </w:p>
        </w:tc>
      </w:tr>
      <w:tr>
        <w:trPr>
          <w:trHeight w:val="25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73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1,223</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and other income taxes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734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58"/>
        </w:trPr>
        <w:tc>
          <w:tcPr>
            <w:tcW w:w="7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1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7"/>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Materials and supplies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7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8"/>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current liabilities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Income and other taxes</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6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16)</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(2,679)</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Debt issued (Note 14)</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1,995</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(1,599)</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color w:val="auto"/>
              </w:rPr>
              <w:t>Debt repaid</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78"/>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Issued/(paid) commercial paper (Note 14)</w:t>
            </w:r>
          </w:p>
        </w:tc>
        <w:tc>
          <w:tcPr>
            <w:tcW w:w="16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financing activities, net</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16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(2,649)</w:t>
            </w:r>
          </w:p>
        </w:tc>
        <w:tc>
          <w:tcPr>
            <w:tcW w:w="4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62"/>
        </w:trPr>
        <w:tc>
          <w:tcPr>
            <w:tcW w:w="73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1"/>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6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7"/>
        </w:trPr>
        <w:tc>
          <w:tcPr>
            <w:tcW w:w="734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7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investments accrued but not yet paid</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7"/>
        </w:trPr>
        <w:tc>
          <w:tcPr>
            <w:tcW w:w="734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
        </w:trPr>
        <w:tc>
          <w:tcPr>
            <w:tcW w:w="7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63"/>
        </w:trPr>
        <w:tc>
          <w:tcPr>
            <w:tcW w:w="7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Interest, net of amounts capitalized</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7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6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to the Condensed Consolidated Statement of Financial Position:</w:t>
            </w:r>
          </w:p>
        </w:tc>
        <w:tc>
          <w:tcPr>
            <w:tcW w:w="1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63"/>
        </w:trPr>
        <w:tc>
          <w:tcPr>
            <w:tcW w:w="7340" w:type="dxa"/>
            <w:vAlign w:val="bottom"/>
          </w:tcPr>
          <w:p>
            <w:pPr>
              <w:ind w:left="180"/>
              <w:spacing w:after="0"/>
              <w:rPr>
                <w:sz w:val="20"/>
                <w:szCs w:val="20"/>
                <w:color w:val="auto"/>
              </w:rPr>
            </w:pPr>
            <w:r>
              <w:rPr>
                <w:rFonts w:ascii="Arial" w:cs="Arial" w:eastAsia="Arial" w:hAnsi="Arial"/>
                <w:sz w:val="18"/>
                <w:szCs w:val="18"/>
                <w:color w:val="auto"/>
              </w:rPr>
              <w:t>Restricted cash equivalents in other current assets</w:t>
            </w:r>
          </w:p>
        </w:tc>
        <w:tc>
          <w:tcPr>
            <w:tcW w:w="1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1"/>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Restricted cash equivalents in other assets</w:t>
            </w:r>
          </w:p>
        </w:tc>
        <w:tc>
          <w:tcPr>
            <w:tcW w:w="1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equivalents per above</w:t>
            </w:r>
          </w:p>
        </w:tc>
        <w:tc>
          <w:tcPr>
            <w:tcW w:w="1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Common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right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Common</w:t>
            </w:r>
          </w:p>
        </w:tc>
        <w:tc>
          <w:tcPr>
            <w:tcW w:w="8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Treasury</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Common</w:t>
            </w:r>
          </w:p>
        </w:tc>
        <w:tc>
          <w:tcPr>
            <w:tcW w:w="24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i w:val="1"/>
                <w:iCs w:val="1"/>
                <w:color w:val="auto"/>
              </w:rPr>
              <w:t>Paid-in-   Retained   Treasury</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060" w:type="dxa"/>
            <w:vAlign w:val="bottom"/>
          </w:tcPr>
          <w:p>
            <w:pPr>
              <w:jc w:val="right"/>
              <w:ind w:right="30"/>
              <w:spacing w:after="0"/>
              <w:rPr>
                <w:sz w:val="20"/>
                <w:szCs w:val="20"/>
                <w:color w:val="auto"/>
              </w:rPr>
            </w:pPr>
            <w:r>
              <w:rPr>
                <w:rFonts w:ascii="Arial" w:cs="Arial" w:eastAsia="Arial" w:hAnsi="Arial"/>
                <w:sz w:val="18"/>
                <w:szCs w:val="18"/>
                <w:i w:val="1"/>
                <w:iCs w:val="1"/>
                <w:color w:val="auto"/>
              </w:rPr>
              <w:t>shares</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shares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shares</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surplus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earnings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stock</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AOCI [a]</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April 1, 2024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($1.30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50"/>
        </w:trPr>
        <w:tc>
          <w:tcPr>
            <w:tcW w:w="35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April 1, 2025</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1,113.2</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41"/>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16)</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($1.34 per share)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1,113.2</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16,258</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Borders>
              <w:right w:val="single" w:sz="8" w:color="auto"/>
            </w:tcBorders>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i w:val="1"/>
                <w:iCs w:val="1"/>
                <w:color w:val="auto"/>
              </w:rPr>
              <w:t>Common</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Treasury</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Common</w:t>
            </w:r>
          </w:p>
        </w:tc>
        <w:tc>
          <w:tcPr>
            <w:tcW w:w="240" w:type="dxa"/>
            <w:vAlign w:val="bottom"/>
          </w:tcPr>
          <w:p>
            <w:pPr>
              <w:spacing w:after="0"/>
              <w:rPr>
                <w:sz w:val="19"/>
                <w:szCs w:val="19"/>
                <w:color w:val="auto"/>
              </w:rPr>
            </w:pPr>
          </w:p>
        </w:tc>
        <w:tc>
          <w:tcPr>
            <w:tcW w:w="2680" w:type="dxa"/>
            <w:vAlign w:val="bottom"/>
            <w:gridSpan w:val="5"/>
          </w:tcPr>
          <w:p>
            <w:pPr>
              <w:jc w:val="center"/>
              <w:spacing w:after="0"/>
              <w:rPr>
                <w:sz w:val="20"/>
                <w:szCs w:val="20"/>
                <w:color w:val="auto"/>
              </w:rPr>
            </w:pPr>
            <w:r>
              <w:rPr>
                <w:rFonts w:ascii="Arial" w:cs="Arial" w:eastAsia="Arial" w:hAnsi="Arial"/>
                <w:sz w:val="18"/>
                <w:szCs w:val="18"/>
                <w:i w:val="1"/>
                <w:iCs w:val="1"/>
                <w:color w:val="auto"/>
              </w:rPr>
              <w:t>Paid-in-   Retained   Treasury</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060" w:type="dxa"/>
            <w:vAlign w:val="bottom"/>
          </w:tcPr>
          <w:p>
            <w:pPr>
              <w:jc w:val="right"/>
              <w:ind w:right="50"/>
              <w:spacing w:after="0"/>
              <w:rPr>
                <w:sz w:val="20"/>
                <w:szCs w:val="20"/>
                <w:color w:val="auto"/>
              </w:rPr>
            </w:pPr>
            <w:r>
              <w:rPr>
                <w:rFonts w:ascii="Arial" w:cs="Arial" w:eastAsia="Arial" w:hAnsi="Arial"/>
                <w:sz w:val="18"/>
                <w:szCs w:val="18"/>
                <w:i w:val="1"/>
                <w:iCs w:val="1"/>
                <w:color w:val="auto"/>
              </w:rPr>
              <w:t>shares</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shares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shares</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surplus</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earnings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stock</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AOCI [a]</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1,112.9</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40"/>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0.1</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16)</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($2.60 per share)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color w:val="auto"/>
              </w:rPr>
              <w:t>(1,587)</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50"/>
        </w:trPr>
        <w:tc>
          <w:tcPr>
            <w:tcW w:w="35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1,113.0</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40"/>
        </w:trPr>
        <w:tc>
          <w:tcPr>
            <w:tcW w:w="3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income/(loss)</w:t>
            </w:r>
          </w:p>
        </w:tc>
        <w:tc>
          <w:tcPr>
            <w:tcW w:w="1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Conversion, stock option exercises,</w:t>
            </w: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0.2</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31"/>
        </w:trPr>
        <w:tc>
          <w:tcPr>
            <w:tcW w:w="35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forfeitures, ESPP, and other [b]</w:t>
            </w:r>
          </w:p>
        </w:tc>
        <w:tc>
          <w:tcPr>
            <w:tcW w:w="106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Borders>
              <w:right w:val="single" w:sz="8" w:color="auto"/>
            </w:tcBorders>
            <w:vMerge w:val="continue"/>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00" w:type="dxa"/>
            <w:vAlign w:val="bottom"/>
            <w:tcBorders>
              <w:righ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 repurchase programs (Note 16)</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7"/>
        </w:trPr>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declared ($2.68 per share)</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
        </w:trPr>
        <w:tc>
          <w:tcPr>
            <w:tcW w:w="350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1,113.2</w:t>
            </w: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AOCI = accumulated other comprehensive income/loss (Note 9)</w:t>
      </w:r>
    </w:p>
    <w:p>
      <w:pPr>
        <w:spacing w:after="0" w:line="19" w:lineRule="exact"/>
        <w:rPr>
          <w:rFonts w:ascii="Arial" w:cs="Arial" w:eastAsia="Arial" w:hAnsi="Arial"/>
          <w:sz w:val="16"/>
          <w:szCs w:val="16"/>
          <w:i w:val="1"/>
          <w:iCs w:val="1"/>
          <w:color w:val="auto"/>
        </w:rPr>
      </w:pPr>
    </w:p>
    <w:p>
      <w:pPr>
        <w:ind w:left="320" w:hanging="312"/>
        <w:spacing w:after="0"/>
        <w:tabs>
          <w:tab w:leader="none" w:pos="3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ESPP =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2024 Annual Report on Form 10-K. Our Consolidated Statement of Financial Position at December 31, 2024, is derived from audited financial statements. The results of operations for the six months ended June 30, 2025, are not necessarily indicative of the results for the entire year ending December 31, 2025.</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Condensed Consolidated Financial Statements are presented in accordance with GAAP as codified in the Financial Accounting Standards Board (FASB) Accounting Standards Codification (ASC). Certain prior period amounts have been reclassified to conform to the current period financial statement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Pronouncements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is currently evaluating the effect that the new guidance will have on our related disclosures.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which requires disclosure of additional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in the notes to the financial statements. The ASU is effective for fiscal years beginning after December 15, 2026, and interim periods within fiscal years beginning after December 15, 2027, may be adopted on a prospective or retrospective basis, with early adoption permitted. The Company is currently evaluating the effect that the new guidance will have on our related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Operations and Segmentation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revenues are primarily derived from contracts with customers for the transportation of freight from origin to destination.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$751 million and $744 million for the three months ended June 30, 2025 and 2024, respectively, and $1.5 billion for both the six months ended June 30, 2025 and 2024.</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ind w:left="180"/>
              <w:spacing w:after="0"/>
              <w:rPr>
                <w:sz w:val="20"/>
                <w:szCs w:val="20"/>
                <w:color w:val="auto"/>
              </w:rPr>
            </w:pPr>
            <w:r>
              <w:rPr>
                <w:rFonts w:ascii="Arial" w:cs="Arial" w:eastAsia="Arial" w:hAnsi="Arial"/>
                <w:sz w:val="18"/>
                <w:szCs w:val="18"/>
                <w:i w:val="1"/>
                <w:iCs w:val="1"/>
                <w:color w:val="auto"/>
              </w:rPr>
              <w:t>Three months ended</w:t>
            </w:r>
          </w:p>
        </w:tc>
        <w:tc>
          <w:tcPr>
            <w:tcW w:w="360" w:type="dxa"/>
            <w:vAlign w:val="bottom"/>
          </w:tcPr>
          <w:p>
            <w:pPr>
              <w:spacing w:after="0"/>
              <w:rPr>
                <w:sz w:val="18"/>
                <w:szCs w:val="18"/>
                <w:color w:val="auto"/>
              </w:rPr>
            </w:pPr>
          </w:p>
        </w:tc>
        <w:tc>
          <w:tcPr>
            <w:tcW w:w="2300" w:type="dxa"/>
            <w:vAlign w:val="bottom"/>
            <w:gridSpan w:val="3"/>
          </w:tcPr>
          <w:p>
            <w:pPr>
              <w:jc w:val="right"/>
              <w:ind w:right="510"/>
              <w:spacing w:after="0"/>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i w:val="1"/>
                <w:iCs w:val="1"/>
                <w:color w:val="auto"/>
              </w:rPr>
              <w:t>June 30,</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0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Bulk</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2,212</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4,294</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71"/>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1,730</w:t>
            </w:r>
          </w:p>
        </w:tc>
        <w:tc>
          <w:tcPr>
            <w:tcW w:w="5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3,503</w:t>
            </w: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64"/>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freight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5,843</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11,534</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subsidiary revenues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5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62"/>
        </w:trPr>
        <w:tc>
          <w:tcPr>
            <w:tcW w:w="5800" w:type="dxa"/>
            <w:vAlign w:val="bottom"/>
          </w:tcPr>
          <w:p>
            <w:pPr>
              <w:ind w:left="20"/>
              <w:spacing w:after="0"/>
              <w:rPr>
                <w:sz w:val="20"/>
                <w:szCs w:val="20"/>
                <w:color w:val="auto"/>
              </w:rPr>
            </w:pPr>
            <w:r>
              <w:rPr>
                <w:rFonts w:ascii="Arial" w:cs="Arial" w:eastAsia="Arial" w:hAnsi="Arial"/>
                <w:sz w:val="18"/>
                <w:szCs w:val="18"/>
                <w:color w:val="auto"/>
              </w:rPr>
              <w:t>Accessorial revenues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1"/>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5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6,154</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12,181</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5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3,369</w:t>
            </w: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Administrative [a]</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 fuel</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Other segment items [b]</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1,158</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63"/>
        </w:trPr>
        <w:tc>
          <w:tcPr>
            <w:tcW w:w="5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5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5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w:t>
            </w: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5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6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1,876</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right="20" w:hanging="332"/>
        <w:spacing w:after="0" w:line="261" w:lineRule="auto"/>
        <w:tabs>
          <w:tab w:leader="none" w:pos="331"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and administrative includes compensation and benefits, purchased services and materials, equipment and other rents, non-locomotive fuel, and other expenses.</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Other segment items includes car hire and leases, casualty costs, state and local taxes, subsidiary expense, and other overhead expense.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several stock-based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i w:val="1"/>
                <w:iCs w:val="1"/>
                <w:color w:val="auto"/>
              </w:rPr>
              <w:t>Three months ended</w:t>
            </w:r>
          </w:p>
        </w:tc>
        <w:tc>
          <w:tcPr>
            <w:tcW w:w="26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6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8"/>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Retention awards</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ESPP [a]</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before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income tax benefits from equity compensation plans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283"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with the June 10, 2025, purchase (for employee services rendered in May 2025), the Company match was changed from 40% to 20% of amounts contributed by the employee up to a maximum employee contribution of 5% of monthly salary (limited to $15,000 annually).</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At June 30, 2025, outstanding stock options are not subject to performance or market-based vesting conditions.</w:t>
      </w:r>
    </w:p>
    <w:p>
      <w:pPr>
        <w:sectPr>
          <w:pgSz w:w="11900" w:h="16838" w:orient="portrait"/>
          <w:cols w:equalWidth="0" w:num="1">
            <w:col w:w="11240"/>
          </w:cols>
          <w:pgMar w:left="320" w:top="121" w:right="3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Weighted-average assumptions</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2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r>
      <w:tr>
        <w:trPr>
          <w:trHeight w:val="26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Volatility</w:t>
            </w:r>
          </w:p>
        </w:tc>
        <w:tc>
          <w:tcPr>
            <w:tcW w:w="2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w:t>
            </w:r>
          </w:p>
        </w:tc>
      </w:tr>
      <w:tr>
        <w:trPr>
          <w:trHeight w:val="26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48.70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61.75</w:t>
            </w: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six months ended June 30, 2025,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Weighted-</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Aggregate</w:t>
            </w:r>
          </w:p>
        </w:tc>
      </w:tr>
      <w:tr>
        <w:trPr>
          <w:trHeight w:val="216"/>
        </w:trPr>
        <w:tc>
          <w:tcPr>
            <w:tcW w:w="4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Options</w:t>
            </w:r>
          </w:p>
        </w:tc>
        <w:tc>
          <w:tcPr>
            <w:tcW w:w="240" w:type="dxa"/>
            <w:vAlign w:val="bottom"/>
          </w:tcPr>
          <w:p>
            <w:pPr>
              <w:spacing w:after="0"/>
              <w:rPr>
                <w:sz w:val="18"/>
                <w:szCs w:val="18"/>
                <w:color w:val="auto"/>
              </w:rPr>
            </w:pPr>
          </w:p>
        </w:tc>
        <w:tc>
          <w:tcPr>
            <w:tcW w:w="1320" w:type="dxa"/>
            <w:vAlign w:val="bottom"/>
          </w:tcPr>
          <w:p>
            <w:pPr>
              <w:jc w:val="center"/>
              <w:ind w:left="390"/>
              <w:spacing w:after="0"/>
              <w:rPr>
                <w:sz w:val="20"/>
                <w:szCs w:val="20"/>
                <w:color w:val="auto"/>
              </w:rPr>
            </w:pPr>
            <w:r>
              <w:rPr>
                <w:rFonts w:ascii="Arial" w:cs="Arial" w:eastAsia="Arial" w:hAnsi="Arial"/>
                <w:sz w:val="18"/>
                <w:szCs w:val="18"/>
                <w:i w:val="1"/>
                <w:iCs w:val="1"/>
                <w:color w:val="auto"/>
                <w:w w:val="98"/>
              </w:rPr>
              <w:t>average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remaining contractual term</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intrinsic value</w:t>
            </w:r>
          </w:p>
        </w:tc>
      </w:tr>
      <w:tr>
        <w:trPr>
          <w:trHeight w:val="237"/>
        </w:trPr>
        <w:tc>
          <w:tcPr>
            <w:tcW w:w="4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(thous.)</w:t>
            </w: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i w:val="1"/>
                <w:iCs w:val="1"/>
                <w:color w:val="auto"/>
              </w:rPr>
              <w:t>exercise price</w:t>
            </w:r>
          </w:p>
        </w:tc>
        <w:tc>
          <w:tcPr>
            <w:tcW w:w="2240" w:type="dxa"/>
            <w:vAlign w:val="bottom"/>
          </w:tcPr>
          <w:p>
            <w:pPr>
              <w:jc w:val="right"/>
              <w:spacing w:after="0"/>
              <w:rPr>
                <w:sz w:val="20"/>
                <w:szCs w:val="20"/>
                <w:color w:val="auto"/>
              </w:rPr>
            </w:pPr>
            <w:r>
              <w:rPr>
                <w:rFonts w:ascii="Arial" w:cs="Arial" w:eastAsia="Arial" w:hAnsi="Arial"/>
                <w:sz w:val="18"/>
                <w:szCs w:val="18"/>
                <w:i w:val="1"/>
                <w:iCs w:val="1"/>
                <w:color w:val="auto"/>
              </w:rPr>
              <w:t>(in yrs.)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(millions)</w:t>
            </w:r>
          </w:p>
        </w:tc>
      </w:tr>
      <w:tr>
        <w:trPr>
          <w:trHeight w:val="23"/>
        </w:trPr>
        <w:tc>
          <w:tcPr>
            <w:tcW w:w="4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8"/>
              </w:rPr>
              <w:t>195.81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74</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1"/>
                <w:szCs w:val="21"/>
                <w:color w:val="auto"/>
              </w:rPr>
            </w:pPr>
          </w:p>
        </w:tc>
        <w:tc>
          <w:tcPr>
            <w:tcW w:w="1320" w:type="dxa"/>
            <w:vAlign w:val="bottom"/>
          </w:tcPr>
          <w:p>
            <w:pPr>
              <w:jc w:val="center"/>
              <w:ind w:left="370"/>
              <w:spacing w:after="0"/>
              <w:rPr>
                <w:sz w:val="20"/>
                <w:szCs w:val="20"/>
                <w:color w:val="auto"/>
              </w:rPr>
            </w:pPr>
            <w:r>
              <w:rPr>
                <w:rFonts w:ascii="Arial" w:cs="Arial" w:eastAsia="Arial" w:hAnsi="Arial"/>
                <w:sz w:val="18"/>
                <w:szCs w:val="18"/>
                <w:color w:val="auto"/>
                <w:w w:val="98"/>
              </w:rPr>
              <w:t>243.51</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8"/>
              </w:rPr>
              <w:t>164.18</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320" w:type="dxa"/>
            <w:vAlign w:val="bottom"/>
          </w:tcPr>
          <w:p>
            <w:pPr>
              <w:jc w:val="center"/>
              <w:ind w:left="370"/>
              <w:spacing w:after="0"/>
              <w:rPr>
                <w:sz w:val="20"/>
                <w:szCs w:val="20"/>
                <w:color w:val="auto"/>
              </w:rPr>
            </w:pPr>
            <w:r>
              <w:rPr>
                <w:rFonts w:ascii="Arial" w:cs="Arial" w:eastAsia="Arial" w:hAnsi="Arial"/>
                <w:sz w:val="18"/>
                <w:szCs w:val="18"/>
                <w:color w:val="auto"/>
                <w:w w:val="98"/>
              </w:rPr>
              <w:t>238.86</w:t>
            </w:r>
          </w:p>
        </w:tc>
        <w:tc>
          <w:tcPr>
            <w:tcW w:w="2240" w:type="dxa"/>
            <w:vAlign w:val="bottom"/>
          </w:tcPr>
          <w:p>
            <w:pPr>
              <w:jc w:val="right"/>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260" w:type="dxa"/>
            <w:vAlign w:val="bottom"/>
          </w:tcPr>
          <w:p>
            <w:pPr>
              <w:jc w:val="center"/>
              <w:ind w:left="830"/>
              <w:spacing w:after="0"/>
              <w:rPr>
                <w:sz w:val="20"/>
                <w:szCs w:val="20"/>
                <w:color w:val="auto"/>
              </w:rPr>
            </w:pPr>
            <w:r>
              <w:rPr>
                <w:rFonts w:ascii="Arial" w:cs="Arial" w:eastAsia="Arial" w:hAnsi="Arial"/>
                <w:sz w:val="18"/>
                <w:szCs w:val="18"/>
                <w:color w:val="auto"/>
                <w:w w:val="99"/>
              </w:rPr>
              <w:t>N/A</w:t>
            </w:r>
          </w:p>
        </w:tc>
      </w:tr>
      <w:tr>
        <w:trPr>
          <w:trHeight w:val="23"/>
        </w:trPr>
        <w:tc>
          <w:tcPr>
            <w:tcW w:w="4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8"/>
              </w:rPr>
              <w:t>208.60</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61</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Vested or expected to vest at June 30, 2025</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color w:val="auto"/>
                <w:w w:val="98"/>
              </w:rPr>
              <w:t>208.33</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9"/>
              </w:rPr>
              <w:t>61</w:t>
            </w:r>
          </w:p>
        </w:tc>
      </w:tr>
      <w:tr>
        <w:trPr>
          <w:trHeight w:val="23"/>
        </w:trPr>
        <w:tc>
          <w:tcPr>
            <w:tcW w:w="4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June 30, 2025</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8"/>
              </w:rPr>
              <w:t>193.92</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810"/>
              <w:spacing w:after="0"/>
              <w:rPr>
                <w:sz w:val="20"/>
                <w:szCs w:val="20"/>
                <w:color w:val="auto"/>
              </w:rPr>
            </w:pPr>
            <w:r>
              <w:rPr>
                <w:rFonts w:ascii="Arial" w:cs="Arial" w:eastAsia="Arial" w:hAnsi="Arial"/>
                <w:sz w:val="18"/>
                <w:szCs w:val="18"/>
                <w:color w:val="auto"/>
                <w:w w:val="99"/>
              </w:rPr>
              <w:t>58</w:t>
            </w:r>
          </w:p>
        </w:tc>
      </w:tr>
      <w:tr>
        <w:trPr>
          <w:trHeight w:val="20"/>
        </w:trPr>
        <w:tc>
          <w:tcPr>
            <w:tcW w:w="44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2025, there was $22 million of unrecognized compensation expense related to nonvested stock options, which is expected to be recognized over a weighted-average period of 1.1 years. Additional information regarding stock option exercises appears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center"/>
              <w:ind w:right="260"/>
              <w:spacing w:after="0"/>
              <w:rPr>
                <w:sz w:val="20"/>
                <w:szCs w:val="20"/>
                <w:color w:val="auto"/>
              </w:rPr>
            </w:pPr>
            <w:r>
              <w:rPr>
                <w:rFonts w:ascii="Arial" w:cs="Arial" w:eastAsia="Arial" w:hAnsi="Arial"/>
                <w:sz w:val="18"/>
                <w:szCs w:val="18"/>
                <w:i w:val="1"/>
                <w:iCs w:val="1"/>
                <w:color w:val="auto"/>
                <w:w w:val="99"/>
              </w:rPr>
              <w:t>Three months ended</w:t>
            </w:r>
          </w:p>
        </w:tc>
        <w:tc>
          <w:tcPr>
            <w:tcW w:w="260" w:type="dxa"/>
            <w:vAlign w:val="bottom"/>
          </w:tcPr>
          <w:p>
            <w:pPr>
              <w:spacing w:after="0"/>
              <w:rPr>
                <w:sz w:val="18"/>
                <w:szCs w:val="18"/>
                <w:color w:val="auto"/>
              </w:rPr>
            </w:pPr>
          </w:p>
        </w:tc>
        <w:tc>
          <w:tcPr>
            <w:tcW w:w="1980" w:type="dxa"/>
            <w:vAlign w:val="bottom"/>
            <w:gridSpan w:val="3"/>
          </w:tcPr>
          <w:p>
            <w:pPr>
              <w:jc w:val="center"/>
              <w:ind w:right="170"/>
              <w:spacing w:after="0"/>
              <w:rPr>
                <w:sz w:val="20"/>
                <w:szCs w:val="20"/>
                <w:color w:val="auto"/>
              </w:rPr>
            </w:pPr>
            <w:r>
              <w:rPr>
                <w:rFonts w:ascii="Arial" w:cs="Arial" w:eastAsia="Arial" w:hAnsi="Arial"/>
                <w:sz w:val="18"/>
                <w:szCs w:val="18"/>
                <w:i w:val="1"/>
                <w:iCs w:val="1"/>
                <w:color w:val="auto"/>
                <w:w w:val="99"/>
              </w:rPr>
              <w:t>Six months ended</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left="310"/>
              <w:spacing w:after="0"/>
              <w:rPr>
                <w:sz w:val="20"/>
                <w:szCs w:val="20"/>
                <w:color w:val="auto"/>
              </w:rPr>
            </w:pPr>
            <w:r>
              <w:rPr>
                <w:rFonts w:ascii="Arial" w:cs="Arial" w:eastAsia="Arial" w:hAnsi="Arial"/>
                <w:sz w:val="18"/>
                <w:szCs w:val="18"/>
                <w:i w:val="1"/>
                <w:iCs w:val="1"/>
                <w:color w:val="auto"/>
                <w:w w:val="98"/>
              </w:rPr>
              <w:t>June 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left="27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repurchased for employee payroll taxes</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Income tax benefit realized from option exercises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1"/>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Aggregate grant-date fair value of stock options vested</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5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have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paid to participants during the vesting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the six months ended June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r>
      <w:tr>
        <w:trPr>
          <w:trHeight w:val="237"/>
        </w:trPr>
        <w:tc>
          <w:tcPr>
            <w:tcW w:w="512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i w:val="1"/>
                <w:iCs w:val="1"/>
                <w:color w:val="auto"/>
              </w:rPr>
              <w:t>Shares (thous.)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spacing w:after="0"/>
              <w:rPr>
                <w:sz w:val="20"/>
                <w:szCs w:val="20"/>
                <w:color w:val="auto"/>
              </w:rPr>
            </w:pPr>
            <w:r>
              <w:rPr>
                <w:rFonts w:ascii="Arial" w:cs="Arial" w:eastAsia="Arial" w:hAnsi="Arial"/>
                <w:sz w:val="18"/>
                <w:szCs w:val="18"/>
                <w:color w:val="auto"/>
              </w:rPr>
              <w:t>229</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243.48</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204.78</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9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229.95</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232.08</w:t>
            </w:r>
          </w:p>
        </w:tc>
      </w:tr>
      <w:tr>
        <w:trPr>
          <w:trHeight w:val="20"/>
        </w:trPr>
        <w:tc>
          <w:tcPr>
            <w:tcW w:w="51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June 30, 2025, there was $88 million of total unrecognized compensation expense related to nonvested retention awards, which is expected to be recognized over a weighted-average period of 1.2 years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2025,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February 2025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the six months ended June 30,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Weighted-average</w:t>
            </w:r>
          </w:p>
        </w:tc>
      </w:tr>
      <w:tr>
        <w:trPr>
          <w:trHeight w:val="237"/>
        </w:trPr>
        <w:tc>
          <w:tcPr>
            <w:tcW w:w="512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i w:val="1"/>
                <w:iCs w:val="1"/>
                <w:color w:val="auto"/>
              </w:rPr>
              <w:t>Shares (thous.)</w:t>
            </w: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i w:val="1"/>
                <w:iCs w:val="1"/>
                <w:color w:val="auto"/>
              </w:rPr>
              <w:t>grant-date fair value</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245.52</w:t>
            </w: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Unearned</w:t>
            </w:r>
          </w:p>
        </w:tc>
        <w:tc>
          <w:tcPr>
            <w:tcW w:w="396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244.35</w:t>
            </w:r>
          </w:p>
        </w:tc>
      </w:tr>
      <w:tr>
        <w:trPr>
          <w:trHeight w:val="23"/>
        </w:trPr>
        <w:tc>
          <w:tcPr>
            <w:tcW w:w="5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218.12</w:t>
            </w:r>
          </w:p>
        </w:tc>
      </w:tr>
      <w:tr>
        <w:trPr>
          <w:trHeight w:val="240"/>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June 30, 2025</w:t>
            </w:r>
          </w:p>
        </w:tc>
        <w:tc>
          <w:tcPr>
            <w:tcW w:w="3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222.83</w:t>
            </w:r>
          </w:p>
        </w:tc>
      </w:tr>
      <w:tr>
        <w:trPr>
          <w:trHeight w:val="23"/>
        </w:trPr>
        <w:tc>
          <w:tcPr>
            <w:tcW w:w="5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2025, there was $24 million of total unrecognized compensation expense related to nonvested performance stock unit awards, which is expected to be recognized over a weighted-average period of 1.8 years. This expense is subject to achievement of the performance measures established for the performance stock unit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i w:val="1"/>
                <w:iCs w:val="1"/>
                <w:color w:val="auto"/>
              </w:rPr>
              <w:t>Three months ended</w:t>
            </w:r>
          </w:p>
        </w:tc>
        <w:tc>
          <w:tcPr>
            <w:tcW w:w="26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actuarial loss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six months ended June 30, 2025, cash contributions totaled $0 to the qualified pension plans. Any contributions made during 2025 will be based on cash generated from operations and financial market considerations. Our policy with respect to funding the qualified pension plans is to fund at least the minimum required by law and not more than the maximum amount deductible for tax purposes. At June 30, 2025, we do not have minimum cash funding requirements for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i w:val="1"/>
                <w:iCs w:val="1"/>
                <w:color w:val="auto"/>
              </w:rPr>
              <w:t>Three months ended</w:t>
            </w:r>
          </w:p>
        </w:tc>
        <w:tc>
          <w:tcPr>
            <w:tcW w:w="26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i w:val="1"/>
                <w:iCs w:val="1"/>
                <w:color w:val="auto"/>
              </w:rPr>
              <w:t>June 30,</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benefit/(costs)</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2"/>
        </w:trPr>
        <w:tc>
          <w:tcPr>
            <w:tcW w:w="6660" w:type="dxa"/>
            <w:vAlign w:val="bottom"/>
          </w:tcPr>
          <w:p>
            <w:pPr>
              <w:ind w:left="20"/>
              <w:spacing w:after="0"/>
              <w:rPr>
                <w:sz w:val="20"/>
                <w:szCs w:val="20"/>
                <w:color w:val="auto"/>
              </w:rPr>
            </w:pPr>
            <w:r>
              <w:rPr>
                <w:rFonts w:ascii="Arial" w:cs="Arial" w:eastAsia="Arial" w:hAnsi="Arial"/>
                <w:sz w:val="18"/>
                <w:szCs w:val="18"/>
                <w:color w:val="auto"/>
              </w:rPr>
              <w:t>Non-operating property environmental remediation and restoration</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ind w:left="520"/>
              <w:spacing w:after="0"/>
              <w:rPr>
                <w:sz w:val="20"/>
                <w:szCs w:val="20"/>
                <w:color w:val="auto"/>
              </w:rPr>
            </w:pPr>
            <w:r>
              <w:rPr>
                <w:rFonts w:ascii="Arial" w:cs="Arial" w:eastAsia="Arial" w:hAnsi="Arial"/>
                <w:sz w:val="18"/>
                <w:szCs w:val="18"/>
                <w:b w:val="1"/>
                <w:bCs w:val="1"/>
                <w:color w:val="auto"/>
                <w:w w:val="99"/>
              </w:rPr>
              <w:t>(12)</w:t>
            </w:r>
          </w:p>
        </w:tc>
        <w:tc>
          <w:tcPr>
            <w:tcW w:w="5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from IRS refund claims</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(10)</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second quarter of 2025, the state of Kansas enacted legislation modifying the corporate income tax apportionment formula for future years resulting in a $115 million reduction of our deferred tax expense.</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second quarter of 2024, the state of Arkansas enacted legislation to reduce its corporate income tax rate for future years resulting in an $8 million reduction of our deferred tax expense.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i w:val="1"/>
                <w:iCs w:val="1"/>
                <w:color w:val="auto"/>
              </w:rPr>
              <w:t>Three months ended</w:t>
            </w:r>
          </w:p>
        </w:tc>
        <w:tc>
          <w:tcPr>
            <w:tcW w:w="260" w:type="dxa"/>
            <w:vAlign w:val="bottom"/>
          </w:tcPr>
          <w:p>
            <w:pPr>
              <w:spacing w:after="0"/>
              <w:rPr>
                <w:sz w:val="18"/>
                <w:szCs w:val="18"/>
                <w:color w:val="auto"/>
              </w:rPr>
            </w:pPr>
          </w:p>
        </w:tc>
        <w:tc>
          <w:tcPr>
            <w:tcW w:w="1980" w:type="dxa"/>
            <w:vAlign w:val="bottom"/>
            <w:gridSpan w:val="3"/>
          </w:tcPr>
          <w:p>
            <w:pPr>
              <w:jc w:val="right"/>
              <w:ind w:right="310"/>
              <w:spacing w:after="0"/>
              <w:rPr>
                <w:sz w:val="20"/>
                <w:szCs w:val="20"/>
                <w:color w:val="auto"/>
              </w:rPr>
            </w:pPr>
            <w:r>
              <w:rPr>
                <w:rFonts w:ascii="Arial" w:cs="Arial" w:eastAsia="Arial" w:hAnsi="Arial"/>
                <w:sz w:val="18"/>
                <w:szCs w:val="18"/>
                <w:i w:val="1"/>
                <w:iCs w:val="1"/>
                <w:color w:val="auto"/>
              </w:rPr>
              <w:t>Six months ended</w:t>
            </w: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June 30,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June 30,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 except per share amounts</w:t>
            </w: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1,876</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594.1</w:t>
            </w: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597.5</w:t>
            </w: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62"/>
        </w:trPr>
        <w:tc>
          <w:tcPr>
            <w:tcW w:w="6660" w:type="dxa"/>
            <w:vAlign w:val="bottom"/>
          </w:tcPr>
          <w:p>
            <w:pPr>
              <w:ind w:left="180"/>
              <w:spacing w:after="0"/>
              <w:rPr>
                <w:sz w:val="20"/>
                <w:szCs w:val="20"/>
                <w:color w:val="auto"/>
              </w:rPr>
            </w:pPr>
            <w:r>
              <w:rPr>
                <w:rFonts w:ascii="Arial" w:cs="Arial" w:eastAsia="Arial" w:hAnsi="Arial"/>
                <w:sz w:val="18"/>
                <w:szCs w:val="18"/>
                <w:color w:val="auto"/>
              </w:rPr>
              <w:t>Dilutive effect of stock options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1"/>
        </w:trPr>
        <w:tc>
          <w:tcPr>
            <w:tcW w:w="6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retention shares and units</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594.8</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598.4</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7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63"/>
        </w:trPr>
        <w:tc>
          <w:tcPr>
            <w:tcW w:w="6660" w:type="dxa"/>
            <w:vAlign w:val="bottom"/>
          </w:tcPr>
          <w:p>
            <w:pPr>
              <w:ind w:left="20"/>
              <w:spacing w:after="0"/>
              <w:rPr>
                <w:sz w:val="20"/>
                <w:szCs w:val="20"/>
                <w:color w:val="auto"/>
              </w:rPr>
            </w:pPr>
            <w:r>
              <w:rPr>
                <w:rFonts w:ascii="Arial" w:cs="Arial" w:eastAsia="Arial" w:hAnsi="Arial"/>
                <w:sz w:val="18"/>
                <w:szCs w:val="18"/>
                <w:color w:val="auto"/>
              </w:rPr>
              <w:t>Earnings per share - diluted</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1"/>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options excluded as their inclusion would be anti-dilutive</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Foreign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w w:val="98"/>
              </w:rPr>
              <w:t>Unrealized gain 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Defined benefit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currency</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derivative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plans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translation</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instruments [a]</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1, 2025</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0"/>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6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6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4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31"/>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($1.7) million</w:t>
            </w: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50"/>
        </w:trPr>
        <w:tc>
          <w:tcPr>
            <w:tcW w:w="58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1, 2024</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0"/>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6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6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66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4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quarter-to-date other comprehensive income/(loss), net of taxes of</w:t>
            </w:r>
          </w:p>
        </w:tc>
        <w:tc>
          <w:tcPr>
            <w:tcW w:w="6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31"/>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$0.0 million</w:t>
            </w: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8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6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5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hanging="332"/>
        <w:spacing w:after="0" w:line="265"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Foreign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w w:val="98"/>
              </w:rPr>
              <w:t>Unrealized gain on</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Defined benefit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currency</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derivative</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plans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translation</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instruments [a]</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1"/>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5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5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5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980" w:type="dxa"/>
            <w:vAlign w:val="bottom"/>
            <w:tcBorders>
              <w:bottom w:val="single" w:sz="8" w:color="CCEEFF"/>
            </w:tcBorders>
            <w:vMerge w:val="continue"/>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year-to-date other comprehensive income/(loss), net of taxes of ($1.9)</w:t>
            </w: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31"/>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million</w:t>
            </w:r>
          </w:p>
        </w:tc>
        <w:tc>
          <w:tcPr>
            <w:tcW w:w="5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2025</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50"/>
        </w:trPr>
        <w:tc>
          <w:tcPr>
            <w:tcW w:w="59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1"/>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w:t>
            </w:r>
          </w:p>
        </w:tc>
        <w:tc>
          <w:tcPr>
            <w:tcW w:w="5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31"/>
        </w:trPr>
        <w:tc>
          <w:tcPr>
            <w:tcW w:w="5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income/(loss) [b]</w:t>
            </w:r>
          </w:p>
        </w:tc>
        <w:tc>
          <w:tcPr>
            <w:tcW w:w="52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980" w:type="dxa"/>
            <w:vAlign w:val="bottom"/>
            <w:tcBorders>
              <w:bottom w:val="single" w:sz="8" w:color="CCEEFF"/>
            </w:tcBorders>
            <w:vMerge w:val="continue"/>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year-to-date other comprehensive income/(loss), net of taxes of ($0.1)</w:t>
            </w: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31"/>
        </w:trPr>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million</w:t>
            </w:r>
          </w:p>
        </w:tc>
        <w:tc>
          <w:tcPr>
            <w:tcW w:w="5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5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19" w:lineRule="exact"/>
        <w:rPr>
          <w:rFonts w:ascii="Arial" w:cs="Arial" w:eastAsia="Arial" w:hAnsi="Arial"/>
          <w:sz w:val="16"/>
          <w:szCs w:val="16"/>
          <w:i w:val="1"/>
          <w:iCs w:val="1"/>
          <w:color w:val="auto"/>
        </w:rPr>
      </w:pPr>
    </w:p>
    <w:p>
      <w:pPr>
        <w:ind w:left="340" w:right="20" w:hanging="332"/>
        <w:spacing w:after="0" w:line="283" w:lineRule="auto"/>
        <w:tabs>
          <w:tab w:leader="none" w:pos="33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include freight and other receivables reduced by an allowance for doubtful accounts. At June 30, 2025, and December 31, 2024, our accounts receivable were reduced by $5 million and $ 6 million, respectively. Receivables not expected to be collected in one year and the associated allowances are classified as other assets in our Condensed Consolidated Statements of Financial Position. At June 30, 2025, and December 31, 2024, receivables classified as other assets were reduced by allowances of $70 million and $69 million, respectively.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The Railroad maintains an $800 million, 3-year receivables securitization facility (the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maturing in July 2025, with the intent to renew under comparable terms and conditions.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recorded under the Receivables Facility was $0 at both June 30, 2025, and December 31, 2024. During the six months ended June 30, 2025, we issued $0 and repaid $0 under the Receivables Facility. The Receivables Facility was supported by $1.7 billion and $1.6 billion of accounts receivable as collateral at June 30, 2025, and December 31, 2024, respectively, which, as a retained interest, is included in accounts receivable, net in our Condensed Consolidated Statements of Financial Position.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$800 million with availability directly impacted by eligible receivables, business volume,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$1 million and $4 million for the three months ended June 30, 2025 and 2024, respectively, and $2 million and $5 million for the six months ended June 30, 2025 and 2024, respectively.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234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June 30, 2025</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5,450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11,718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12,593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4,206</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8,387</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4,330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24,202</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18,305</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62,885</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42,740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5,994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3,077</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2,004</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14,143</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8,756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766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1,305</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4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r>
      <w:tr>
        <w:trPr>
          <w:trHeight w:val="22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4,109</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8,249</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5,681</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18,232</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62,049</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42,435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1,974</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 [b]</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8,507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1,169</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58,343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9" w:lineRule="exact"/>
        <w:rPr>
          <w:rFonts w:ascii="Arial" w:cs="Arial" w:eastAsia="Arial" w:hAnsi="Arial"/>
          <w:sz w:val="16"/>
          <w:szCs w:val="16"/>
          <w:i w:val="1"/>
          <w:iCs w:val="1"/>
          <w:color w:val="auto"/>
        </w:rPr>
      </w:pPr>
    </w:p>
    <w:p>
      <w:pPr>
        <w:jc w:val="both"/>
        <w:ind w:left="340" w:hanging="332"/>
        <w:spacing w:after="0" w:line="258" w:lineRule="auto"/>
        <w:tabs>
          <w:tab w:leader="none" w:pos="331"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For retirements of depreciable railroad properties that do not occur in the normal course of business, a gain or loss may be recognized if the retirement meets each of the following three conditions: (a) is unusual, (b) is material in amount, and (c) varies significantly from the retirement profile identified through our depreciation studies. In the second quarter of 2024, we sold a large portion of an intermodal equipment asset class resulting in a $46 million gain recognized in other expense in our Condensed Consolidated Statements of Income.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Jun. 30,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and other taxes payable</w:t>
            </w:r>
          </w:p>
        </w:tc>
        <w:tc>
          <w:tcPr>
            <w:tcW w:w="26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62"/>
        </w:trPr>
        <w:tc>
          <w:tcPr>
            <w:tcW w:w="62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815</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accruals</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casualty costs</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26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rents payable</w:t>
            </w:r>
          </w:p>
        </w:tc>
        <w:tc>
          <w:tcPr>
            <w:tcW w:w="26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63"/>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current liabilities</w:t>
            </w:r>
          </w:p>
        </w:tc>
        <w:tc>
          <w:tcPr>
            <w:tcW w:w="2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both June 30, 2025, and December 31, 2024, the Company had $20 million of short-term investments, which is included in other current assets in our Condensed Consolidated Statements of Financial Position. All short-term investments have a maturity of less than one year and are classified as held-to-maturity.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June 30, 2025, the fair value of total debt was $27.3 billion, approximately $5.5 billion less than the carrying value. At December 31, 2024, the fair value of total debt was $25.3 billion, approximately $5.9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June 30, 2025, we had $2.0 billion of credit available under our revolving credit facility (the Facility), which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general corporate purposes and supports the issuance of commercial paper. Credit facility withdrawals totaled $0 during the six months ended June 30, 2025.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the Employee Retirement Income Security Act of 1974 (ERISA), and unamortized debt discount and deferred debt issuance costs. At June 30, 2025, the Company was in compliance with the adjusted debt-to-EBITDA coverage ratio, which allows us to carry up to $ 47.3 billion of debt (as defined in the Facility), and we had $34.5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six months ended June 30, 2025, we issued $0 and repaid $0 of commercial paper. At June 30, 2025, we had $ 0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Under our shelf registration, we may issue, from time to time, any combination of debt securities, preferred stock, common stock, or warrants for debt securities or preferred stock in one or more offerings. The Board of Directors authorized the issuance of up to $9.0 billion of debt securities.</w:t>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 we issued the following unsecured, fixed-rate debt securities under our shelf registration:</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Date</w:t>
            </w:r>
          </w:p>
        </w:tc>
        <w:tc>
          <w:tcPr>
            <w:tcW w:w="798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8"/>
                <w:szCs w:val="18"/>
                <w:i w:val="1"/>
                <w:iCs w:val="1"/>
                <w:color w:val="auto"/>
              </w:rPr>
              <w:t>Description of securities</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13, 2025</w:t>
            </w:r>
          </w:p>
        </w:tc>
        <w:tc>
          <w:tcPr>
            <w:tcW w:w="7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$1.00 billion of 5.100% Notes due February 20, 2035</w:t>
            </w:r>
          </w:p>
        </w:tc>
      </w:tr>
      <w:tr>
        <w:trPr>
          <w:trHeight w:val="230"/>
        </w:trPr>
        <w:tc>
          <w:tcPr>
            <w:tcW w:w="324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$1.00 billion of 5.600% Notes due December 1, 2054</w:t>
            </w: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the net proceeds from the offering for general corporate purposes, including the repurchase of common stock pursuant to our share repurchase programs. These debt securities include change -of-control provisions. At June 30, 2025, we had remaining authority from the Board of Directors to issue up to $7.0 billion of debt securities under our shelf registration.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both June 30, 2025, and December 31, 2024, we recorded $0 of borrowings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as secured debt. (See further discussion in the "Receivables Securitization Facility" section of Note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uncertainty surrounding the ultimate outcome of personal injury claims, it is reasonably possible that future costs to settle these claims may range from approximately $370 million to $487 million. We record an accrual at the low end of the range as no amount of loss within the range is more probable than any other. Estimates can vary over time due to evolving trends in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4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20" w:type="dxa"/>
            <w:vAlign w:val="bottom"/>
          </w:tcPr>
          <w:p>
            <w:pPr>
              <w:spacing w:after="0"/>
              <w:rPr>
                <w:sz w:val="22"/>
                <w:szCs w:val="22"/>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5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3"/>
                <w:szCs w:val="23"/>
                <w:color w:val="auto"/>
              </w:rPr>
            </w:pPr>
          </w:p>
        </w:tc>
      </w:tr>
      <w:tr>
        <w:trPr>
          <w:trHeight w:val="262"/>
        </w:trPr>
        <w:tc>
          <w:tcPr>
            <w:tcW w:w="4520" w:type="dxa"/>
            <w:vAlign w:val="bottom"/>
          </w:tcPr>
          <w:p>
            <w:pPr>
              <w:ind w:left="20"/>
              <w:spacing w:after="0"/>
              <w:rPr>
                <w:sz w:val="20"/>
                <w:szCs w:val="20"/>
                <w:color w:val="auto"/>
              </w:rPr>
            </w:pPr>
            <w:r>
              <w:rPr>
                <w:rFonts w:ascii="Arial" w:cs="Arial" w:eastAsia="Arial" w:hAnsi="Arial"/>
                <w:sz w:val="18"/>
                <w:szCs w:val="18"/>
                <w:color w:val="auto"/>
              </w:rPr>
              <w:t>Current year accruals</w:t>
            </w:r>
          </w:p>
        </w:tc>
        <w:tc>
          <w:tcPr>
            <w:tcW w:w="45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2"/>
                <w:szCs w:val="22"/>
                <w:color w:val="auto"/>
              </w:rPr>
            </w:pPr>
          </w:p>
        </w:tc>
      </w:tr>
      <w:tr>
        <w:trPr>
          <w:trHeight w:val="27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for prior years</w:t>
            </w:r>
          </w:p>
        </w:tc>
        <w:tc>
          <w:tcPr>
            <w:tcW w:w="45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6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4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r>
      <w:tr>
        <w:trPr>
          <w:trHeight w:val="26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at June 30,</w:t>
            </w:r>
          </w:p>
        </w:tc>
        <w:tc>
          <w:tcPr>
            <w:tcW w:w="4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2"/>
                <w:szCs w:val="22"/>
                <w:color w:val="auto"/>
              </w:rPr>
            </w:pPr>
          </w:p>
        </w:tc>
      </w:tr>
      <w:tr>
        <w:trPr>
          <w:trHeight w:val="26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ending balance at June 30,</w:t>
            </w:r>
          </w:p>
        </w:tc>
        <w:tc>
          <w:tcPr>
            <w:tcW w:w="4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2"/>
                <w:szCs w:val="22"/>
                <w:color w:val="auto"/>
              </w:rPr>
            </w:pPr>
          </w:p>
        </w:tc>
      </w:tr>
      <w:tr>
        <w:trPr>
          <w:trHeight w:val="540"/>
        </w:trPr>
        <w:tc>
          <w:tcPr>
            <w:tcW w:w="4520" w:type="dxa"/>
            <w:vAlign w:val="bottom"/>
          </w:tcPr>
          <w:p>
            <w:pPr>
              <w:spacing w:after="0"/>
              <w:rPr>
                <w:sz w:val="24"/>
                <w:szCs w:val="24"/>
                <w:color w:val="auto"/>
              </w:rPr>
            </w:pPr>
          </w:p>
        </w:tc>
        <w:tc>
          <w:tcPr>
            <w:tcW w:w="4560" w:type="dxa"/>
            <w:vAlign w:val="bottom"/>
          </w:tcPr>
          <w:p>
            <w:pPr>
              <w:jc w:val="right"/>
              <w:ind w:right="327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5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353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30 sites that are the subject of actions taken by the U.S. government, including 18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30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63"/>
        </w:trPr>
        <w:tc>
          <w:tcPr>
            <w:tcW w:w="6020" w:type="dxa"/>
            <w:vAlign w:val="bottom"/>
          </w:tcPr>
          <w:p>
            <w:pPr>
              <w:ind w:left="20"/>
              <w:spacing w:after="0"/>
              <w:rPr>
                <w:sz w:val="20"/>
                <w:szCs w:val="20"/>
                <w:color w:val="auto"/>
              </w:rPr>
            </w:pPr>
            <w:r>
              <w:rPr>
                <w:rFonts w:ascii="Arial" w:cs="Arial" w:eastAsia="Arial" w:hAnsi="Arial"/>
                <w:sz w:val="18"/>
                <w:szCs w:val="18"/>
                <w:color w:val="auto"/>
              </w:rPr>
              <w:t>Accruals</w:t>
            </w:r>
          </w:p>
        </w:tc>
        <w:tc>
          <w:tcPr>
            <w:tcW w:w="30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1"/>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64"/>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 at June 30,</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6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ending balance at June 30,</w:t>
            </w:r>
          </w:p>
        </w:tc>
        <w:tc>
          <w:tcPr>
            <w:tcW w:w="3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bl>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 Programs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Effective April 1, 2025, our Board of Directors authorized the repurchase of up to 100 million shares of our common stock by March 31, 2028. As of June 30, 2025, we repurchased a total of 6.1 million shares of our common stock under the 2025 authorization. These repurchases may be made on the open market or through other transactions. Our management has sole discretion with respect to determining the timing and amount of these transactions.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in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40" w:type="dxa"/>
            <w:vAlign w:val="bottom"/>
          </w:tcPr>
          <w:p>
            <w:pPr>
              <w:spacing w:after="0"/>
              <w:rPr>
                <w:sz w:val="20"/>
                <w:szCs w:val="20"/>
                <w:color w:val="auto"/>
              </w:rPr>
            </w:pPr>
          </w:p>
        </w:tc>
        <w:tc>
          <w:tcPr>
            <w:tcW w:w="29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Number of shares purchased</w:t>
            </w:r>
          </w:p>
        </w:tc>
        <w:tc>
          <w:tcPr>
            <w:tcW w:w="460" w:type="dxa"/>
            <w:vAlign w:val="bottom"/>
          </w:tcPr>
          <w:p>
            <w:pPr>
              <w:spacing w:after="0"/>
              <w:rPr>
                <w:sz w:val="20"/>
                <w:szCs w:val="20"/>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i w:val="1"/>
                <w:iCs w:val="1"/>
                <w:color w:val="auto"/>
              </w:rPr>
              <w:t>Average price paid [a]</w:t>
            </w:r>
          </w:p>
        </w:tc>
      </w:tr>
      <w:tr>
        <w:trPr>
          <w:trHeight w:val="23"/>
        </w:trPr>
        <w:tc>
          <w:tcPr>
            <w:tcW w:w="54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i w:val="1"/>
                <w:iCs w:val="1"/>
                <w:color w:val="auto"/>
              </w:rPr>
              <w:t>2025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 [b]</w:t>
            </w:r>
          </w:p>
        </w:tc>
        <w:tc>
          <w:tcPr>
            <w:tcW w:w="17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5,745,601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250.74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Second quarter [c]</w:t>
            </w:r>
          </w:p>
        </w:tc>
        <w:tc>
          <w:tcPr>
            <w:tcW w:w="1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6,111,558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492,320</w:t>
            </w: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205.06</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225.96</w:t>
            </w:r>
          </w:p>
        </w:tc>
      </w:tr>
      <w:tr>
        <w:trPr>
          <w:trHeight w:val="26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11,857,159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492,320</w:t>
            </w:r>
          </w:p>
        </w:tc>
        <w:tc>
          <w:tcPr>
            <w:tcW w:w="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w:t>
            </w:r>
          </w:p>
        </w:tc>
      </w:tr>
      <w:tr>
        <w:trPr>
          <w:trHeight w:val="247"/>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Remaining number of shares that may be repurchased under current authority</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93,888,442</w:t>
            </w:r>
          </w:p>
        </w:tc>
      </w:tr>
      <w:tr>
        <w:trPr>
          <w:trHeight w:val="23"/>
        </w:trPr>
        <w:tc>
          <w:tcPr>
            <w:tcW w:w="5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ind w:left="340" w:right="20" w:hanging="332"/>
        <w:spacing w:after="0" w:line="264" w:lineRule="auto"/>
        <w:tabs>
          <w:tab w:leader="none" w:pos="33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4,815,022 shares repurchased in 2025 under the ASRs at an average price $251.73.</w:t>
      </w:r>
    </w:p>
    <w:p>
      <w:pPr>
        <w:spacing w:after="0" w:line="14" w:lineRule="exact"/>
        <w:rPr>
          <w:rFonts w:ascii="Arial" w:cs="Arial" w:eastAsia="Arial" w:hAnsi="Arial"/>
          <w:sz w:val="16"/>
          <w:szCs w:val="16"/>
          <w:i w:val="1"/>
          <w:iCs w:val="1"/>
          <w:color w:val="auto"/>
        </w:rPr>
      </w:pPr>
    </w:p>
    <w:p>
      <w:pPr>
        <w:ind w:left="320" w:hanging="312"/>
        <w:spacing w:after="0"/>
        <w:tabs>
          <w:tab w:leader="none" w:pos="3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an incremental 1,795,904 shares received upon final settlement in 2025 under the ASRs at an average price of $169.22.</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Management's assessments of market conditions and other pertinent factors guide the timing, manner,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fees, and excise taxes.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Accelerated share repurchase programs </w:t>
      </w:r>
      <w:r>
        <w:rPr>
          <w:rFonts w:ascii="Arial" w:cs="Arial" w:eastAsia="Arial" w:hAnsi="Arial"/>
          <w:sz w:val="18"/>
          <w:szCs w:val="18"/>
          <w:color w:val="auto"/>
        </w:rPr>
        <w:t>– The Company has established ASRs with financial institutions to repurchase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18, 2025, the Company received 4,815,022 shares of its common stock repurchased under ASRs for an aggregate of $1.5 billion. Upon settlement of these ASRs in the second quarter of 2025, we received 1,795,904 additional shares.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(i.e., renting rail cars at stated rates).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UPRR had $1.9 billion recognized as investments related to TTX in our Condensed Consolidated Statements of Financial Position as of both June 30, 2025, and December 31, 2024. TTX car hire expense of $109 million and $107 million for the three months ended June 30, 2025 and 2024, respectively, and $221 million and $209 million for the six months ended June 30, 2025 and 2024, respectively, are included in equipment and other rents in our Condensed Consolidated Statements of Income. In addition, UPRR had accounts payable to TTX of $71 million and $70 million at June 30, 2025, and December 31, 2024, respectively.</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UNION PACIFIC CORPORATION AND SUBSIDIARY COMPANIES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2025, compared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2024</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2024 Annual Report on Form 10-K. During the first six months of 2025, there have not been any significant changes with respect to our critical accounting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summary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reported earnings of $ 3.15 per diluted share on net income of $ 1.9 billion and an operating ratio of 59.0% in the second quarter of 2025 compared to earnings of $2.74 per diluted share on net income of $1.7 billion and an operating ratio of 60.0% for the second quarter of 2024. Freight revenues increased 4% in the second quarter of 2025 compared to the same period in 2024 driven by 4% volume increases and core pricing gains, partially offset by lower fuel surcharge revenues and unfavorable business mix (for example, relative increases in shipments with a lower average revenue per car (ARC), such as coal and intermodal). Volume increases were primarily driven by coal, intermodal, grain and grain products, and industrial chemicals, partially offset by weaker demand for automotive and fertilizer.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quarter of 2025 continued the trajectory of improved operational performance as reflected in the key service metric results compared to 2024. Freight car velocity increased 10% and terminal dwell improved 7%, while we handled 4% more volume than last year, including an increase of 31% in coal business. We continue to utilize our resources effectively as workforce productivity improved 9% and locomotive productivity improved 5% year-over-year. Both manifest and intermodal service performance index measures improved, while train length increased 2%.</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slightly compared to the second quarter of 2024 due to volume-related costs, inflation, a $55 million crew staffing agreement ratification charge, and higher depreciation. These increases were partially offset by productivity, lower fuel prices, and lower casualty costs. Compared to second quarter of last year, operating income increased 5% to $2.5 billion and operating ratio of 59.0% improved 1.0 point, reflecting top-line growth, solid operational performance, and productivity gains.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i w:val="1"/>
                <w:iCs w:val="1"/>
                <w:color w:val="auto"/>
              </w:rPr>
              <w:t>Three months ended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i w:val="1"/>
                <w:iCs w:val="1"/>
                <w:color w:val="auto"/>
              </w:rPr>
              <w:t>Six months ended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i w:val="1"/>
                <w:iCs w:val="1"/>
                <w:color w:val="auto"/>
              </w:rPr>
              <w:t>June 30,</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i w:val="1"/>
                <w:iCs w:val="1"/>
                <w:color w:val="auto"/>
              </w:rPr>
              <w:t>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2024</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w w:val="99"/>
              </w:rPr>
              <w:t>Change</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5,638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11,254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62"/>
        </w:trPr>
        <w:tc>
          <w:tcPr>
            <w:tcW w:w="4540" w:type="dxa"/>
            <w:vAlign w:val="bottom"/>
          </w:tcPr>
          <w:p>
            <w:pPr>
              <w:ind w:left="20"/>
              <w:spacing w:after="0"/>
              <w:rPr>
                <w:sz w:val="20"/>
                <w:szCs w:val="20"/>
                <w:color w:val="auto"/>
              </w:rPr>
            </w:pPr>
            <w:r>
              <w:rPr>
                <w:rFonts w:ascii="Arial" w:cs="Arial" w:eastAsia="Arial" w:hAnsi="Arial"/>
                <w:sz w:val="18"/>
                <w:szCs w:val="18"/>
                <w:color w:val="auto"/>
              </w:rPr>
              <w:t>Other subsidiary revenues</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4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212</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14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429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Accessorial revenues</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6,007</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12,038</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 (carloads) and ARC. Changes in price, traffic mix, and fuel surcharges drive ARC. Customer incentives, which are primarily provided for shipping to/from specific locations or based on cumulative volume, are recorded as a reduction to operating revenues. Customer incentives that include variable consideration based on cumulative volume are estimated using the expected value method, which is based on available historical, current, and forecasted volume,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Freight revenues increased 4% in the second quarter of 2025 compared to the same period in 2024 driven by 4% volume increases and core pricing gains, partially offset by lower fuel surcharge revenues and unfavorable business mix (for example, relative increases in shipments with a lower ARC, such as coal and intermodal). Volume increases were primarily driven by coal, intermodal, grain and grain products, and industrial chemicals, partially offset by weaker demand for automotive and fertilizer.</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commodity groups includes revenues from fuel surcharges. Freight revenues from fuel surcharge programs decreased $100 million to $569 million in the second quarter of 2025 compared to $669 million in the same period of 2024 due to lower fuel prices and the lag impact on fuel prices (it can generally take up to two months for changing fuel prices to affect fuel surcharge recoveries), partially offset by higher volume.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subsidiary revenues decreased in the second quarter and six month periods of 2025 compared to 2024 primarily driven by the transfer of commuter operations to Metra and a weaker demand for auto parts shipments at our subsidiary that brokers intermodal and transload logistics services. Accessorial revenues decreased in the second quarter and six month periods of 2025 compared to 2024 driven by lower intermodal accessorial revenues as a result of our intermodal equipment sale. Additionally, the year-to-date comparison was negatively impacted by a one-time contract settlement recognized in the first quarter of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Freight revenues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3"/>
          </w:tcPr>
          <w:p>
            <w:pPr>
              <w:jc w:val="center"/>
              <w:ind w:left="290"/>
              <w:spacing w:after="0"/>
              <w:rPr>
                <w:sz w:val="20"/>
                <w:szCs w:val="20"/>
                <w:color w:val="auto"/>
              </w:rPr>
            </w:pPr>
            <w:r>
              <w:rPr>
                <w:rFonts w:ascii="Arial" w:cs="Arial" w:eastAsia="Arial" w:hAnsi="Arial"/>
                <w:sz w:val="18"/>
                <w:szCs w:val="18"/>
                <w:i w:val="1"/>
                <w:iCs w:val="1"/>
                <w:color w:val="auto"/>
                <w:w w:val="99"/>
              </w:rPr>
              <w:t>Three months ended</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3"/>
          </w:tcPr>
          <w:p>
            <w:pPr>
              <w:jc w:val="center"/>
              <w:ind w:left="390"/>
              <w:spacing w:after="0"/>
              <w:rPr>
                <w:sz w:val="20"/>
                <w:szCs w:val="20"/>
                <w:color w:val="auto"/>
              </w:rPr>
            </w:pPr>
            <w:r>
              <w:rPr>
                <w:rFonts w:ascii="Arial" w:cs="Arial" w:eastAsia="Arial" w:hAnsi="Arial"/>
                <w:sz w:val="18"/>
                <w:szCs w:val="18"/>
                <w:i w:val="1"/>
                <w:iCs w:val="1"/>
                <w:color w:val="auto"/>
                <w:w w:val="99"/>
              </w:rPr>
              <w:t>Six months ended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540" w:type="dxa"/>
            <w:vAlign w:val="bottom"/>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i w:val="1"/>
                <w:iCs w:val="1"/>
                <w:color w:val="auto"/>
              </w:rPr>
              <w:t>June 30,</w:t>
            </w:r>
          </w:p>
        </w:tc>
        <w:tc>
          <w:tcPr>
            <w:tcW w:w="6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i w:val="1"/>
                <w:iCs w:val="1"/>
                <w:color w:val="auto"/>
                <w:w w:val="98"/>
              </w:rPr>
              <w:t>June 30,</w:t>
            </w:r>
          </w:p>
        </w:tc>
        <w:tc>
          <w:tcPr>
            <w:tcW w:w="7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2024</w:t>
            </w: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i w:val="1"/>
                <w:iCs w:val="1"/>
                <w:color w:val="auto"/>
              </w:rPr>
              <w:t>Change</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1,844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203</w:t>
            </w:r>
          </w:p>
        </w:tc>
        <w:tc>
          <w:tcPr>
            <w:tcW w:w="680" w:type="dxa"/>
            <w:vAlign w:val="bottom"/>
          </w:tcPr>
          <w:p>
            <w:pPr>
              <w:ind w:left="44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404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278</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(4)</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469</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1,901</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3,737</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3,538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646</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593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1,253</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1,165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342</w:t>
            </w:r>
          </w:p>
        </w:tc>
        <w:tc>
          <w:tcPr>
            <w:tcW w:w="680" w:type="dxa"/>
            <w:vAlign w:val="bottom"/>
          </w:tcPr>
          <w:p>
            <w:pPr>
              <w:ind w:left="44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661</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680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665</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658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1,298</w:t>
            </w: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1,337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2,212</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2,123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4,294</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632</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659</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(4)</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1,098</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1,135</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(3)</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2,290</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2,219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1,730</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1,794</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(4)</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3,503</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3,489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5,638</w:t>
            </w: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4%</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11,534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11,254</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 carloads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8"/>
                <w:szCs w:val="18"/>
                <w:i w:val="1"/>
                <w:iCs w:val="1"/>
                <w:color w:val="auto"/>
              </w:rPr>
              <w:t>Three months ended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3"/>
          </w:tcPr>
          <w:p>
            <w:pPr>
              <w:jc w:val="center"/>
              <w:ind w:left="430"/>
              <w:spacing w:after="0"/>
              <w:rPr>
                <w:sz w:val="20"/>
                <w:szCs w:val="20"/>
                <w:color w:val="auto"/>
              </w:rPr>
            </w:pPr>
            <w:r>
              <w:rPr>
                <w:rFonts w:ascii="Arial" w:cs="Arial" w:eastAsia="Arial" w:hAnsi="Arial"/>
                <w:sz w:val="18"/>
                <w:szCs w:val="18"/>
                <w:i w:val="1"/>
                <w:iCs w:val="1"/>
                <w:color w:val="auto"/>
                <w:w w:val="99"/>
              </w:rPr>
              <w:t>Six months ended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54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June 30,</w:t>
            </w:r>
          </w:p>
        </w:tc>
        <w:tc>
          <w:tcPr>
            <w:tcW w:w="6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i w:val="1"/>
                <w:iCs w:val="1"/>
                <w:color w:val="auto"/>
              </w:rPr>
              <w:t>June 30,</w:t>
            </w:r>
          </w:p>
        </w:tc>
        <w:tc>
          <w:tcPr>
            <w:tcW w:w="7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i w:val="1"/>
                <w:iCs w:val="1"/>
                <w:color w:val="auto"/>
              </w:rPr>
              <w:t>2024</w:t>
            </w: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i w:val="1"/>
                <w:iCs w:val="1"/>
                <w:color w:val="auto"/>
              </w:rPr>
              <w:t>Change</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2"/>
                <w:szCs w:val="22"/>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109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158</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466</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11</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54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22"/>
                <w:szCs w:val="22"/>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169</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333</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4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2"/>
                <w:szCs w:val="22"/>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55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108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1,096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798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1,691</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1,537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1,016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1,962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2,114</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2,037</w:t>
            </w: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4%</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4,211</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4,004</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3"/>
          </w:tcPr>
          <w:p>
            <w:pPr>
              <w:jc w:val="center"/>
              <w:ind w:left="290"/>
              <w:spacing w:after="0"/>
              <w:rPr>
                <w:sz w:val="20"/>
                <w:szCs w:val="20"/>
                <w:color w:val="auto"/>
              </w:rPr>
            </w:pPr>
            <w:r>
              <w:rPr>
                <w:rFonts w:ascii="Arial" w:cs="Arial" w:eastAsia="Arial" w:hAnsi="Arial"/>
                <w:sz w:val="18"/>
                <w:szCs w:val="18"/>
                <w:i w:val="1"/>
                <w:iCs w:val="1"/>
                <w:color w:val="auto"/>
                <w:w w:val="99"/>
              </w:rPr>
              <w:t>Three months ended</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3"/>
          </w:tcPr>
          <w:p>
            <w:pPr>
              <w:jc w:val="center"/>
              <w:ind w:left="390"/>
              <w:spacing w:after="0"/>
              <w:rPr>
                <w:sz w:val="20"/>
                <w:szCs w:val="20"/>
                <w:color w:val="auto"/>
              </w:rPr>
            </w:pPr>
            <w:r>
              <w:rPr>
                <w:rFonts w:ascii="Arial" w:cs="Arial" w:eastAsia="Arial" w:hAnsi="Arial"/>
                <w:sz w:val="18"/>
                <w:szCs w:val="18"/>
                <w:i w:val="1"/>
                <w:iCs w:val="1"/>
                <w:color w:val="auto"/>
                <w:w w:val="99"/>
              </w:rPr>
              <w:t>Six months ended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i w:val="1"/>
                <w:iCs w:val="1"/>
                <w:color w:val="auto"/>
              </w:rPr>
              <w:t>June 30,</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330"/>
              <w:spacing w:after="0"/>
              <w:rPr>
                <w:sz w:val="20"/>
                <w:szCs w:val="20"/>
                <w:color w:val="auto"/>
              </w:rPr>
            </w:pPr>
            <w:r>
              <w:rPr>
                <w:rFonts w:ascii="Arial" w:cs="Arial" w:eastAsia="Arial" w:hAnsi="Arial"/>
                <w:sz w:val="18"/>
                <w:szCs w:val="18"/>
                <w:i w:val="1"/>
                <w:iCs w:val="1"/>
                <w:color w:val="auto"/>
                <w:w w:val="98"/>
              </w:rPr>
              <w:t>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revenue per car</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2024</w:t>
            </w: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i w:val="1"/>
                <w:iCs w:val="1"/>
                <w:color w:val="auto"/>
              </w:rPr>
              <w:t>Change</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4,493</w:t>
            </w:r>
          </w:p>
        </w:tc>
        <w:tc>
          <w:tcPr>
            <w:tcW w:w="94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4,493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3,627</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3,311</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3,959</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3,727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6,237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6,147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2,283</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2,156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2,267</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2,173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3,659</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3,692</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3,700</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3,740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3,647</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3,507</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3,625</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3,497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2,950</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2,885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2,967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6,508</w:t>
            </w:r>
          </w:p>
        </w:tc>
        <w:tc>
          <w:tcPr>
            <w:tcW w:w="12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6,249</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6,387</w:t>
            </w:r>
          </w:p>
        </w:tc>
        <w:tc>
          <w:tcPr>
            <w:tcW w:w="12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6,272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4,439</w:t>
            </w: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4,462</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(1)</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4,436</w:t>
            </w:r>
          </w:p>
        </w:tc>
        <w:tc>
          <w:tcPr>
            <w:tcW w:w="1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4,439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3,885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3,825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3,881</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3,855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1,345</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1,421</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(5)</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1,355</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1,688</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1,766</w:t>
            </w:r>
          </w:p>
        </w:tc>
        <w:tc>
          <w:tcPr>
            <w:tcW w:w="6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(4)</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1,673</w:t>
            </w: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1,779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2,768</w:t>
            </w: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2,739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2,811</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ectPr>
          <w:pgSz w:w="11900" w:h="16918" w:orient="portrait"/>
          <w:cols w:equalWidth="0" w:num="1">
            <w:col w:w="11220"/>
          </w:cols>
          <w:pgMar w:left="320" w:top="121" w:right="359" w:bottom="0" w:gutter="0" w:footer="0" w:header="0"/>
        </w:sect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918" w:orient="portrait"/>
          <w:cols w:equalWidth="0" w:num="1">
            <w:col w:w="11220"/>
          </w:cols>
          <w:pgMar w:left="320" w:top="121" w:right="359" w:bottom="0" w:gutter="0" w:footer="0" w:header="0"/>
          <w:type w:val="continuous"/>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299085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 refrigerated, and coal and renewables. Freight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bulk shipments increased in the second quarter and year-to-date periods of 2025 compared to 2024 due to volume growth of 11% and 7%, respectively, and core pricing gains, partially offset by business mix (from increased coal shipments) and lower fuel surcharge revenues. The volume increases for both periods of 2025 were driven by higher demand for coal used in electricity generation due to higher natural gas prices and business wins, strength in grain and grain products from increased exports, soybean crush production, and ethanol demand. Lower food and refrigerated and fertilizer volume partially offset the volume growth.</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 and minerals, forest products, and energy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specialized markets. Freight revenues from industrial shipments increased in the second quarter of 2025 compared to 2024 due to core pricing gains and 3% volume increases, partially offset by lower fuel surcharge revenues and business mix from increased rock shipments. Volume increases in the second quarter of 2025 compared to 2024 were driven by strength in industrial chemicals, rock, and soda ash shipments. The volume gains were partially offset by lower iron ore shipments impacted by ongoing tariff uncertainties, and softness in the paper market. For the year-to-date period, industrial revenues increased 2% driven by core pricing gains and volume growth, partially offset by business mix and lower fuel surcharge revenues. Volume growth from industrial chemicals and rock was partially offset by lower shipments of forest and petroleum products in the first six months of 2025 compared to 2024.</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 merchandise in intermodal containers, both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international. Premium freight revenues decreased in the second quarter of 2025 compared to 2024 driven by lower fuel surcharge revenues and business mix, partially offset by a 1% increase in volume and core pricing gains. For the year-to-date period of 2025 compared to 2024, premium freight revenues were flat as 7% volume increases and core pricing gains were offset by business mix and lower fuel surcharge revenues. The volume increases in the second quarter and year-to-date periods of 2025 were primarily due to continued elevated U.S. West Coast imports in addition to domestic intermodal business development conversions. Automotive shipments decreased in the second quarter and year-to-date periods of 2025 compared to 2024 due to reduced production and tariff uncertainties.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Freight revenues from each of our commodity groups includes revenues from shipments to and from Mexico,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 to $751 million in the second quarter of 2025 compared to 2024 driven by volume growth in grain, petroleum products, and intermodal shipments, partially offset by lower automotive related shipments. For the first six months of 2025, Mexico related freight revenues declined 4% on 2% volume decreases driven by lower auto parts and finished vehicles, which more than offset growth in grain, intermodal, and petroleum product shipments.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i w:val="1"/>
                <w:iCs w:val="1"/>
                <w:color w:val="auto"/>
              </w:rPr>
              <w:t>Three months ended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i w:val="1"/>
                <w:iCs w:val="1"/>
                <w:color w:val="auto"/>
              </w:rPr>
              <w:t>Six months ended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i w:val="1"/>
                <w:iCs w:val="1"/>
                <w:color w:val="auto"/>
              </w:rPr>
              <w:t>June 30,</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i w:val="1"/>
                <w:iCs w:val="1"/>
                <w:color w:val="auto"/>
              </w:rPr>
              <w:t>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2024</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w w:val="99"/>
              </w:rPr>
              <w:t>Change</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Purchased services and materials</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4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644</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14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1,257</w:t>
            </w:r>
          </w:p>
        </w:tc>
        <w:tc>
          <w:tcPr>
            <w:tcW w:w="740" w:type="dxa"/>
            <w:vAlign w:val="bottom"/>
          </w:tcPr>
          <w:p>
            <w:pPr>
              <w:jc w:val="center"/>
              <w:ind w:left="43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1,190</w:t>
            </w:r>
          </w:p>
        </w:tc>
        <w:tc>
          <w:tcPr>
            <w:tcW w:w="740" w:type="dxa"/>
            <w:vAlign w:val="bottom"/>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9"/>
              </w:rPr>
              <w:t>3</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Fuel</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140" w:type="dxa"/>
            <w:vAlign w:val="bottom"/>
          </w:tcPr>
          <w:p>
            <w:pPr>
              <w:spacing w:after="0"/>
              <w:rPr>
                <w:sz w:val="22"/>
                <w:szCs w:val="22"/>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625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40" w:type="dxa"/>
            <w:vAlign w:val="bottom"/>
          </w:tcPr>
          <w:p>
            <w:pPr>
              <w:spacing w:after="0"/>
              <w:rPr>
                <w:sz w:val="22"/>
                <w:szCs w:val="22"/>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1,283</w:t>
            </w:r>
          </w:p>
        </w:tc>
        <w:tc>
          <w:tcPr>
            <w:tcW w:w="7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other rents</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435</w:t>
            </w:r>
          </w:p>
        </w:tc>
        <w:tc>
          <w:tcPr>
            <w:tcW w:w="740" w:type="dxa"/>
            <w:vAlign w:val="bottom"/>
            <w:shd w:val="clear" w:color="auto" w:fill="CCEEFF"/>
          </w:tcPr>
          <w:p>
            <w:pPr>
              <w:jc w:val="center"/>
              <w:ind w:left="430"/>
              <w:spacing w:after="0"/>
              <w:rPr>
                <w:sz w:val="20"/>
                <w:szCs w:val="20"/>
                <w:color w:val="auto"/>
              </w:rPr>
            </w:pPr>
            <w:r>
              <w:rPr>
                <w:rFonts w:ascii="Arial" w:cs="Arial" w:eastAsia="Arial" w:hAnsi="Arial"/>
                <w:sz w:val="18"/>
                <w:szCs w:val="18"/>
                <w:b w:val="1"/>
                <w:bCs w:val="1"/>
                <w:color w:val="auto"/>
                <w:w w:val="99"/>
              </w:rPr>
              <w:t>8</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691</w:t>
            </w:r>
          </w:p>
        </w:tc>
        <w:tc>
          <w:tcPr>
            <w:tcW w:w="7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w:t>
            </w: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3,607</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7,266</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increased slightly in the second quarter and year-to-date periods of 2025 compared to 2024 due to volume-related costs, inflation, a $55 million crew staffing agreement ratification charge, and higher depreciation. These increases were partially offset by productivity, lower fuel prices, and lower casualty costs.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For the second quarter and six month periods of 2025, compensation and benefits expense increased 5% and 2%, respectively, compared to 2024 due to volume-related costs, a $55 million crew staffing agreement ratification charge, wage inflation, and higher incentive compensation, partially offset by lower employee levels.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was flat in the second quarter of 2025 compared to 2024 driven by decreased volume-related drayage costs incurred at one of our subsidiaries, offset by inflation and volume-related costs (including an increase in our active locomotive fleet). For the year-to-date period, purchased services and materials increased 1% driven by inflation, volume-related costs, and a 2024 favorable contract settlement, partially offset by decreased volume-related drayage costs incurred at one of our subsidiaries.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increased 3% for both the second quarter and year-to-date periods of 2025 compared to 2024 driven by a higher depreciable asset base.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decreased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both the second quarter and year-to-date periods of 2025 compared to the same period in 2024 driven by a decrease in locomotive diesel fuel prices and an improvement in the fuel consumption rate (computed as gallons of fuel consumed divided by gross ton-miles in thousands), partially offset by an increase in gross ton-miles. Locomotive diesel fuel prices averaged $2.42 and $2.73 per gallon (including taxes and transportation costs) in the second quarter of 2025 and 2024, respectively. For the year-to-date period, locomotive diesel fuel prices averaged $2.46 per gallon in 2025 compared to $2.77 per gallon in 2024.</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 offset by equity income from certain equity method investments. Equipment and other rents expense increased 5% and 8%, respectively, in the second quarter and year-to-date periods of 2025 compared to 2024 driven by lower equity income, increased car hire for auto racks, increased demand in business (mainly intermodal) utilizing freight cars owned by others, and inflation, partially offset by lower operating equipment lease expense.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expense includes state and local taxes; freight, equipment, and property damage; utilities; insurance; personal injury;</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employee travel; telephone and cellular; computer software; bad debt; and other general expenses. Other expense decreased 5% and 2%, respectively, in the second quarter and year-to-date periods of 2025 compared to 2024 driven by lower environmental remediation and freight loss and damage costs, partially offset by a 2024 gain on the sale of intermodal equipment.</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 operating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i w:val="1"/>
                <w:iCs w:val="1"/>
                <w:color w:val="auto"/>
              </w:rPr>
              <w:t>Three months ended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i w:val="1"/>
                <w:iCs w:val="1"/>
                <w:color w:val="auto"/>
              </w:rPr>
              <w:t>Six months ended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i w:val="1"/>
                <w:iCs w:val="1"/>
                <w:color w:val="auto"/>
                <w:w w:val="98"/>
              </w:rPr>
              <w:t>June 30,</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i w:val="1"/>
                <w:iCs w:val="1"/>
                <w:color w:val="auto"/>
                <w:w w:val="98"/>
              </w:rPr>
              <w:t>June 30,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Millions</w:t>
            </w: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i w:val="1"/>
                <w:iCs w:val="1"/>
                <w:color w:val="auto"/>
                <w:w w:val="99"/>
              </w:rPr>
              <w:t>2025</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2024</w:t>
            </w:r>
          </w:p>
        </w:tc>
        <w:tc>
          <w:tcPr>
            <w:tcW w:w="13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i w:val="1"/>
                <w:iCs w:val="1"/>
                <w:color w:val="auto"/>
                <w:w w:val="99"/>
              </w:rPr>
              <w:t>Change</w:t>
            </w:r>
          </w:p>
        </w:tc>
        <w:tc>
          <w:tcPr>
            <w:tcW w:w="6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i w:val="1"/>
                <w:iCs w:val="1"/>
                <w:color w:val="auto"/>
                <w:w w:val="99"/>
              </w:rPr>
              <w:t>2025</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Change</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103</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  $</w:t>
            </w: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201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2"/>
                <w:szCs w:val="22"/>
                <w:color w:val="auto"/>
              </w:rPr>
            </w:pPr>
          </w:p>
        </w:tc>
        <w:tc>
          <w:tcPr>
            <w:tcW w:w="6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(335)</w:t>
            </w:r>
          </w:p>
        </w:tc>
        <w:tc>
          <w:tcPr>
            <w:tcW w:w="140" w:type="dxa"/>
            <w:vAlign w:val="bottom"/>
          </w:tcPr>
          <w:p>
            <w:pPr>
              <w:spacing w:after="0"/>
              <w:rPr>
                <w:sz w:val="22"/>
                <w:szCs w:val="22"/>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(319)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(657)</w:t>
            </w:r>
          </w:p>
        </w:tc>
        <w:tc>
          <w:tcPr>
            <w:tcW w:w="160" w:type="dxa"/>
            <w:vAlign w:val="bottom"/>
          </w:tcPr>
          <w:p>
            <w:pPr>
              <w:spacing w:after="0"/>
              <w:rPr>
                <w:sz w:val="22"/>
                <w:szCs w:val="22"/>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(643)</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9"/>
              </w:rPr>
              <w:t>(437)</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(938)</w:t>
            </w: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increased in the second quarter and year-to-date periods of 2025 compared to 2024 driven by higher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income, partially offset by interest received in 2024 from the IRS on refund claims. See Note 6 to the Condensed Consolidated Financial Statements, Item 1, for additional detail.</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increased in the second quarter and year-to-date periods of 2025 compared to 2024 due to a higher</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debt level combined with a slightly higher effective interest rate of 4.1% in 2025 compared to 4.0% in 2024 for both periods. The weighted-average debt levels were $32.8 billion and $31.7 billion for second quarter of 2025 and 2024, respectively, and $32.3 billion and $32.0 billion for the six month period of 2025 and 2024, respectively.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decreased 14% and 7% in the second quarter and year-to-date periods of 2025,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2024. In the second quarter of 2025, the state of Kansas enacted legislation modifying the corporate income tax apportionment formula for future years resulting in a $115 million reduction of our deferred tax expense. In the second quarter of 2024, the state of Arkansas enacted legislation to reduce its corporate income tax rate for future years resulting in an $8 million reduction of our deferred tax expense. Our effective tax rates were 18.9% and 23.4% for the second quarter of 2025 and 2024, respectively, and 21.1% and 23.4% for the six month period of 2025 and 2024, respectively.</w:t>
      </w: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 a number of key performance measures weekly to the Surface Transportation Board (STB). We provide these on our website at https://investor.unionpacific.com/key-performance-metrics.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180" w:type="dxa"/>
            <w:vAlign w:val="bottom"/>
            <w:gridSpan w:val="4"/>
          </w:tcPr>
          <w:p>
            <w:pPr>
              <w:jc w:val="right"/>
              <w:ind w:right="880"/>
              <w:spacing w:after="0"/>
              <w:rPr>
                <w:sz w:val="20"/>
                <w:szCs w:val="20"/>
                <w:color w:val="auto"/>
              </w:rPr>
            </w:pPr>
            <w:r>
              <w:rPr>
                <w:rFonts w:ascii="Arial" w:cs="Arial" w:eastAsia="Arial" w:hAnsi="Arial"/>
                <w:sz w:val="18"/>
                <w:szCs w:val="18"/>
                <w:i w:val="1"/>
                <w:iCs w:val="1"/>
                <w:color w:val="auto"/>
              </w:rPr>
              <w:t>Three months ended</w:t>
            </w:r>
          </w:p>
        </w:tc>
        <w:tc>
          <w:tcPr>
            <w:tcW w:w="2240" w:type="dxa"/>
            <w:vAlign w:val="bottom"/>
            <w:gridSpan w:val="2"/>
          </w:tcPr>
          <w:p>
            <w:pPr>
              <w:jc w:val="right"/>
              <w:spacing w:after="0"/>
              <w:rPr>
                <w:sz w:val="20"/>
                <w:szCs w:val="20"/>
                <w:color w:val="auto"/>
              </w:rPr>
            </w:pPr>
            <w:r>
              <w:rPr>
                <w:rFonts w:ascii="Arial" w:cs="Arial" w:eastAsia="Arial" w:hAnsi="Arial"/>
                <w:sz w:val="18"/>
                <w:szCs w:val="18"/>
                <w:i w:val="1"/>
                <w:iCs w:val="1"/>
                <w:color w:val="auto"/>
              </w:rPr>
              <w:t>Six months ended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4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i w:val="1"/>
                <w:iCs w:val="1"/>
                <w:color w:val="auto"/>
              </w:rPr>
              <w:t>June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i w:val="1"/>
                <w:iCs w:val="1"/>
                <w:color w:val="auto"/>
              </w:rPr>
              <w:t>June 30,</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
        </w:trPr>
        <w:tc>
          <w:tcPr>
            <w:tcW w:w="48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48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2025</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2024</w:t>
            </w: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i w:val="1"/>
                <w:iCs w:val="1"/>
                <w:color w:val="auto"/>
              </w:rPr>
              <w:t>Change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2024</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Change</w:t>
            </w:r>
          </w:p>
        </w:tc>
      </w:tr>
      <w:tr>
        <w:trPr>
          <w:trHeight w:val="27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ton-miles (GTMs) (billions)</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220.3</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206.8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433.1</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412.8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Revenue ton-miles (billions)</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107.6</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211.6</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22"/>
                <w:szCs w:val="22"/>
                <w:color w:val="auto"/>
              </w:rPr>
            </w:pPr>
          </w:p>
        </w:tc>
      </w:tr>
      <w:tr>
        <w:trPr>
          <w:trHeight w:val="27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car velocity (daily miles per car)</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24"/>
                <w:szCs w:val="24"/>
                <w:color w:val="auto"/>
              </w:rPr>
            </w:pP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Average train speed (miles per hour) [a]</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23.7</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r>
      <w:tr>
        <w:trPr>
          <w:trHeight w:val="27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terminal dwell time (hours) [a]</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24"/>
                <w:szCs w:val="24"/>
                <w:color w:val="auto"/>
              </w:rPr>
            </w:pP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Locomotive productivity (GTMs per horsepower day)</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134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22"/>
                <w:szCs w:val="22"/>
                <w:color w:val="auto"/>
              </w:rPr>
            </w:pPr>
          </w:p>
        </w:tc>
      </w:tr>
      <w:tr>
        <w:trPr>
          <w:trHeight w:val="27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Train length (feet)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9,689</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9,590</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24"/>
                <w:szCs w:val="24"/>
                <w:color w:val="auto"/>
              </w:rPr>
            </w:pP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Intermodal service performance index (%)</w:t>
            </w: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99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 pts</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96</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 pts</w:t>
            </w:r>
          </w:p>
        </w:tc>
      </w:tr>
      <w:tr>
        <w:trPr>
          <w:trHeight w:val="27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Manifest service performance index (%)</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 pts</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 pts</w:t>
            </w:r>
          </w:p>
        </w:tc>
      </w:tr>
      <w:tr>
        <w:trPr>
          <w:trHeight w:val="263"/>
        </w:trPr>
        <w:tc>
          <w:tcPr>
            <w:tcW w:w="4880" w:type="dxa"/>
            <w:vAlign w:val="bottom"/>
          </w:tcPr>
          <w:p>
            <w:pPr>
              <w:ind w:left="20"/>
              <w:spacing w:after="0"/>
              <w:rPr>
                <w:sz w:val="20"/>
                <w:szCs w:val="20"/>
                <w:color w:val="auto"/>
              </w:rPr>
            </w:pPr>
            <w:r>
              <w:rPr>
                <w:rFonts w:ascii="Arial" w:cs="Arial" w:eastAsia="Arial" w:hAnsi="Arial"/>
                <w:sz w:val="18"/>
                <w:szCs w:val="18"/>
                <w:color w:val="auto"/>
              </w:rPr>
              <w:t>Workforce productivity (car miles per employee)</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1,124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1,015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2"/>
                <w:szCs w:val="22"/>
                <w:color w:val="auto"/>
              </w:rPr>
            </w:pPr>
          </w:p>
        </w:tc>
      </w:tr>
      <w:tr>
        <w:trPr>
          <w:trHeight w:val="278"/>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employees (average)</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29,711</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30,556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29,929</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30,804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24"/>
                <w:szCs w:val="24"/>
                <w:color w:val="auto"/>
              </w:rPr>
            </w:pPr>
          </w:p>
        </w:tc>
      </w:tr>
      <w:tr>
        <w:trPr>
          <w:trHeight w:val="263"/>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ratio (%)</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59.0</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60.0</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(1.0) pts</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59.8</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60.4</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(0.6) pts</w:t>
            </w:r>
          </w:p>
        </w:tc>
      </w:tr>
    </w:tbl>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As reported to the STB.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rate miles. Gross ton-miles and revenue ton-miles increased by 7% and 8%, respectively, in the second quarter of 2025, compared to 2024 driven by a 4% increase in carloadings over the same time period. Changes in business mix drove the variances between gross ton-miles, revenue ton-miles, and carloads due to increased coal shipments that are generally heavier. Year-to-date, gross ton-miles, revenue ton-miles, and carloadings all increased 5% compared to the same period of 2024.</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Freight car velocity increased 10% and 8%, respectively, in the second quarter and six month period of 2025 compared to 2024 driven by improvements in terminal dwell in both periods.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available.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productivity increased 5% and 3% in the second quarter and year-to-date periods of 2025, respectively, driven by improved network fluidity and asset utilization even while the active locomotive fleet increased to handle the additional volume.</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2% in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six month periods of 2025 compared to 2024 due to train length improvement initiatives, specifically driven by increased coal and grain train volume moving on longer trains.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Our SPI is calculated for intermodal and manifest products. Intermodal SPI improved 6 and 3 points, respectively, in the second quarter and year-to-date periods of 2025 compared to 2024, while we handled 2% and 10% more volume, respectively. Manifest SPI improved 13 and 10 points, respectively, in the second quarter and six month periods of 2025 compared to 2024 driven by improved network fluidity, while we handled higher volume.</w:t>
      </w:r>
    </w:p>
    <w:p>
      <w:pPr>
        <w:sectPr>
          <w:pgSz w:w="11900" w:h="16838" w:orient="portrait"/>
          <w:cols w:equalWidth="0" w:num="1">
            <w:col w:w="11240"/>
          </w:cols>
          <w:pgMar w:left="320" w:top="121" w:right="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9% in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and year-to-date periods of 2025 compared to 2024 as average daily car miles increased 6% and employees decreased 3% compared to 2024 for both periods. In the second quarter of 2025, we continued to align our active train, engine, and yard (TE&amp;Y) workforce to meet customer needs in a dynamic demand environment, while maintaining operational fluidity. As a result, we were able to handle 4% and 5% more volume in the second quarter and six month period of 2025, respectively, compared to 2024 with 1% fewer active TE&amp;Y employees in both periods.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For the second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year-to-date periods of 2025, our operating ratio of 59.0% and 59.8%, respectively, improved 1.0 and 0.6 points, respectively, driven by core pricing gains, productivity initiatives, and volume growth, partially offset by the year-over-year impact of changes in business mix, inflation, a $55 million crew staffing agreement ratification charge, and a 2024 gain on the sale of intermodal equipment. In addition, the year-to-date period was negatively impacted by contract settlements in the first quarter of 2024.</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Jun. 30,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net income</w:t>
            </w:r>
          </w:p>
        </w:tc>
        <w:tc>
          <w:tcPr>
            <w:tcW w:w="3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4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debt / adjusted EBITDA</w:t>
            </w: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26"/>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3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Jun. 30,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trailing twelve months ended [1]</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47"/>
        </w:trPr>
        <w:tc>
          <w:tcPr>
            <w:tcW w:w="6160" w:type="dxa"/>
            <w:vAlign w:val="bottom"/>
          </w:tcPr>
          <w:p>
            <w:pPr>
              <w:ind w:left="20"/>
              <w:spacing w:after="0"/>
              <w:rPr>
                <w:sz w:val="20"/>
                <w:szCs w:val="20"/>
                <w:color w:val="auto"/>
              </w:rPr>
            </w:pPr>
            <w:r>
              <w:rPr>
                <w:rFonts w:ascii="Arial" w:cs="Arial" w:eastAsia="Arial" w:hAnsi="Arial"/>
                <w:sz w:val="18"/>
                <w:szCs w:val="18"/>
                <w:color w:val="auto"/>
              </w:rPr>
              <w:t>Add:</w:t>
            </w:r>
          </w:p>
        </w:tc>
        <w:tc>
          <w:tcPr>
            <w:tcW w:w="3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
        </w:trPr>
        <w:tc>
          <w:tcPr>
            <w:tcW w:w="6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1,975</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62"/>
        </w:trPr>
        <w:tc>
          <w:tcPr>
            <w:tcW w:w="6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2,431</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63"/>
        </w:trPr>
        <w:tc>
          <w:tcPr>
            <w:tcW w:w="6160" w:type="dxa"/>
            <w:vAlign w:val="bottom"/>
          </w:tcPr>
          <w:p>
            <w:pPr>
              <w:ind w:left="20"/>
              <w:spacing w:after="0"/>
              <w:rPr>
                <w:sz w:val="20"/>
                <w:szCs w:val="20"/>
                <w:color w:val="auto"/>
              </w:rPr>
            </w:pPr>
            <w:r>
              <w:rPr>
                <w:rFonts w:ascii="Arial" w:cs="Arial" w:eastAsia="Arial" w:hAnsi="Arial"/>
                <w:sz w:val="18"/>
                <w:szCs w:val="18"/>
                <w:color w:val="auto"/>
              </w:rPr>
              <w:t>EBITDA</w:t>
            </w:r>
          </w:p>
        </w:tc>
        <w:tc>
          <w:tcPr>
            <w:tcW w:w="3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12,624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12,461</w:t>
            </w:r>
          </w:p>
        </w:tc>
      </w:tr>
      <w:tr>
        <w:trPr>
          <w:trHeight w:val="25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1"/>
        </w:trPr>
        <w:tc>
          <w:tcPr>
            <w:tcW w:w="6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on operating lease liabilities [2]</w:t>
            </w:r>
          </w:p>
        </w:tc>
        <w:tc>
          <w:tcPr>
            <w:tcW w:w="3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(a)</w:t>
            </w:r>
          </w:p>
        </w:tc>
        <w:tc>
          <w:tcPr>
            <w:tcW w:w="3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32,813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r>
      <w:tr>
        <w:trPr>
          <w:trHeight w:val="26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liabilities</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1,143</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debt (b)</w:t>
            </w:r>
          </w:p>
        </w:tc>
        <w:tc>
          <w:tcPr>
            <w:tcW w:w="3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33,956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r>
      <w:tr>
        <w:trPr>
          <w:trHeight w:val="264"/>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debt / adjusted EBITDA (b/a)</w:t>
            </w:r>
          </w:p>
        </w:tc>
        <w:tc>
          <w:tcPr>
            <w:tcW w:w="3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bl>
    <w:p>
      <w:pPr>
        <w:spacing w:after="0" w:line="136" w:lineRule="exact"/>
        <w:rPr>
          <w:sz w:val="20"/>
          <w:szCs w:val="20"/>
          <w:color w:val="auto"/>
        </w:rPr>
      </w:pPr>
    </w:p>
    <w:p>
      <w:pPr>
        <w:ind w:left="340" w:right="20" w:hanging="332"/>
        <w:spacing w:after="0" w:line="261"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trailing twelve months income statement information ended June 30, 2025, is recalculated by taking the twelve months ended December 31, 2024, subtracting the six months ended June 30, 2024, and adding the six months ended June 30, 2025.</w:t>
      </w:r>
    </w:p>
    <w:p>
      <w:pPr>
        <w:spacing w:after="0" w:line="1" w:lineRule="exact"/>
        <w:rPr>
          <w:rFonts w:ascii="Arial" w:cs="Arial" w:eastAsia="Arial" w:hAnsi="Arial"/>
          <w:sz w:val="16"/>
          <w:szCs w:val="16"/>
          <w:i w:val="1"/>
          <w:iCs w:val="1"/>
          <w:color w:val="auto"/>
        </w:rPr>
      </w:pPr>
    </w:p>
    <w:p>
      <w:pPr>
        <w:ind w:left="340" w:hanging="332"/>
        <w:spacing w:after="0" w:line="270" w:lineRule="auto"/>
        <w:tabs>
          <w:tab w:leader="none" w:pos="33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June 30, 2025, and December 31, 2024, the incremental borrowing rate on operating leases was 4.0% </w:t>
      </w:r>
      <w:r>
        <w:rPr>
          <w:rFonts w:ascii="Arial" w:cs="Arial" w:eastAsia="Arial" w:hAnsi="Arial"/>
          <w:sz w:val="16"/>
          <w:szCs w:val="16"/>
          <w:color w:val="auto"/>
        </w:rPr>
        <w:t>and</w:t>
      </w:r>
      <w:r>
        <w:rPr>
          <w:rFonts w:ascii="Arial" w:cs="Arial" w:eastAsia="Arial" w:hAnsi="Arial"/>
          <w:sz w:val="18"/>
          <w:szCs w:val="18"/>
          <w:color w:val="auto"/>
        </w:rPr>
        <w:t xml:space="preserve"> 3.8%, respectively. Pension and OPEB were funded at June 30, 2025, and December 31, 2024.</w:t>
      </w:r>
    </w:p>
    <w:p>
      <w:pPr>
        <w:sectPr>
          <w:pgSz w:w="11900" w:h="16838" w:orient="portrait"/>
          <w:cols w:equalWidth="0" w:num="1">
            <w:col w:w="11240"/>
          </w:cols>
          <w:pgMar w:left="320" w:top="121" w:right="339" w:bottom="1440" w:gutter="0" w:footer="0" w:header="0"/>
        </w:sectPr>
      </w:pP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2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4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(1,839)</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71"/>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2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(2,649)</w:t>
            </w: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6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increased in the first six months of 2025 compared to the same period of 2024 driven by higher net income and lower income taxes paid.</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4, 2025, H.R.1 was enacted that makes key elements of the 2017 Tax Cuts and Jobs Act permanent, including provisions for 100% bonus depreciation on qualified property and fully expensing internally developed software, which will have a favorable impact to our future cash provided by 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used in investing activities increased in the first six months of 2025 compared to the same period of 2024 driven by the timing of capital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cash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3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Rail and other track material</w:t>
            </w:r>
          </w:p>
        </w:tc>
        <w:tc>
          <w:tcPr>
            <w:tcW w:w="31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63"/>
        </w:trPr>
        <w:tc>
          <w:tcPr>
            <w:tcW w:w="6220" w:type="dxa"/>
            <w:vAlign w:val="bottom"/>
          </w:tcPr>
          <w:p>
            <w:pPr>
              <w:ind w:left="20"/>
              <w:spacing w:after="0"/>
              <w:rPr>
                <w:sz w:val="20"/>
                <w:szCs w:val="20"/>
                <w:color w:val="auto"/>
              </w:rPr>
            </w:pPr>
            <w:r>
              <w:rPr>
                <w:rFonts w:ascii="Arial" w:cs="Arial" w:eastAsia="Arial" w:hAnsi="Arial"/>
                <w:sz w:val="18"/>
                <w:szCs w:val="18"/>
                <w:color w:val="auto"/>
              </w:rPr>
              <w:t>Ties</w:t>
            </w:r>
          </w:p>
        </w:tc>
        <w:tc>
          <w:tcPr>
            <w:tcW w:w="3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306</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8"/>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Ballast</w:t>
            </w:r>
          </w:p>
        </w:tc>
        <w:tc>
          <w:tcPr>
            <w:tcW w:w="3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w:t>
            </w:r>
          </w:p>
        </w:tc>
        <w:tc>
          <w:tcPr>
            <w:tcW w:w="3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64"/>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road infrastructure replacements</w:t>
            </w:r>
          </w:p>
        </w:tc>
        <w:tc>
          <w:tcPr>
            <w:tcW w:w="3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63"/>
        </w:trPr>
        <w:tc>
          <w:tcPr>
            <w:tcW w:w="6220" w:type="dxa"/>
            <w:vAlign w:val="bottom"/>
          </w:tcPr>
          <w:p>
            <w:pPr>
              <w:ind w:left="20"/>
              <w:spacing w:after="0"/>
              <w:rPr>
                <w:sz w:val="20"/>
                <w:szCs w:val="20"/>
                <w:color w:val="auto"/>
              </w:rPr>
            </w:pPr>
            <w:r>
              <w:rPr>
                <w:rFonts w:ascii="Arial" w:cs="Arial" w:eastAsia="Arial" w:hAnsi="Arial"/>
                <w:sz w:val="18"/>
                <w:szCs w:val="18"/>
                <w:color w:val="auto"/>
              </w:rPr>
              <w:t>Line expansion and other capacity projects</w:t>
            </w:r>
          </w:p>
        </w:tc>
        <w:tc>
          <w:tcPr>
            <w:tcW w:w="3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1"/>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facilities</w:t>
            </w:r>
          </w:p>
        </w:tc>
        <w:tc>
          <w:tcPr>
            <w:tcW w:w="3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capacity and commercial facilities</w:t>
            </w:r>
          </w:p>
        </w:tc>
        <w:tc>
          <w:tcPr>
            <w:tcW w:w="3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Locomotives and freight cars [b]</w:t>
            </w:r>
          </w:p>
        </w:tc>
        <w:tc>
          <w:tcPr>
            <w:tcW w:w="3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Technology and other</w:t>
            </w:r>
          </w:p>
        </w:tc>
        <w:tc>
          <w:tcPr>
            <w:tcW w:w="3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6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cash capital investments [c]</w:t>
            </w:r>
          </w:p>
        </w:tc>
        <w:tc>
          <w:tcPr>
            <w:tcW w:w="3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r>
    </w:tbl>
    <w:p>
      <w:pPr>
        <w:spacing w:after="0" w:line="2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28" w:lineRule="exact"/>
        <w:rPr>
          <w:rFonts w:ascii="Arial" w:cs="Arial" w:eastAsia="Arial" w:hAnsi="Arial"/>
          <w:sz w:val="16"/>
          <w:szCs w:val="16"/>
          <w:i w:val="1"/>
          <w:iCs w:val="1"/>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early lease buyouts of $178 million in 2025 and $96 million in 2024.</w:t>
      </w:r>
    </w:p>
    <w:p>
      <w:pPr>
        <w:spacing w:after="0" w:line="8" w:lineRule="exact"/>
        <w:rPr>
          <w:rFonts w:ascii="Arial" w:cs="Arial" w:eastAsia="Arial" w:hAnsi="Arial"/>
          <w:sz w:val="16"/>
          <w:szCs w:val="16"/>
          <w:i w:val="1"/>
          <w:iCs w:val="1"/>
          <w:color w:val="auto"/>
        </w:rPr>
      </w:pPr>
    </w:p>
    <w:p>
      <w:pPr>
        <w:ind w:left="320" w:hanging="312"/>
        <w:spacing w:after="0"/>
        <w:tabs>
          <w:tab w:leader="none" w:pos="32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the six months ended June 30, 2025 and 2024, are immaterial.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2025, we expect our capital plan to be approximately $3.4 billion, consistent with 2024.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This includes siding construction and extension projects, terminal investments supporting our manifest network, and investments in certain ramps to efficiently handle volume from new and existing intermodal customers. The capital plan may be revised if business conditions warrant or if laws or regulations affect our ability to generate sufficient returns on these investments.</w:t>
      </w:r>
    </w:p>
    <w:p>
      <w:pPr>
        <w:sectPr>
          <w:pgSz w:w="11900" w:h="16838" w:orient="portrait"/>
          <w:cols w:equalWidth="0" w:num="1">
            <w:col w:w="11240"/>
          </w:cols>
          <w:pgMar w:left="320" w:top="121" w:right="339" w:bottom="1440" w:gutter="0" w:footer="0" w:header="0"/>
        </w:sect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used in financing activities increased in the first six months of 2025 compared to the same period of 2024 driven by more share repurchases, including the 2025 accelerated share repurchase programs, partially offset by an increase of debt issued and less debt repaid.</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14 of the Condensed Consolidated Financial Statements, Item 1, for a description of all our outstanding financing arrangements and significant new borrowings and Note 16 of the Condensed Consolidated Financial Statements, Item 1, for a description of our share repurchase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 Free cash flow is defined as cash provided by operating activities less cash used in investing activities and dividends paid.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 conversion rate is defined as cash provided by operating activities less cash used for capital investments as a ratio of net income.</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and cash flow conversion rate are considered non-GAAP financial measures by SEC Regulation G and Item 10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free cash flow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six months ended June 30,</w:t>
            </w:r>
          </w:p>
        </w:tc>
        <w:tc>
          <w:tcPr>
            <w:tcW w:w="28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4,543</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4,033</w:t>
            </w:r>
          </w:p>
        </w:tc>
      </w:tr>
      <w:tr>
        <w:trPr>
          <w:trHeight w:val="263"/>
        </w:trPr>
        <w:tc>
          <w:tcPr>
            <w:tcW w:w="596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8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(1,839)</w:t>
            </w:r>
          </w:p>
        </w:tc>
        <w:tc>
          <w:tcPr>
            <w:tcW w:w="460" w:type="dxa"/>
            <w:vAlign w:val="bottom"/>
          </w:tcPr>
          <w:p>
            <w:pPr>
              <w:spacing w:after="0"/>
              <w:rPr>
                <w:sz w:val="22"/>
                <w:szCs w:val="22"/>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(1,592)</w:t>
            </w:r>
          </w:p>
        </w:tc>
      </w:tr>
      <w:tr>
        <w:trPr>
          <w:trHeight w:val="271"/>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(1,599)</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(1,588)</w:t>
            </w:r>
          </w:p>
        </w:tc>
      </w:tr>
      <w:tr>
        <w:trPr>
          <w:trHeight w:val="264"/>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2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1,105</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853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cash provided by operating activities (GAAP measure) to cash flow conversion rate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 for the six months ended June 30,</w:t>
            </w:r>
          </w:p>
        </w:tc>
        <w:tc>
          <w:tcPr>
            <w:tcW w:w="20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r>
      <w:tr>
        <w:trPr>
          <w:trHeight w:val="27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0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4,543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4,033</w:t>
            </w:r>
          </w:p>
        </w:tc>
      </w:tr>
      <w:tr>
        <w:trPr>
          <w:trHeight w:val="26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capital investments</w:t>
            </w:r>
          </w:p>
        </w:tc>
        <w:tc>
          <w:tcPr>
            <w:tcW w:w="20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(1,842)</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(1,699)</w:t>
            </w:r>
          </w:p>
        </w:tc>
      </w:tr>
      <w:tr>
        <w:trPr>
          <w:trHeight w:val="264"/>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w:t>
            </w:r>
          </w:p>
        </w:tc>
        <w:tc>
          <w:tcPr>
            <w:tcW w:w="2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2,701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2,334</w:t>
            </w:r>
          </w:p>
        </w:tc>
      </w:tr>
      <w:tr>
        <w:trPr>
          <w:trHeight w:val="26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(b)</w:t>
            </w:r>
          </w:p>
        </w:tc>
        <w:tc>
          <w:tcPr>
            <w:tcW w:w="2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3,502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3,314</w:t>
            </w:r>
          </w:p>
        </w:tc>
      </w:tr>
      <w:tr>
        <w:trPr>
          <w:trHeight w:val="263"/>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conversion rate (a/b)</w:t>
            </w:r>
          </w:p>
        </w:tc>
        <w:tc>
          <w:tcPr>
            <w:tcW w:w="20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liquidity status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2025, we generated $2.3 billion of cash provided by operating activities, repurchased $ 1.3 billion worth of shares under our share repurchase programs, including amounts assigned to the final delivery of shares under our accelerated share repurchase programs, and paid our quarterly dividend. On June 30, 2025, we had $1.1 billion of cash and cash equivalents, $2.0 billion of credit available under our revolving credit facility, and up to $800 million undrawn on the Receivables Facility. We have been, and we expect to continue to be, in compliance with our debt covenants.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the notes to the Condensed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contractual obligations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Jul. 1,</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5"/>
            <w:vMerge w:val="restart"/>
          </w:tcPr>
          <w:p>
            <w:pPr>
              <w:jc w:val="right"/>
              <w:ind w:right="250"/>
              <w:spacing w:after="0"/>
              <w:rPr>
                <w:sz w:val="20"/>
                <w:szCs w:val="20"/>
                <w:color w:val="auto"/>
              </w:rPr>
            </w:pPr>
            <w:r>
              <w:rPr>
                <w:rFonts w:ascii="Arial" w:cs="Arial" w:eastAsia="Arial" w:hAnsi="Arial"/>
                <w:sz w:val="18"/>
                <w:szCs w:val="18"/>
                <w:i w:val="1"/>
                <w:iCs w:val="1"/>
                <w:color w:val="auto"/>
              </w:rPr>
              <w:t>Payments Due by Dec. 31,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line="193" w:lineRule="exact"/>
              <w:rPr>
                <w:sz w:val="20"/>
                <w:szCs w:val="20"/>
                <w:color w:val="auto"/>
              </w:rPr>
            </w:pPr>
            <w:r>
              <w:rPr>
                <w:rFonts w:ascii="Arial" w:cs="Arial" w:eastAsia="Arial" w:hAnsi="Arial"/>
                <w:sz w:val="18"/>
                <w:szCs w:val="18"/>
                <w:i w:val="1"/>
                <w:iCs w:val="1"/>
                <w:color w:val="auto"/>
              </w:rPr>
              <w:t>through</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2025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2026</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2027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2028</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2029</w:t>
            </w: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After 2029</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49,483</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Purchase obligations [b]</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1,693</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[c]</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7"/>
        </w:trPr>
        <w:tc>
          <w:tcPr>
            <w:tcW w:w="3600" w:type="dxa"/>
            <w:vAlign w:val="bottom"/>
          </w:tcPr>
          <w:p>
            <w:pPr>
              <w:ind w:left="20"/>
              <w:spacing w:after="0"/>
              <w:rPr>
                <w:sz w:val="20"/>
                <w:szCs w:val="20"/>
                <w:color w:val="auto"/>
              </w:rPr>
            </w:pPr>
            <w:r>
              <w:rPr>
                <w:rFonts w:ascii="Arial" w:cs="Arial" w:eastAsia="Arial" w:hAnsi="Arial"/>
                <w:sz w:val="18"/>
                <w:szCs w:val="18"/>
                <w:color w:val="auto"/>
              </w:rPr>
              <w:t>Other post-retirement benefits [d]</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 [e]</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3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contractual obligations</w:t>
            </w: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64,557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49,972</w:t>
            </w:r>
          </w:p>
        </w:tc>
        <w:tc>
          <w:tcPr>
            <w:tcW w:w="0" w:type="dxa"/>
            <w:vAlign w:val="bottom"/>
          </w:tcPr>
          <w:p>
            <w:pPr>
              <w:spacing w:after="0"/>
              <w:rPr>
                <w:sz w:val="1"/>
                <w:szCs w:val="1"/>
                <w:color w:val="auto"/>
              </w:rPr>
            </w:pPr>
          </w:p>
        </w:tc>
      </w:tr>
      <w:tr>
        <w:trPr>
          <w:trHeight w:val="23"/>
        </w:trPr>
        <w:tc>
          <w:tcPr>
            <w:tcW w:w="3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hanging="332"/>
        <w:spacing w:after="0" w:line="255"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$122 million as well as unamortized discount and deferred issuance costs of ($1,697) million. Includes an interest component of $26,706 million.</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$137 million.</w:t>
      </w:r>
    </w:p>
    <w:p>
      <w:pPr>
        <w:spacing w:after="0" w:line="14" w:lineRule="exact"/>
        <w:rPr>
          <w:rFonts w:ascii="Arial" w:cs="Arial" w:eastAsia="Arial" w:hAnsi="Arial"/>
          <w:sz w:val="16"/>
          <w:szCs w:val="16"/>
          <w:i w:val="1"/>
          <w:iCs w:val="1"/>
          <w:color w:val="auto"/>
        </w:rPr>
      </w:pPr>
    </w:p>
    <w:p>
      <w:pPr>
        <w:ind w:left="340" w:hanging="332"/>
        <w:spacing w:after="0" w:line="249"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post-retirement, medical, and life insurance payments and payments made under the unfunded pension plan for the next ten years.</w:t>
      </w: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interest component of $10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15 to the Condensed Consolidated Financial Statements, 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15 to the Condensed Consolidated Financial Statements, Item 1.</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potential impacts of public health crises, including pandemics, epidemics, and the outbreak of other contagious disease, such as the coronavirus and its variant strains (COVID); the Russia-Ukraine and Israel-Hamas wars and other geopolitical tensions in the Middle East,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potential impacts of H.R.1, which was enacted on July 4, 2025;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 -looking terminology, such as “believes,” “expects,” “may,” “should,” “would,” “will,” “intends,” “plans,” “estimates,” “anticipates,” “projects,” and similar words, phrases, or expressions.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Factors in Item 1A of our 2024 Annual Report on Form 10-K, filed February 7, 2025,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were no material changes to the Quantitative and Qualitative Disclosures About Market Risk previously disclosed in our 2024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15 to the Condensed Consolidated Financial Statements, Item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2024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Antitrust Litigation </w:t>
      </w:r>
      <w:r>
        <w:rPr>
          <w:rFonts w:ascii="Arial" w:cs="Arial" w:eastAsia="Arial" w:hAnsi="Arial"/>
          <w:sz w:val="18"/>
          <w:szCs w:val="18"/>
          <w:color w:val="auto"/>
        </w:rPr>
        <w:t>– As we reported previously, and most recently in our 2024 Annual Report on Form 10-K, we have been litigating two</w:t>
      </w:r>
      <w:r>
        <w:rPr>
          <w:rFonts w:ascii="Arial" w:cs="Arial" w:eastAsia="Arial" w:hAnsi="Arial"/>
          <w:sz w:val="18"/>
          <w:szCs w:val="18"/>
          <w:b w:val="1"/>
          <w:bCs w:val="1"/>
          <w:color w:val="auto"/>
        </w:rPr>
        <w:t xml:space="preserve"> </w:t>
      </w:r>
      <w:r>
        <w:rPr>
          <w:rFonts w:ascii="Arial" w:cs="Arial" w:eastAsia="Arial" w:hAnsi="Arial"/>
          <w:sz w:val="18"/>
          <w:szCs w:val="18"/>
          <w:color w:val="auto"/>
        </w:rPr>
        <w:t>sets of multidistrict litigation known as MDL I and MDL II and a case filed by Oxbow Carbon &amp; Minerals LLC and related entities (Oxbow), all of which allege that we, along with three other Class I railroads, engaged in price-fixing by establishing common fuel surcharges for certain rail traffic. All of the cases were consolidated in front of the Honorable Beryl A. Howell of the U.S. District of Columbia District Court. On June 24, 2025, Judge Howell granted all defendant railroads summary judgment and directed the closure of the cases. Plaintiffs may appeal Judge Howell's decision to the U.S. Court of Appeals for the District of Columbia Circuit.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deny the allegations that our fuel surcharge programs violate the antitrust laws or any other laws. We believe that these lawsuits are without merit, and we will vigorously defend our actions, including on appeal. Therefore, we currently believe that these matters will not have a material adverse effect on any of our results of operations, 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our potential risks and uncertainties, see the risk factors disclosed in our Form 10-K for the year ended December 31, 2024.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The following table presents common stock repurchases during each month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234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i w:val="1"/>
                <w:iCs w:val="1"/>
                <w:color w:val="auto"/>
              </w:rPr>
              <w:t>Total number of</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40" w:type="dxa"/>
            <w:vAlign w:val="bottom"/>
          </w:tcPr>
          <w:p>
            <w:pPr>
              <w:jc w:val="right"/>
              <w:ind w:right="172"/>
              <w:spacing w:after="0"/>
              <w:rPr>
                <w:sz w:val="20"/>
                <w:szCs w:val="20"/>
                <w:color w:val="auto"/>
              </w:rPr>
            </w:pPr>
            <w:r>
              <w:rPr>
                <w:rFonts w:ascii="Arial" w:cs="Arial" w:eastAsia="Arial" w:hAnsi="Arial"/>
                <w:sz w:val="17"/>
                <w:szCs w:val="17"/>
                <w:i w:val="1"/>
                <w:iCs w:val="1"/>
                <w:color w:val="auto"/>
              </w:rPr>
              <w:t>Total number of shares</w:t>
            </w:r>
          </w:p>
        </w:tc>
        <w:tc>
          <w:tcPr>
            <w:tcW w:w="2560" w:type="dxa"/>
            <w:vAlign w:val="bottom"/>
          </w:tcPr>
          <w:p>
            <w:pPr>
              <w:jc w:val="right"/>
              <w:spacing w:after="0"/>
              <w:rPr>
                <w:sz w:val="20"/>
                <w:szCs w:val="20"/>
                <w:color w:val="auto"/>
              </w:rPr>
            </w:pPr>
            <w:r>
              <w:rPr>
                <w:rFonts w:ascii="Arial" w:cs="Arial" w:eastAsia="Arial" w:hAnsi="Arial"/>
                <w:sz w:val="17"/>
                <w:szCs w:val="17"/>
                <w:i w:val="1"/>
                <w:iCs w:val="1"/>
                <w:color w:val="auto"/>
              </w:rPr>
              <w:t>Maximum number of shares</w:t>
            </w:r>
          </w:p>
        </w:tc>
        <w:tc>
          <w:tcPr>
            <w:tcW w:w="0" w:type="dxa"/>
            <w:vAlign w:val="bottom"/>
          </w:tcPr>
          <w:p>
            <w:pPr>
              <w:spacing w:after="0"/>
              <w:rPr>
                <w:sz w:val="1"/>
                <w:szCs w:val="1"/>
                <w:color w:val="auto"/>
              </w:rPr>
            </w:pPr>
          </w:p>
        </w:tc>
      </w:tr>
      <w:tr>
        <w:trPr>
          <w:trHeight w:val="203"/>
        </w:trPr>
        <w:tc>
          <w:tcPr>
            <w:tcW w:w="2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Period</w:t>
            </w:r>
          </w:p>
        </w:tc>
        <w:tc>
          <w:tcPr>
            <w:tcW w:w="1780" w:type="dxa"/>
            <w:vAlign w:val="bottom"/>
          </w:tcPr>
          <w:p>
            <w:pPr>
              <w:jc w:val="right"/>
              <w:spacing w:after="0"/>
              <w:rPr>
                <w:sz w:val="20"/>
                <w:szCs w:val="20"/>
                <w:color w:val="auto"/>
              </w:rPr>
            </w:pPr>
            <w:r>
              <w:rPr>
                <w:rFonts w:ascii="Arial" w:cs="Arial" w:eastAsia="Arial" w:hAnsi="Arial"/>
                <w:sz w:val="17"/>
                <w:szCs w:val="17"/>
                <w:i w:val="1"/>
                <w:iCs w:val="1"/>
                <w:color w:val="auto"/>
              </w:rPr>
              <w:t>shares purchased</w:t>
            </w:r>
          </w:p>
        </w:tc>
        <w:tc>
          <w:tcPr>
            <w:tcW w:w="160" w:type="dxa"/>
            <w:vAlign w:val="bottom"/>
          </w:tcPr>
          <w:p>
            <w:pPr>
              <w:spacing w:after="0"/>
              <w:rPr>
                <w:sz w:val="17"/>
                <w:szCs w:val="17"/>
                <w:color w:val="auto"/>
              </w:rPr>
            </w:pPr>
          </w:p>
        </w:tc>
        <w:tc>
          <w:tcPr>
            <w:tcW w:w="1620" w:type="dxa"/>
            <w:vAlign w:val="bottom"/>
          </w:tcPr>
          <w:p>
            <w:pPr>
              <w:jc w:val="right"/>
              <w:ind w:right="212"/>
              <w:spacing w:after="0"/>
              <w:rPr>
                <w:sz w:val="20"/>
                <w:szCs w:val="20"/>
                <w:color w:val="auto"/>
              </w:rPr>
            </w:pPr>
            <w:r>
              <w:rPr>
                <w:rFonts w:ascii="Arial" w:cs="Arial" w:eastAsia="Arial" w:hAnsi="Arial"/>
                <w:sz w:val="17"/>
                <w:szCs w:val="17"/>
                <w:i w:val="1"/>
                <w:iCs w:val="1"/>
                <w:color w:val="auto"/>
              </w:rPr>
              <w:t>Average price</w:t>
            </w:r>
          </w:p>
        </w:tc>
        <w:tc>
          <w:tcPr>
            <w:tcW w:w="2840" w:type="dxa"/>
            <w:vAlign w:val="bottom"/>
          </w:tcPr>
          <w:p>
            <w:pPr>
              <w:jc w:val="right"/>
              <w:ind w:right="172"/>
              <w:spacing w:after="0"/>
              <w:rPr>
                <w:sz w:val="20"/>
                <w:szCs w:val="20"/>
                <w:color w:val="auto"/>
              </w:rPr>
            </w:pPr>
            <w:r>
              <w:rPr>
                <w:rFonts w:ascii="Arial" w:cs="Arial" w:eastAsia="Arial" w:hAnsi="Arial"/>
                <w:sz w:val="17"/>
                <w:szCs w:val="17"/>
                <w:i w:val="1"/>
                <w:iCs w:val="1"/>
                <w:color w:val="auto"/>
              </w:rPr>
              <w:t>purchased as part of a publicly</w:t>
            </w:r>
          </w:p>
        </w:tc>
        <w:tc>
          <w:tcPr>
            <w:tcW w:w="2560" w:type="dxa"/>
            <w:vAlign w:val="bottom"/>
          </w:tcPr>
          <w:p>
            <w:pPr>
              <w:jc w:val="right"/>
              <w:spacing w:after="0"/>
              <w:rPr>
                <w:sz w:val="20"/>
                <w:szCs w:val="20"/>
                <w:color w:val="auto"/>
              </w:rPr>
            </w:pPr>
            <w:r>
              <w:rPr>
                <w:rFonts w:ascii="Arial" w:cs="Arial" w:eastAsia="Arial" w:hAnsi="Arial"/>
                <w:sz w:val="17"/>
                <w:szCs w:val="17"/>
                <w:i w:val="1"/>
                <w:iCs w:val="1"/>
                <w:color w:val="auto"/>
              </w:rPr>
              <w:t>that may be purchased under</w:t>
            </w:r>
          </w:p>
        </w:tc>
        <w:tc>
          <w:tcPr>
            <w:tcW w:w="0" w:type="dxa"/>
            <w:vAlign w:val="bottom"/>
          </w:tcPr>
          <w:p>
            <w:pPr>
              <w:spacing w:after="0"/>
              <w:rPr>
                <w:sz w:val="1"/>
                <w:szCs w:val="1"/>
                <w:color w:val="auto"/>
              </w:rPr>
            </w:pPr>
          </w:p>
        </w:tc>
      </w:tr>
      <w:tr>
        <w:trPr>
          <w:trHeight w:val="243"/>
        </w:trPr>
        <w:tc>
          <w:tcPr>
            <w:tcW w:w="226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[a]</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7"/>
                <w:szCs w:val="17"/>
                <w:i w:val="1"/>
                <w:iCs w:val="1"/>
                <w:color w:val="auto"/>
              </w:rPr>
              <w:t>paid per share [b]</w:t>
            </w:r>
          </w:p>
        </w:tc>
        <w:tc>
          <w:tcPr>
            <w:tcW w:w="2840" w:type="dxa"/>
            <w:vAlign w:val="bottom"/>
            <w:tcBorders>
              <w:bottom w:val="single" w:sz="8" w:color="auto"/>
            </w:tcBorders>
          </w:tcPr>
          <w:p>
            <w:pPr>
              <w:jc w:val="right"/>
              <w:ind w:right="172"/>
              <w:spacing w:after="0"/>
              <w:rPr>
                <w:sz w:val="20"/>
                <w:szCs w:val="20"/>
                <w:color w:val="auto"/>
              </w:rPr>
            </w:pPr>
            <w:r>
              <w:rPr>
                <w:rFonts w:ascii="Arial" w:cs="Arial" w:eastAsia="Arial" w:hAnsi="Arial"/>
                <w:sz w:val="17"/>
                <w:szCs w:val="17"/>
                <w:i w:val="1"/>
                <w:iCs w:val="1"/>
                <w:color w:val="auto"/>
              </w:rPr>
              <w:t>announced plan or program [c]</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current authority [d]</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 1 through Apr. 30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3,571,872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206.19</w:t>
            </w:r>
          </w:p>
        </w:tc>
        <w:tc>
          <w:tcPr>
            <w:tcW w:w="28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3,571,534</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96,428,466</w:t>
            </w:r>
          </w:p>
        </w:tc>
        <w:tc>
          <w:tcPr>
            <w:tcW w:w="0" w:type="dxa"/>
            <w:vAlign w:val="bottom"/>
          </w:tcPr>
          <w:p>
            <w:pPr>
              <w:spacing w:after="0"/>
              <w:rPr>
                <w:sz w:val="1"/>
                <w:szCs w:val="1"/>
                <w:color w:val="auto"/>
              </w:rPr>
            </w:pPr>
          </w:p>
        </w:tc>
      </w:tr>
      <w:tr>
        <w:trPr>
          <w:trHeight w:val="247"/>
        </w:trPr>
        <w:tc>
          <w:tcPr>
            <w:tcW w:w="2260" w:type="dxa"/>
            <w:vAlign w:val="bottom"/>
          </w:tcPr>
          <w:p>
            <w:pPr>
              <w:ind w:left="20"/>
              <w:spacing w:after="0"/>
              <w:rPr>
                <w:sz w:val="20"/>
                <w:szCs w:val="20"/>
                <w:color w:val="auto"/>
              </w:rPr>
            </w:pPr>
            <w:r>
              <w:rPr>
                <w:rFonts w:ascii="Arial" w:cs="Arial" w:eastAsia="Arial" w:hAnsi="Arial"/>
                <w:sz w:val="18"/>
                <w:szCs w:val="18"/>
                <w:color w:val="auto"/>
              </w:rPr>
              <w:t>May. 1 through May. 31</w:t>
            </w:r>
          </w:p>
        </w:tc>
        <w:tc>
          <w:tcPr>
            <w:tcW w:w="1780" w:type="dxa"/>
            <w:vAlign w:val="bottom"/>
          </w:tcPr>
          <w:p>
            <w:pPr>
              <w:jc w:val="right"/>
              <w:spacing w:after="0"/>
              <w:rPr>
                <w:sz w:val="20"/>
                <w:szCs w:val="20"/>
                <w:color w:val="auto"/>
              </w:rPr>
            </w:pPr>
            <w:r>
              <w:rPr>
                <w:rFonts w:ascii="Arial" w:cs="Arial" w:eastAsia="Arial" w:hAnsi="Arial"/>
                <w:sz w:val="18"/>
                <w:szCs w:val="18"/>
                <w:color w:val="auto"/>
              </w:rPr>
              <w:t>2,449,278</w:t>
            </w:r>
          </w:p>
        </w:tc>
        <w:tc>
          <w:tcPr>
            <w:tcW w:w="160" w:type="dxa"/>
            <w:vAlign w:val="bottom"/>
          </w:tcPr>
          <w:p>
            <w:pPr>
              <w:spacing w:after="0"/>
              <w:rPr>
                <w:sz w:val="21"/>
                <w:szCs w:val="21"/>
                <w:color w:val="auto"/>
              </w:rPr>
            </w:pPr>
          </w:p>
        </w:tc>
        <w:tc>
          <w:tcPr>
            <w:tcW w:w="1620" w:type="dxa"/>
            <w:vAlign w:val="bottom"/>
          </w:tcPr>
          <w:p>
            <w:pPr>
              <w:jc w:val="right"/>
              <w:ind w:right="232"/>
              <w:spacing w:after="0"/>
              <w:rPr>
                <w:sz w:val="20"/>
                <w:szCs w:val="20"/>
                <w:color w:val="auto"/>
              </w:rPr>
            </w:pPr>
            <w:r>
              <w:rPr>
                <w:rFonts w:ascii="Arial" w:cs="Arial" w:eastAsia="Arial" w:hAnsi="Arial"/>
                <w:sz w:val="18"/>
                <w:szCs w:val="18"/>
                <w:color w:val="auto"/>
              </w:rPr>
              <w:t>202.70</w:t>
            </w:r>
          </w:p>
        </w:tc>
        <w:tc>
          <w:tcPr>
            <w:tcW w:w="2840" w:type="dxa"/>
            <w:vAlign w:val="bottom"/>
          </w:tcPr>
          <w:p>
            <w:pPr>
              <w:jc w:val="right"/>
              <w:ind w:right="172"/>
              <w:spacing w:after="0"/>
              <w:rPr>
                <w:sz w:val="20"/>
                <w:szCs w:val="20"/>
                <w:color w:val="auto"/>
              </w:rPr>
            </w:pPr>
            <w:r>
              <w:rPr>
                <w:rFonts w:ascii="Arial" w:cs="Arial" w:eastAsia="Arial" w:hAnsi="Arial"/>
                <w:sz w:val="18"/>
                <w:szCs w:val="18"/>
                <w:color w:val="auto"/>
              </w:rPr>
              <w:t>2,449,071</w:t>
            </w:r>
          </w:p>
        </w:tc>
        <w:tc>
          <w:tcPr>
            <w:tcW w:w="2560" w:type="dxa"/>
            <w:vAlign w:val="bottom"/>
          </w:tcPr>
          <w:p>
            <w:pPr>
              <w:jc w:val="right"/>
              <w:spacing w:after="0"/>
              <w:rPr>
                <w:sz w:val="20"/>
                <w:szCs w:val="20"/>
                <w:color w:val="auto"/>
              </w:rPr>
            </w:pPr>
            <w:r>
              <w:rPr>
                <w:rFonts w:ascii="Arial" w:cs="Arial" w:eastAsia="Arial" w:hAnsi="Arial"/>
                <w:sz w:val="18"/>
                <w:szCs w:val="18"/>
                <w:color w:val="auto"/>
              </w:rPr>
              <w:t>93,979,395</w:t>
            </w: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 1 through Jun. 30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91,265</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221.23</w:t>
            </w:r>
          </w:p>
        </w:tc>
        <w:tc>
          <w:tcPr>
            <w:tcW w:w="28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90,953</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93,888,442</w:t>
            </w:r>
          </w:p>
        </w:tc>
        <w:tc>
          <w:tcPr>
            <w:tcW w:w="0" w:type="dxa"/>
            <w:vAlign w:val="bottom"/>
          </w:tcPr>
          <w:p>
            <w:pPr>
              <w:spacing w:after="0"/>
              <w:rPr>
                <w:sz w:val="1"/>
                <w:szCs w:val="1"/>
                <w:color w:val="auto"/>
              </w:rPr>
            </w:pPr>
          </w:p>
        </w:tc>
      </w:tr>
      <w:tr>
        <w:trPr>
          <w:trHeight w:val="241"/>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6,112,415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205.02</w:t>
            </w:r>
          </w:p>
        </w:tc>
        <w:tc>
          <w:tcPr>
            <w:tcW w:w="28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6,111,558</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
        </w:trPr>
        <w:tc>
          <w:tcPr>
            <w:tcW w:w="2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40" w:hanging="332"/>
        <w:spacing w:after="0" w:line="264" w:lineRule="auto"/>
        <w:tabs>
          <w:tab w:leader="none" w:pos="33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857 shares delivered or attested to UPC by employees to pay stock option exercise prices and satisfy tax withholding obligations for stock option exercises or vesting of retention units or retention shares.</w:t>
      </w:r>
    </w:p>
    <w:p>
      <w:pPr>
        <w:ind w:left="340" w:right="20" w:hanging="332"/>
        <w:spacing w:after="0" w:line="255" w:lineRule="auto"/>
        <w:tabs>
          <w:tab w:leader="none" w:pos="33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paid under the accelerated share repurchase programs (ASRs) is calculated based on the total program value less the value assigned to the initial delivery of shares. The average price of the completed 2025 ASRs was $229.32.</w:t>
      </w:r>
    </w:p>
    <w:p>
      <w:pPr>
        <w:ind w:left="340" w:hanging="332"/>
        <w:spacing w:after="0" w:line="252" w:lineRule="auto"/>
        <w:tabs>
          <w:tab w:leader="none" w:pos="335"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as part of a publicly announced plan or program includes 898,484 shares and 901,420 shares repurchased in April and May, respectively, under ASRs.</w:t>
      </w:r>
    </w:p>
    <w:p>
      <w:pPr>
        <w:spacing w:after="0" w:line="1" w:lineRule="exact"/>
        <w:rPr>
          <w:rFonts w:ascii="Arial" w:cs="Arial" w:eastAsia="Arial" w:hAnsi="Arial"/>
          <w:sz w:val="16"/>
          <w:szCs w:val="16"/>
          <w:i w:val="1"/>
          <w:iCs w:val="1"/>
          <w:color w:val="auto"/>
        </w:rPr>
      </w:pPr>
    </w:p>
    <w:p>
      <w:pPr>
        <w:jc w:val="both"/>
        <w:ind w:left="340" w:hanging="332"/>
        <w:spacing w:after="0" w:line="267" w:lineRule="auto"/>
        <w:tabs>
          <w:tab w:leader="none" w:pos="33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2025, our Board of Directors authorized the repurchase of up to 100 million shares of our common stock by March 31, 2028. These repurchases may be made on the open market or through other transactions. Our management has sole discretion with respect to determining the timing, manner, and amount of these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the Condensed Consolidated Financial Statements, Item 1,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Filed with this Statement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31(a)</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380" w:type="dxa"/>
            <w:vAlign w:val="bottom"/>
            <w:tcBorders>
              <w:bottom w:val="single" w:sz="8" w:color="0000FF"/>
            </w:tcBorders>
          </w:tcPr>
          <w:p>
            <w:pPr>
              <w:ind w:left="20"/>
              <w:spacing w:after="0" w:line="196" w:lineRule="exact"/>
              <w:rPr>
                <w:sz w:val="20"/>
                <w:szCs w:val="20"/>
                <w:color w:val="auto"/>
              </w:rPr>
            </w:pPr>
            <w:r>
              <w:rPr>
                <w:rFonts w:ascii="Arial" w:cs="Arial" w:eastAsia="Arial" w:hAnsi="Arial"/>
                <w:sz w:val="18"/>
                <w:szCs w:val="18"/>
                <w:color w:val="0000FF"/>
                <w:w w:val="97"/>
              </w:rPr>
              <w:t>- V. James Vena.</w:t>
            </w:r>
          </w:p>
        </w:tc>
        <w:tc>
          <w:tcPr>
            <w:tcW w:w="7640" w:type="dxa"/>
            <w:vAlign w:val="bottom"/>
            <w:gridSpan w:val="2"/>
          </w:tcPr>
          <w:p>
            <w:pPr>
              <w:spacing w:after="0"/>
              <w:rPr>
                <w:sz w:val="17"/>
                <w:szCs w:val="17"/>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31(b)</w:t>
            </w:r>
          </w:p>
        </w:tc>
        <w:tc>
          <w:tcPr>
            <w:tcW w:w="99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Certifications Pursuant to Rule 13a-14(a), of the Exchange Act, as Adopted pursuant to Section 302 of the Sarbanes-Oxley</w:t>
            </w:r>
          </w:p>
        </w:tc>
      </w:tr>
      <w:tr>
        <w:trPr>
          <w:trHeight w:val="196"/>
        </w:trPr>
        <w:tc>
          <w:tcPr>
            <w:tcW w:w="122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rPr>
              <w:t>Act of 2002</w:t>
            </w:r>
          </w:p>
        </w:tc>
        <w:tc>
          <w:tcPr>
            <w:tcW w:w="1760" w:type="dxa"/>
            <w:vAlign w:val="bottom"/>
            <w:tcBorders>
              <w:bottom w:val="single" w:sz="8" w:color="0000FF"/>
            </w:tcBorders>
            <w:gridSpan w:val="2"/>
          </w:tcPr>
          <w:p>
            <w:pPr>
              <w:ind w:left="20"/>
              <w:spacing w:after="0" w:line="196" w:lineRule="exact"/>
              <w:rPr>
                <w:sz w:val="20"/>
                <w:szCs w:val="20"/>
                <w:color w:val="auto"/>
              </w:rPr>
            </w:pPr>
            <w:r>
              <w:rPr>
                <w:rFonts w:ascii="Arial" w:cs="Arial" w:eastAsia="Arial" w:hAnsi="Arial"/>
                <w:sz w:val="18"/>
                <w:szCs w:val="18"/>
                <w:color w:val="0000FF"/>
                <w:w w:val="99"/>
              </w:rPr>
              <w:t>- Jennifer L. Hamann.</w:t>
            </w:r>
          </w:p>
        </w:tc>
        <w:tc>
          <w:tcPr>
            <w:tcW w:w="7260" w:type="dxa"/>
            <w:vAlign w:val="bottom"/>
          </w:tcPr>
          <w:p>
            <w:pPr>
              <w:spacing w:after="0"/>
              <w:rPr>
                <w:sz w:val="17"/>
                <w:szCs w:val="17"/>
                <w:color w:val="auto"/>
              </w:rPr>
            </w:pPr>
          </w:p>
        </w:tc>
      </w:tr>
    </w:tbl>
    <w:p>
      <w:pPr>
        <w:spacing w:after="0" w:line="170" w:lineRule="exact"/>
        <w:rPr>
          <w:sz w:val="20"/>
          <w:szCs w:val="20"/>
          <w:color w:val="auto"/>
        </w:rPr>
      </w:pPr>
    </w:p>
    <w:p>
      <w:pPr>
        <w:ind w:left="1240" w:right="40" w:hanging="1214"/>
        <w:spacing w:after="0" w:line="28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18 U.S.C. Section 1350, as Adopted pursuant to Section 906 of the Sarbanes-Oxley Act of 2002 - V. James Vena and Jennifer L. Hamann.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jc w:val="both"/>
        <w:ind w:left="1240" w:hanging="1214"/>
        <w:spacing w:after="0" w:line="255"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Quarterly Report on Form 10-Q for the period ended June 30, 2025 (filed with the SEC on July 24, 2025), formatted in Inline Extensible Business Reporting Language (iXBRL) includes (i) Condensed Consolidated Statements of Income for the periods ended June 30, 2025 and 2024, (ii) Condensed Consolidated Statements of Comprehensive Income for the periods ended June 30, 2025 and 2024, (iii) Condensed Consolidated Statements of Financial Position at June 30, 2025, and December 31, 2024, (iv) Condensed Consolidated Statements of Cash Flows for the periods ended June 30, 2025 and 2024, (v) Condensed Consolidated Statements of Changes in Common Shareholders’ Equity for the periods ended June 30, 2025 and 2024, and (vi) the Notes to the Condensed Consolidated Financial Statements.</w:t>
      </w:r>
    </w:p>
    <w:p>
      <w:pPr>
        <w:spacing w:after="0" w:line="131" w:lineRule="exact"/>
        <w:rPr>
          <w:sz w:val="20"/>
          <w:szCs w:val="20"/>
          <w:color w:val="auto"/>
        </w:rPr>
      </w:pPr>
    </w:p>
    <w:p>
      <w:pPr>
        <w:ind w:left="20" w:right="3180" w:firstLine="6"/>
        <w:spacing w:after="0" w:line="438" w:lineRule="auto"/>
        <w:tabs>
          <w:tab w:leader="none" w:pos="1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in Inline XBRL (contained in Exhibit 101). </w:t>
      </w:r>
      <w:r>
        <w:rPr>
          <w:rFonts w:ascii="Arial" w:cs="Arial" w:eastAsia="Arial" w:hAnsi="Arial"/>
          <w:sz w:val="18"/>
          <w:szCs w:val="18"/>
          <w:u w:val="single" w:color="auto"/>
          <w:color w:val="auto"/>
        </w:rPr>
        <w:t>Incorporated by Reference</w:t>
      </w:r>
    </w:p>
    <w:tbl>
      <w:tblPr>
        <w:tblLayout w:type="fixed"/>
        <w:tblInd w:w="20" w:type="dxa"/>
        <w:tblCellMar>
          <w:top w:w="0" w:type="dxa"/>
          <w:left w:w="0" w:type="dxa"/>
          <w:bottom w:w="0" w:type="dxa"/>
          <w:right w:w="0" w:type="dxa"/>
        </w:tblCellMar>
      </w:tblPr>
      <w:tr>
        <w:trPr>
          <w:trHeight w:val="195"/>
        </w:trPr>
        <w:tc>
          <w:tcPr>
            <w:tcW w:w="1220" w:type="dxa"/>
            <w:vAlign w:val="bottom"/>
          </w:tcPr>
          <w:p>
            <w:pPr>
              <w:spacing w:after="0" w:line="195" w:lineRule="exact"/>
              <w:rPr>
                <w:sz w:val="20"/>
                <w:szCs w:val="20"/>
                <w:color w:val="auto"/>
              </w:rPr>
            </w:pPr>
            <w:r>
              <w:rPr>
                <w:rFonts w:ascii="Arial" w:cs="Arial" w:eastAsia="Arial" w:hAnsi="Arial"/>
                <w:sz w:val="18"/>
                <w:szCs w:val="18"/>
                <w:color w:val="auto"/>
              </w:rPr>
              <w:t>3(a)</w:t>
            </w:r>
          </w:p>
        </w:tc>
        <w:tc>
          <w:tcPr>
            <w:tcW w:w="9960" w:type="dxa"/>
            <w:vAlign w:val="bottom"/>
            <w:tcBorders>
              <w:bottom w:val="single" w:sz="8" w:color="0000FF"/>
            </w:tcBorders>
            <w:gridSpan w:val="3"/>
          </w:tcPr>
          <w:p>
            <w:pPr>
              <w:spacing w:after="0" w:line="195" w:lineRule="exact"/>
              <w:rPr>
                <w:rFonts w:ascii="Arial" w:cs="Arial" w:eastAsia="Arial" w:hAnsi="Arial"/>
                <w:sz w:val="18"/>
                <w:szCs w:val="18"/>
                <w:color w:val="0000FF"/>
              </w:rPr>
            </w:pPr>
            <w:hyperlink r:id="rId80">
              <w:r>
                <w:rPr>
                  <w:rFonts w:ascii="Arial" w:cs="Arial" w:eastAsia="Arial" w:hAnsi="Arial"/>
                  <w:sz w:val="18"/>
                  <w:szCs w:val="18"/>
                  <w:color w:val="0000FF"/>
                </w:rPr>
                <w:t>Restated Articles of Incorporation of UPC, as amended and restated through June 27, 2011, and as further amended May</w:t>
              </w:r>
            </w:hyperlink>
          </w:p>
        </w:tc>
      </w:tr>
      <w:tr>
        <w:trPr>
          <w:trHeight w:val="196"/>
        </w:trPr>
        <w:tc>
          <w:tcPr>
            <w:tcW w:w="1220" w:type="dxa"/>
            <w:vAlign w:val="bottom"/>
          </w:tcPr>
          <w:p>
            <w:pPr>
              <w:spacing w:after="0"/>
              <w:rPr>
                <w:sz w:val="17"/>
                <w:szCs w:val="17"/>
                <w:color w:val="auto"/>
              </w:rPr>
            </w:pPr>
          </w:p>
        </w:tc>
        <w:tc>
          <w:tcPr>
            <w:tcW w:w="9960" w:type="dxa"/>
            <w:vAlign w:val="bottom"/>
            <w:tcBorders>
              <w:bottom w:val="single" w:sz="8" w:color="0000FF"/>
            </w:tcBorders>
            <w:gridSpan w:val="3"/>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15, 2014, are incorporated herein by reference to Exhibit 3(a) to the Corporation’s Quarterly Report on Form 10-Q for the</w:t>
              </w:r>
            </w:hyperlink>
          </w:p>
        </w:tc>
      </w:tr>
      <w:tr>
        <w:trPr>
          <w:trHeight w:val="196"/>
        </w:trPr>
        <w:tc>
          <w:tcPr>
            <w:tcW w:w="1220" w:type="dxa"/>
            <w:vAlign w:val="bottom"/>
          </w:tcPr>
          <w:p>
            <w:pPr>
              <w:spacing w:after="0"/>
              <w:rPr>
                <w:sz w:val="17"/>
                <w:szCs w:val="17"/>
                <w:color w:val="auto"/>
              </w:rPr>
            </w:pPr>
          </w:p>
        </w:tc>
        <w:tc>
          <w:tcPr>
            <w:tcW w:w="9960" w:type="dxa"/>
            <w:vAlign w:val="bottom"/>
            <w:gridSpan w:val="3"/>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quarter ended June 30, 2014.</w:t>
              </w:r>
            </w:hyperlink>
          </w:p>
        </w:tc>
      </w:tr>
      <w:tr>
        <w:trPr>
          <w:trHeight w:val="20"/>
        </w:trPr>
        <w:tc>
          <w:tcPr>
            <w:tcW w:w="12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3(b)</w:t>
            </w:r>
          </w:p>
        </w:tc>
        <w:tc>
          <w:tcPr>
            <w:tcW w:w="9960" w:type="dxa"/>
            <w:vAlign w:val="bottom"/>
            <w:tcBorders>
              <w:bottom w:val="single" w:sz="8" w:color="0000FF"/>
            </w:tcBorders>
            <w:gridSpan w:val="3"/>
          </w:tcPr>
          <w:p>
            <w:pPr>
              <w:spacing w:after="0"/>
              <w:rPr>
                <w:rFonts w:ascii="Arial" w:cs="Arial" w:eastAsia="Arial" w:hAnsi="Arial"/>
                <w:sz w:val="18"/>
                <w:szCs w:val="18"/>
                <w:color w:val="0000FF"/>
              </w:rPr>
            </w:pPr>
            <w:hyperlink r:id="rId81">
              <w:r>
                <w:rPr>
                  <w:rFonts w:ascii="Arial" w:cs="Arial" w:eastAsia="Arial" w:hAnsi="Arial"/>
                  <w:sz w:val="18"/>
                  <w:szCs w:val="18"/>
                  <w:color w:val="0000FF"/>
                </w:rPr>
                <w:t>By-Laws of UPC, as amended, effective November 19, 2015, are incorporated herein by reference to Exhibit 3.2 to the</w:t>
              </w:r>
            </w:hyperlink>
          </w:p>
        </w:tc>
      </w:tr>
      <w:tr>
        <w:trPr>
          <w:trHeight w:val="196"/>
        </w:trPr>
        <w:tc>
          <w:tcPr>
            <w:tcW w:w="1220" w:type="dxa"/>
            <w:vAlign w:val="bottom"/>
          </w:tcPr>
          <w:p>
            <w:pPr>
              <w:spacing w:after="0"/>
              <w:rPr>
                <w:sz w:val="17"/>
                <w:szCs w:val="17"/>
                <w:color w:val="auto"/>
              </w:rPr>
            </w:pPr>
          </w:p>
        </w:tc>
        <w:tc>
          <w:tcPr>
            <w:tcW w:w="554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81">
              <w:r>
                <w:rPr>
                  <w:rFonts w:ascii="Arial" w:cs="Arial" w:eastAsia="Arial" w:hAnsi="Arial"/>
                  <w:sz w:val="18"/>
                  <w:szCs w:val="18"/>
                  <w:color w:val="0000FF"/>
                  <w:w w:val="99"/>
                </w:rPr>
                <w:t>Corporation’s Current Report on Form 8-K dated November 19, 2015.</w:t>
              </w:r>
            </w:hyperlink>
          </w:p>
        </w:tc>
        <w:tc>
          <w:tcPr>
            <w:tcW w:w="4420" w:type="dxa"/>
            <w:vAlign w:val="bottom"/>
          </w:tcPr>
          <w:p>
            <w:pPr>
              <w:spacing w:after="0"/>
              <w:rPr>
                <w:sz w:val="17"/>
                <w:szCs w:val="17"/>
                <w:color w:val="auto"/>
              </w:rPr>
            </w:pPr>
          </w:p>
        </w:tc>
      </w:tr>
    </w:tbl>
    <w:p>
      <w:pPr>
        <w:spacing w:after="0" w:line="170" w:lineRule="exact"/>
        <w:rPr>
          <w:sz w:val="20"/>
          <w:szCs w:val="20"/>
          <w:color w:val="auto"/>
        </w:rPr>
      </w:pPr>
    </w:p>
    <w:p>
      <w:pPr>
        <w:ind w:left="1240" w:hanging="1214"/>
        <w:spacing w:after="0" w:line="287" w:lineRule="auto"/>
        <w:tabs>
          <w:tab w:leader="none" w:pos="1240" w:val="left"/>
        </w:tabs>
        <w:numPr>
          <w:ilvl w:val="0"/>
          <w:numId w:val="18"/>
        </w:numPr>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Transition and Separation Agreement between the Company and Elizabeth F. Whited, dated May 8, 2025, is incorporated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herein by reference to Exhibit 10.1 to the Corporation’s Current Report on Form 8-K dated May 9, 2025.</w:t>
        </w:r>
      </w:hyperlink>
    </w:p>
    <w:p>
      <w:pPr>
        <w:spacing w:after="0" w:line="140" w:lineRule="exact"/>
        <w:rPr>
          <w:rFonts w:ascii="Arial" w:cs="Arial" w:eastAsia="Arial" w:hAnsi="Arial"/>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July 24, 2025</w:t>
      </w:r>
    </w:p>
    <w:p>
      <w:pPr>
        <w:spacing w:after="0" w:line="25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UNION PACIFIC CORPORATION (Registrant)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Financial Officer)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Carrie J.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29743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Carrie J. Powers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Controller, 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(Principal Accounting Officer)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21"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225"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225"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2025</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7748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03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225"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Union Pacific Corporation;</w:t>
      </w:r>
    </w:p>
    <w:p>
      <w:pPr>
        <w:spacing w:after="0" w:line="225" w:lineRule="exact"/>
        <w:rPr>
          <w:rFonts w:ascii="Arial" w:cs="Arial" w:eastAsia="Arial" w:hAnsi="Arial"/>
          <w:sz w:val="18"/>
          <w:szCs w:val="18"/>
          <w:color w:val="auto"/>
        </w:rPr>
      </w:pPr>
    </w:p>
    <w:p>
      <w:pPr>
        <w:jc w:val="both"/>
        <w:ind w:left="200" w:right="20" w:hanging="192"/>
        <w:spacing w:after="0" w:line="268"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200" w:right="20" w:hanging="192"/>
        <w:spacing w:after="0" w:line="287"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200" w:hanging="192"/>
        <w:spacing w:after="0" w:line="260"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40" w:hanging="308"/>
        <w:spacing w:after="0" w:line="268"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200" w:hanging="192"/>
        <w:spacing w:after="0" w:line="268" w:lineRule="auto"/>
        <w:tabs>
          <w:tab w:leader="none" w:pos="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40" w:hanging="308"/>
        <w:spacing w:after="0" w:line="287" w:lineRule="auto"/>
        <w:tabs>
          <w:tab w:leader="none" w:pos="6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2025</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19799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2025,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354"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July 24, 2025</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quarterly report of Union Pacific Corporation (the Corporation) on Form 10-Q for the period ending June 30, 2025,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4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39"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34925</wp:posOffset>
            </wp:positionV>
            <wp:extent cx="1680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L. Hamann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24, 2025</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32"/>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80" Type="http://schemas.openxmlformats.org/officeDocument/2006/relationships/hyperlink" Target="https://www.sec.gov/Archives/edgar/data/100885/000119312514280047/d761509dex3a.htm" TargetMode="External"/><Relationship Id="rId81" Type="http://schemas.openxmlformats.org/officeDocument/2006/relationships/hyperlink" Target="https://www.sec.gov/Archives/edgar/data/100885/000010088515000208/unp-20151119ex32a605ee0.htm" TargetMode="External"/><Relationship Id="rId82" Type="http://schemas.openxmlformats.org/officeDocument/2006/relationships/hyperlink" Target="https://www.sec.gov/Archives/edgar/data/100885/000010088525000162/a8-k2025x05x09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2025-07-24T14:35:08Z</dcterms:created>
  <dcterms:modified xsi:type="dcterms:W3CDTF">2025-07-24T14:35:08Z</dcterms:modified>
</cp:coreProperties>
</file>