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February 10, 2021</w:t>
      </w:r>
    </w:p>
    <w:p>
      <w:pPr>
        <w:spacing w:after="0" w:line="28" w:lineRule="exact"/>
        <w:rPr>
          <w:sz w:val="24"/>
          <w:szCs w:val="24"/>
          <w:color w:val="auto"/>
        </w:rPr>
      </w:pPr>
    </w:p>
    <w:p>
      <w:pPr>
        <w:ind w:left="9020"/>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67310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109855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102870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S-4</w:t>
      </w:r>
    </w:p>
    <w:p>
      <w:pPr>
        <w:spacing w:after="0" w:line="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9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77470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1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0"/>
          <w:szCs w:val="40"/>
          <w:b w:val="1"/>
          <w:bCs w:val="1"/>
          <w:color w:val="auto"/>
        </w:rPr>
        <w:t>Union Pacific Corporation</w:t>
      </w:r>
    </w:p>
    <w:p>
      <w:pPr>
        <w:spacing w:after="0" w:line="6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4" w:lineRule="exact"/>
        <w:rPr>
          <w:sz w:val="24"/>
          <w:szCs w:val="24"/>
          <w:color w:val="auto"/>
        </w:rPr>
      </w:pPr>
    </w:p>
    <w:tbl>
      <w:tblPr>
        <w:tblLayout w:type="fixed"/>
        <w:tblInd w:w="1040" w:type="dxa"/>
        <w:tblCellMar>
          <w:top w:w="0" w:type="dxa"/>
          <w:left w:w="0" w:type="dxa"/>
          <w:bottom w:w="0" w:type="dxa"/>
          <w:right w:w="0" w:type="dxa"/>
        </w:tblCellMar>
      </w:tblPr>
      <w:tr>
        <w:trPr>
          <w:trHeight w:val="194"/>
        </w:trPr>
        <w:tc>
          <w:tcPr>
            <w:tcW w:w="2840" w:type="dxa"/>
            <w:vAlign w:val="bottom"/>
          </w:tcPr>
          <w:p>
            <w:pPr>
              <w:jc w:val="center"/>
              <w:ind w:right="865"/>
              <w:spacing w:after="0"/>
              <w:rPr>
                <w:sz w:val="20"/>
                <w:szCs w:val="20"/>
                <w:color w:val="auto"/>
              </w:rPr>
            </w:pPr>
            <w:r>
              <w:rPr>
                <w:rFonts w:ascii="Times New Roman" w:cs="Times New Roman" w:eastAsia="Times New Roman" w:hAnsi="Times New Roman"/>
                <w:sz w:val="16"/>
                <w:szCs w:val="16"/>
                <w:b w:val="1"/>
                <w:bCs w:val="1"/>
                <w:color w:val="auto"/>
              </w:rPr>
              <w:t>Utah</w:t>
            </w:r>
          </w:p>
        </w:tc>
        <w:tc>
          <w:tcPr>
            <w:tcW w:w="386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4011</w:t>
            </w:r>
          </w:p>
        </w:tc>
        <w:tc>
          <w:tcPr>
            <w:tcW w:w="2200" w:type="dxa"/>
            <w:vAlign w:val="bottom"/>
          </w:tcPr>
          <w:p>
            <w:pPr>
              <w:jc w:val="center"/>
              <w:ind w:left="985"/>
              <w:spacing w:after="0"/>
              <w:rPr>
                <w:sz w:val="20"/>
                <w:szCs w:val="20"/>
                <w:color w:val="auto"/>
              </w:rPr>
            </w:pPr>
            <w:r>
              <w:rPr>
                <w:rFonts w:ascii="Times New Roman" w:cs="Times New Roman" w:eastAsia="Times New Roman" w:hAnsi="Times New Roman"/>
                <w:sz w:val="16"/>
                <w:szCs w:val="16"/>
                <w:b w:val="1"/>
                <w:bCs w:val="1"/>
                <w:color w:val="auto"/>
              </w:rPr>
              <w:t>13-2626465</w:t>
            </w:r>
          </w:p>
        </w:tc>
      </w:tr>
      <w:tr>
        <w:trPr>
          <w:trHeight w:val="148"/>
        </w:trPr>
        <w:tc>
          <w:tcPr>
            <w:tcW w:w="2840" w:type="dxa"/>
            <w:vAlign w:val="bottom"/>
          </w:tcPr>
          <w:p>
            <w:pPr>
              <w:jc w:val="center"/>
              <w:ind w:right="88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6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20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200" w:type="dxa"/>
            <w:vAlign w:val="bottom"/>
          </w:tcPr>
          <w:p>
            <w:pPr>
              <w:jc w:val="center"/>
              <w:ind w:left="98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83820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1400 Douglas Street</w:t>
      </w:r>
    </w:p>
    <w:p>
      <w:pPr>
        <w:spacing w:after="0" w:line="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Omaha, Nebraska 68179</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Telephone: (402) 544-5000</w:t>
      </w:r>
    </w:p>
    <w:p>
      <w:pPr>
        <w:spacing w:after="0" w:line="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73660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Craig V. Richardson</w:t>
      </w:r>
    </w:p>
    <w:p>
      <w:pPr>
        <w:spacing w:after="0" w:line="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Executive Vice President, Chief Legal Officer and Corporate Secretary</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1400 Douglas Street</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Omaha, Nebraska 68179</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Telephone: (402) 544-5000</w:t>
      </w:r>
    </w:p>
    <w:p>
      <w:pPr>
        <w:spacing w:after="0" w:line="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73660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7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Jonathan A. Koff, Esq.</w:t>
      </w:r>
    </w:p>
    <w:p>
      <w:pPr>
        <w:spacing w:after="0" w:line="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Walter L. Draney, Esq.</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Chapman and Cutler LLP</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111 West Monroe Street</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Chicago, Illinois 60603</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(312) 845-3000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101600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5"/>
          <w:szCs w:val="15"/>
          <w:color w:val="auto"/>
        </w:rPr>
        <w:t>Approximate date of commencement of proposed sale of the securities to the public: 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81280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9" w:lineRule="exact"/>
        <w:rPr>
          <w:sz w:val="24"/>
          <w:szCs w:val="24"/>
          <w:color w:val="auto"/>
        </w:rPr>
      </w:pPr>
    </w:p>
    <w:p>
      <w:pPr>
        <w:ind w:left="120" w:right="140"/>
        <w:spacing w:after="0" w:line="195" w:lineRule="exact"/>
        <w:rPr>
          <w:sz w:val="20"/>
          <w:szCs w:val="20"/>
          <w:color w:val="auto"/>
        </w:rPr>
      </w:pPr>
      <w:r>
        <w:rPr>
          <w:rFonts w:ascii="Times New Roman" w:cs="Times New Roman" w:eastAsia="Times New Roman" w:hAnsi="Times New Roman"/>
          <w:sz w:val="15"/>
          <w:szCs w:val="15"/>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5"/>
          <w:szCs w:val="15"/>
          <w:color w:val="auto"/>
        </w:rPr>
        <w:t>☐</w:t>
      </w:r>
    </w:p>
    <w:p>
      <w:pPr>
        <w:spacing w:after="0" w:line="15" w:lineRule="exact"/>
        <w:rPr>
          <w:sz w:val="24"/>
          <w:szCs w:val="24"/>
          <w:color w:val="auto"/>
        </w:rPr>
      </w:pPr>
    </w:p>
    <w:p>
      <w:pPr>
        <w:ind w:left="120" w:right="80"/>
        <w:spacing w:after="0" w:line="195"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5" w:lineRule="exact"/>
        <w:rPr>
          <w:sz w:val="24"/>
          <w:szCs w:val="24"/>
          <w:color w:val="auto"/>
        </w:rPr>
      </w:pPr>
    </w:p>
    <w:p>
      <w:pPr>
        <w:ind w:left="120" w:right="60"/>
        <w:spacing w:after="0" w:line="195"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5" w:lineRule="exact"/>
        <w:rPr>
          <w:sz w:val="24"/>
          <w:szCs w:val="24"/>
          <w:color w:val="auto"/>
        </w:rPr>
      </w:pPr>
    </w:p>
    <w:p>
      <w:pPr>
        <w:ind w:left="120" w:right="180"/>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226" w:right="439" w:bottom="775" w:gutter="0" w:footer="0" w:header="0"/>
        </w:sectPr>
      </w:pPr>
    </w:p>
    <w:p>
      <w:pPr>
        <w:spacing w:after="0" w:line="4" w:lineRule="exact"/>
        <w:rPr>
          <w:sz w:val="24"/>
          <w:szCs w:val="24"/>
          <w:color w:val="auto"/>
        </w:rPr>
      </w:pPr>
    </w:p>
    <w:p>
      <w:pPr>
        <w:ind w:left="120"/>
        <w:spacing w:after="0" w:line="173" w:lineRule="exact"/>
        <w:tabs>
          <w:tab w:leader="none" w:pos="2100" w:val="left"/>
          <w:tab w:leader="none" w:pos="8580" w:val="left"/>
        </w:tabs>
        <w:rPr>
          <w:sz w:val="20"/>
          <w:szCs w:val="20"/>
          <w:color w:val="auto"/>
        </w:rPr>
      </w:pPr>
      <w:r>
        <w:rPr>
          <w:rFonts w:ascii="Times New Roman" w:cs="Times New Roman" w:eastAsia="Times New Roman" w:hAnsi="Times New Roman"/>
          <w:sz w:val="15"/>
          <w:szCs w:val="15"/>
          <w:color w:val="auto"/>
        </w:rPr>
        <w:t>Large 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Accelerated filer</w:t>
      </w:r>
    </w:p>
    <w:p>
      <w:pPr>
        <w:spacing w:after="0" w:line="125" w:lineRule="exact"/>
        <w:rPr>
          <w:sz w:val="24"/>
          <w:szCs w:val="24"/>
          <w:color w:val="auto"/>
        </w:rPr>
      </w:pPr>
    </w:p>
    <w:p>
      <w:pPr>
        <w:ind w:left="120"/>
        <w:spacing w:after="0" w:line="173" w:lineRule="exact"/>
        <w:tabs>
          <w:tab w:leader="none" w:pos="2100" w:val="left"/>
          <w:tab w:leader="none" w:pos="8580" w:val="left"/>
        </w:tabs>
        <w:rPr>
          <w:sz w:val="20"/>
          <w:szCs w:val="20"/>
          <w:color w:val="auto"/>
        </w:rPr>
      </w:pPr>
      <w:r>
        <w:rPr>
          <w:rFonts w:ascii="Times New Roman" w:cs="Times New Roman" w:eastAsia="Times New Roman" w:hAnsi="Times New Roman"/>
          <w:sz w:val="15"/>
          <w:szCs w:val="15"/>
          <w:color w:val="auto"/>
        </w:rPr>
        <w:t>Non-accelerated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Smaller reporting company</w:t>
      </w:r>
    </w:p>
    <w:p>
      <w:pPr>
        <w:spacing w:after="0" w:line="164" w:lineRule="exact"/>
        <w:rPr>
          <w:sz w:val="24"/>
          <w:szCs w:val="24"/>
          <w:color w:val="auto"/>
        </w:rPr>
      </w:pPr>
    </w:p>
    <w:p>
      <w:pPr>
        <w:ind w:left="8600"/>
        <w:spacing w:after="0"/>
        <w:rPr>
          <w:sz w:val="20"/>
          <w:szCs w:val="20"/>
          <w:color w:val="auto"/>
        </w:rPr>
      </w:pPr>
      <w:r>
        <w:rPr>
          <w:rFonts w:ascii="Times New Roman" w:cs="Times New Roman" w:eastAsia="Times New Roman" w:hAnsi="Times New Roman"/>
          <w:sz w:val="15"/>
          <w:szCs w:val="15"/>
          <w:color w:val="auto"/>
        </w:rPr>
        <w:t>Emerging growth company</w:t>
      </w:r>
    </w:p>
    <w:p>
      <w:pPr>
        <w:spacing w:after="0" w:line="44" w:lineRule="exact"/>
        <w:rPr>
          <w:sz w:val="24"/>
          <w:szCs w:val="24"/>
          <w:color w:val="auto"/>
        </w:rPr>
      </w:pPr>
    </w:p>
    <w:p>
      <w:pPr>
        <w:ind w:left="120"/>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1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5"/>
          <w:szCs w:val="15"/>
          <w:color w:val="auto"/>
        </w:rPr>
        <w:t>If applicable, place an X in the box to designate the appropriate rule provision relied upon in conducting this transaction:</w:t>
      </w:r>
    </w:p>
    <w:p>
      <w:pPr>
        <w:spacing w:after="0" w:line="37" w:lineRule="exact"/>
        <w:rPr>
          <w:sz w:val="24"/>
          <w:szCs w:val="24"/>
          <w:color w:val="auto"/>
        </w:rPr>
      </w:pPr>
    </w:p>
    <w:p>
      <w:pPr>
        <w:ind w:left="120"/>
        <w:spacing w:after="0" w:line="173" w:lineRule="exact"/>
        <w:rPr>
          <w:sz w:val="20"/>
          <w:szCs w:val="20"/>
          <w:color w:val="auto"/>
        </w:rPr>
      </w:pPr>
      <w:r>
        <w:rPr>
          <w:rFonts w:ascii="Times New Roman" w:cs="Times New Roman" w:eastAsia="Times New Roman" w:hAnsi="Times New Roman"/>
          <w:sz w:val="15"/>
          <w:szCs w:val="15"/>
          <w:color w:val="auto"/>
        </w:rPr>
        <w:t xml:space="preserve">Exchange Act Rule 13e-4(i) (Cross-Border Issuer Tender Offer) </w:t>
      </w:r>
      <w:r>
        <w:rPr>
          <w:rFonts w:ascii="MS PGothic" w:cs="MS PGothic" w:eastAsia="MS PGothic" w:hAnsi="MS PGothic"/>
          <w:sz w:val="15"/>
          <w:szCs w:val="15"/>
          <w:color w:val="auto"/>
        </w:rPr>
        <w:t>☐</w:t>
      </w:r>
    </w:p>
    <w:p>
      <w:pPr>
        <w:spacing w:after="0" w:line="65" w:lineRule="exact"/>
        <w:rPr>
          <w:sz w:val="24"/>
          <w:szCs w:val="24"/>
          <w:color w:val="auto"/>
        </w:rPr>
      </w:pPr>
    </w:p>
    <w:p>
      <w:pPr>
        <w:ind w:left="120"/>
        <w:spacing w:after="0" w:line="173" w:lineRule="exact"/>
        <w:rPr>
          <w:sz w:val="20"/>
          <w:szCs w:val="20"/>
          <w:color w:val="auto"/>
        </w:rPr>
      </w:pPr>
      <w:r>
        <w:rPr>
          <w:rFonts w:ascii="Times New Roman" w:cs="Times New Roman" w:eastAsia="Times New Roman" w:hAnsi="Times New Roman"/>
          <w:sz w:val="15"/>
          <w:szCs w:val="15"/>
          <w:color w:val="auto"/>
        </w:rPr>
        <w:t xml:space="preserve">Exchange Act Rule 14d-l(d) (Cross-Border Third-Party Tender Offer)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106045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9" w:lineRule="exact"/>
        <w:rPr>
          <w:sz w:val="24"/>
          <w:szCs w:val="24"/>
          <w:color w:val="auto"/>
        </w:rPr>
      </w:pPr>
    </w:p>
    <w:p>
      <w:pPr>
        <w:jc w:val="center"/>
        <w:ind w:left="500"/>
        <w:spacing w:after="0"/>
        <w:rPr>
          <w:sz w:val="20"/>
          <w:szCs w:val="20"/>
          <w:color w:val="auto"/>
        </w:rPr>
      </w:pPr>
      <w:r>
        <w:rPr>
          <w:rFonts w:ascii="Times New Roman" w:cs="Times New Roman" w:eastAsia="Times New Roman" w:hAnsi="Times New Roman"/>
          <w:sz w:val="16"/>
          <w:szCs w:val="16"/>
          <w:b w:val="1"/>
          <w:bCs w:val="1"/>
          <w:color w:val="auto"/>
        </w:rPr>
        <w:t>CALCULATION OF REGISTRATION FEE</w:t>
      </w:r>
    </w:p>
    <w:p>
      <w:pPr>
        <w:spacing w:after="0" w:line="20" w:lineRule="exact"/>
        <w:rPr>
          <w:sz w:val="24"/>
          <w:szCs w:val="24"/>
          <w:color w:val="auto"/>
        </w:rPr>
      </w:pPr>
      <w:r>
        <w:rPr>
          <w:sz w:val="24"/>
          <w:szCs w:val="24"/>
          <w:color w:val="auto"/>
        </w:rPr>
        <w:br w:type="column"/>
      </w:r>
    </w:p>
    <w:p>
      <w:pPr>
        <w:spacing w:after="0" w:line="125"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624" w:lineRule="exact"/>
        <w:rPr>
          <w:sz w:val="24"/>
          <w:szCs w:val="24"/>
          <w:color w:val="auto"/>
        </w:rPr>
      </w:pPr>
    </w:p>
    <w:p>
      <w:pPr>
        <w:sectPr>
          <w:pgSz w:w="11900" w:h="16838" w:orient="portrait"/>
          <w:cols w:equalWidth="0" w:num="2">
            <w:col w:w="10740" w:space="180"/>
            <w:col w:w="220"/>
          </w:cols>
          <w:pgMar w:left="320" w:top="226" w:right="439" w:bottom="775" w:gutter="0" w:footer="0" w:header="0"/>
          <w:type w:val="continuous"/>
        </w:sectPr>
      </w:pPr>
    </w:p>
    <w:tbl>
      <w:tblPr>
        <w:tblLayout w:type="fixed"/>
        <w:tblInd w:w="120" w:type="dxa"/>
        <w:tblCellMar>
          <w:top w:w="0" w:type="dxa"/>
          <w:left w:w="0" w:type="dxa"/>
          <w:bottom w:w="0" w:type="dxa"/>
          <w:right w:w="0" w:type="dxa"/>
        </w:tblCellMar>
      </w:tblPr>
      <w:tr>
        <w:trPr>
          <w:trHeight w:val="40"/>
        </w:trPr>
        <w:tc>
          <w:tcPr>
            <w:tcW w:w="356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356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restart"/>
          </w:tcPr>
          <w:p>
            <w:pPr>
              <w:jc w:val="center"/>
              <w:ind w:left="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60" w:type="dxa"/>
            <w:vAlign w:val="bottom"/>
            <w:tcBorders>
              <w:right w:val="single" w:sz="8" w:color="auto"/>
            </w:tcBorders>
          </w:tcPr>
          <w:p>
            <w:pPr>
              <w:jc w:val="center"/>
              <w:ind w:left="9"/>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860" w:type="dxa"/>
            <w:vAlign w:val="bottom"/>
            <w:tcBorders>
              <w:right w:val="single" w:sz="8" w:color="auto"/>
            </w:tcBorders>
          </w:tcPr>
          <w:p>
            <w:pPr>
              <w:jc w:val="center"/>
              <w:ind w:left="9"/>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88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tcPr>
          <w:p>
            <w:pPr>
              <w:jc w:val="center"/>
              <w:ind w:left="9"/>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860" w:type="dxa"/>
            <w:vAlign w:val="bottom"/>
            <w:tcBorders>
              <w:right w:val="single" w:sz="8" w:color="auto"/>
            </w:tcBorders>
          </w:tcPr>
          <w:p>
            <w:pPr>
              <w:jc w:val="center"/>
              <w:ind w:left="9"/>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860" w:type="dxa"/>
            <w:vAlign w:val="bottom"/>
            <w:vMerge w:val="restart"/>
          </w:tcPr>
          <w:p>
            <w:pPr>
              <w:jc w:val="center"/>
              <w:ind w:left="7"/>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6"/>
        </w:trPr>
        <w:tc>
          <w:tcPr>
            <w:tcW w:w="356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to be</w:t>
            </w:r>
          </w:p>
        </w:tc>
        <w:tc>
          <w:tcPr>
            <w:tcW w:w="1860" w:type="dxa"/>
            <w:vAlign w:val="bottom"/>
            <w:tcBorders>
              <w:right w:val="single" w:sz="8" w:color="auto"/>
            </w:tcBorders>
          </w:tcPr>
          <w:p>
            <w:pPr>
              <w:jc w:val="center"/>
              <w:ind w:left="9"/>
              <w:spacing w:after="0" w:line="146"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860" w:type="dxa"/>
            <w:vAlign w:val="bottom"/>
            <w:tcBorders>
              <w:right w:val="single" w:sz="8" w:color="auto"/>
            </w:tcBorders>
          </w:tcPr>
          <w:p>
            <w:pPr>
              <w:jc w:val="center"/>
              <w:ind w:left="9"/>
              <w:spacing w:after="0" w:line="146" w:lineRule="exact"/>
              <w:rPr>
                <w:sz w:val="20"/>
                <w:szCs w:val="20"/>
                <w:color w:val="auto"/>
              </w:rPr>
            </w:pPr>
            <w:r>
              <w:rPr>
                <w:rFonts w:ascii="Times New Roman" w:cs="Times New Roman" w:eastAsia="Times New Roman" w:hAnsi="Times New Roman"/>
                <w:sz w:val="14"/>
                <w:szCs w:val="14"/>
                <w:b w:val="1"/>
                <w:bCs w:val="1"/>
                <w:color w:val="auto"/>
                <w:w w:val="99"/>
              </w:rPr>
              <w:t>aggregate</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880" w:type="dxa"/>
            <w:vAlign w:val="bottom"/>
            <w:tcBorders>
              <w:bottom w:val="single" w:sz="8" w:color="auto"/>
              <w:right w:val="single" w:sz="8" w:color="auto"/>
            </w:tcBorders>
          </w:tcPr>
          <w:p>
            <w:pPr>
              <w:jc w:val="center"/>
              <w:ind w:left="7"/>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860" w:type="dxa"/>
            <w:vAlign w:val="bottom"/>
            <w:tcBorders>
              <w:bottom w:val="single" w:sz="8" w:color="auto"/>
              <w:right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860" w:type="dxa"/>
            <w:vAlign w:val="bottom"/>
            <w:tcBorders>
              <w:bottom w:val="single" w:sz="8" w:color="auto"/>
              <w:right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860" w:type="dxa"/>
            <w:vAlign w:val="bottom"/>
            <w:tcBorders>
              <w:bottom w:val="single" w:sz="8" w:color="auto"/>
            </w:tcBorders>
          </w:tcPr>
          <w:p>
            <w:pPr>
              <w:jc w:val="center"/>
              <w:ind w:left="7"/>
              <w:spacing w:after="0"/>
              <w:rPr>
                <w:sz w:val="20"/>
                <w:szCs w:val="20"/>
                <w:color w:val="auto"/>
              </w:rPr>
            </w:pPr>
            <w:r>
              <w:rPr>
                <w:rFonts w:ascii="Times New Roman" w:cs="Times New Roman" w:eastAsia="Times New Roman" w:hAnsi="Times New Roman"/>
                <w:sz w:val="14"/>
                <w:szCs w:val="14"/>
                <w:b w:val="1"/>
                <w:bCs w:val="1"/>
                <w:color w:val="auto"/>
              </w:rPr>
              <w:t>registration fee (1)</w:t>
            </w:r>
          </w:p>
        </w:tc>
        <w:tc>
          <w:tcPr>
            <w:tcW w:w="0" w:type="dxa"/>
            <w:vAlign w:val="bottom"/>
          </w:tcPr>
          <w:p>
            <w:pPr>
              <w:spacing w:after="0"/>
              <w:rPr>
                <w:sz w:val="1"/>
                <w:szCs w:val="1"/>
                <w:color w:val="auto"/>
              </w:rPr>
            </w:pPr>
          </w:p>
        </w:tc>
      </w:tr>
      <w:tr>
        <w:trPr>
          <w:trHeight w:val="156"/>
        </w:trPr>
        <w:tc>
          <w:tcPr>
            <w:tcW w:w="3560" w:type="dxa"/>
            <w:vAlign w:val="bottom"/>
            <w:tcBorders>
              <w:bottom w:val="single" w:sz="8" w:color="auto"/>
              <w:right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2.973% Notes due 2062</w:t>
            </w:r>
          </w:p>
        </w:tc>
        <w:tc>
          <w:tcPr>
            <w:tcW w:w="1880" w:type="dxa"/>
            <w:vAlign w:val="bottom"/>
            <w:tcBorders>
              <w:bottom w:val="single" w:sz="8" w:color="auto"/>
              <w:right w:val="single" w:sz="8" w:color="auto"/>
            </w:tcBorders>
          </w:tcPr>
          <w:p>
            <w:pPr>
              <w:jc w:val="center"/>
              <w:ind w:left="7"/>
              <w:spacing w:after="0" w:line="156" w:lineRule="exact"/>
              <w:rPr>
                <w:sz w:val="20"/>
                <w:szCs w:val="20"/>
                <w:color w:val="auto"/>
              </w:rPr>
            </w:pPr>
            <w:r>
              <w:rPr>
                <w:rFonts w:ascii="Times New Roman" w:cs="Times New Roman" w:eastAsia="Times New Roman" w:hAnsi="Times New Roman"/>
                <w:sz w:val="15"/>
                <w:szCs w:val="15"/>
                <w:color w:val="auto"/>
              </w:rPr>
              <w:t>$1,047,453,000</w:t>
            </w:r>
          </w:p>
        </w:tc>
        <w:tc>
          <w:tcPr>
            <w:tcW w:w="1860" w:type="dxa"/>
            <w:vAlign w:val="bottom"/>
            <w:tcBorders>
              <w:bottom w:val="single" w:sz="8" w:color="auto"/>
              <w:right w:val="single" w:sz="8" w:color="auto"/>
            </w:tcBorders>
          </w:tcPr>
          <w:p>
            <w:pPr>
              <w:jc w:val="center"/>
              <w:ind w:left="9"/>
              <w:spacing w:after="0" w:line="156" w:lineRule="exact"/>
              <w:rPr>
                <w:sz w:val="20"/>
                <w:szCs w:val="20"/>
                <w:color w:val="auto"/>
              </w:rPr>
            </w:pPr>
            <w:r>
              <w:rPr>
                <w:rFonts w:ascii="Times New Roman" w:cs="Times New Roman" w:eastAsia="Times New Roman" w:hAnsi="Times New Roman"/>
                <w:sz w:val="15"/>
                <w:szCs w:val="15"/>
                <w:color w:val="auto"/>
                <w:w w:val="97"/>
              </w:rPr>
              <w:t>100%</w:t>
            </w:r>
          </w:p>
        </w:tc>
        <w:tc>
          <w:tcPr>
            <w:tcW w:w="1860" w:type="dxa"/>
            <w:vAlign w:val="bottom"/>
            <w:tcBorders>
              <w:bottom w:val="single" w:sz="8" w:color="auto"/>
              <w:right w:val="single" w:sz="8" w:color="auto"/>
            </w:tcBorders>
          </w:tcPr>
          <w:p>
            <w:pPr>
              <w:jc w:val="center"/>
              <w:ind w:left="9"/>
              <w:spacing w:after="0" w:line="156" w:lineRule="exact"/>
              <w:rPr>
                <w:sz w:val="20"/>
                <w:szCs w:val="20"/>
                <w:color w:val="auto"/>
              </w:rPr>
            </w:pPr>
            <w:r>
              <w:rPr>
                <w:rFonts w:ascii="Times New Roman" w:cs="Times New Roman" w:eastAsia="Times New Roman" w:hAnsi="Times New Roman"/>
                <w:sz w:val="15"/>
                <w:szCs w:val="15"/>
                <w:color w:val="auto"/>
              </w:rPr>
              <w:t>$1,047,453,000</w:t>
            </w:r>
          </w:p>
        </w:tc>
        <w:tc>
          <w:tcPr>
            <w:tcW w:w="1860" w:type="dxa"/>
            <w:vAlign w:val="bottom"/>
            <w:tcBorders>
              <w:bottom w:val="single" w:sz="8" w:color="auto"/>
            </w:tcBorders>
          </w:tcPr>
          <w:p>
            <w:pPr>
              <w:jc w:val="center"/>
              <w:ind w:left="27"/>
              <w:spacing w:after="0" w:line="156" w:lineRule="exact"/>
              <w:rPr>
                <w:sz w:val="20"/>
                <w:szCs w:val="20"/>
                <w:color w:val="auto"/>
              </w:rPr>
            </w:pPr>
            <w:r>
              <w:rPr>
                <w:rFonts w:ascii="Times New Roman" w:cs="Times New Roman" w:eastAsia="Times New Roman" w:hAnsi="Times New Roman"/>
                <w:sz w:val="15"/>
                <w:szCs w:val="15"/>
                <w:color w:val="auto"/>
                <w:w w:val="99"/>
              </w:rPr>
              <w:t>$114,278</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424"/>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pursuant to Rule 457(f) of the Securities Act of 1933, as amended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w:t>
      </w:r>
    </w:p>
    <w:p>
      <w:pPr>
        <w:ind w:left="120"/>
        <w:spacing w:after="0"/>
        <w:rPr>
          <w:sz w:val="20"/>
          <w:szCs w:val="20"/>
          <w:color w:val="auto"/>
        </w:rPr>
      </w:pPr>
      <w:r>
        <w:rPr>
          <w:rFonts w:ascii="Times New Roman" w:cs="Times New Roman" w:eastAsia="Times New Roman" w:hAnsi="Times New Roman"/>
          <w:sz w:val="15"/>
          <w:szCs w:val="15"/>
          <w:b w:val="1"/>
          <w:bCs w:val="1"/>
          <w:color w:val="auto"/>
        </w:rPr>
        <w:t>amendment which specifically states that this Registration Statement shall thereafter become effective in accordance with Section 8(a) of the Securities Act of 1933 or</w:t>
      </w:r>
    </w:p>
    <w:p>
      <w:pPr>
        <w:ind w:left="120"/>
        <w:spacing w:after="0"/>
        <w:rPr>
          <w:sz w:val="20"/>
          <w:szCs w:val="20"/>
          <w:color w:val="auto"/>
        </w:rPr>
      </w:pPr>
      <w:r>
        <w:rPr>
          <w:rFonts w:ascii="Times New Roman" w:cs="Times New Roman" w:eastAsia="Times New Roman" w:hAnsi="Times New Roman"/>
          <w:sz w:val="15"/>
          <w:szCs w:val="15"/>
          <w:b w:val="1"/>
          <w:bCs w:val="1"/>
          <w:color w:val="auto"/>
        </w:rPr>
        <w:t>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775"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color w:val="CF0A2C"/>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CF0A2C"/>
        </w:rPr>
        <w:t>SUBJECT TO COMPLETION DATED FEBRUARY 10,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UNION PACIFIC CORPORATION</w:t>
      </w:r>
    </w:p>
    <w:p>
      <w:pPr>
        <w:spacing w:after="0" w:line="345" w:lineRule="exact"/>
        <w:rPr>
          <w:sz w:val="20"/>
          <w:szCs w:val="20"/>
          <w:color w:val="auto"/>
        </w:rPr>
      </w:pPr>
    </w:p>
    <w:p>
      <w:pPr>
        <w:jc w:val="center"/>
        <w:ind w:left="460" w:right="1100"/>
        <w:spacing w:after="0" w:line="264" w:lineRule="auto"/>
        <w:rPr>
          <w:sz w:val="20"/>
          <w:szCs w:val="20"/>
          <w:color w:val="auto"/>
        </w:rPr>
      </w:pPr>
      <w:r>
        <w:rPr>
          <w:rFonts w:ascii="Times New Roman" w:cs="Times New Roman" w:eastAsia="Times New Roman" w:hAnsi="Times New Roman"/>
          <w:sz w:val="23"/>
          <w:szCs w:val="23"/>
          <w:b w:val="1"/>
          <w:bCs w:val="1"/>
          <w:color w:val="auto"/>
        </w:rPr>
        <w:t>Offer to Exchange up to $1,047,453,000 Principal Amount of 2.973% Notes due 2062 for a Like Principal Amount of 2.973% Notes due 2062 which have been registered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214630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Union Pacific Corporation (“Union Pacific”, the “Company”, the “Issuer”, “we”, “us” or “our”) is offering to exchange registered 2.973% Notes due 2062 (the “Exchange Notes”) for its outstanding unregistered 2.973% Notes due 2062 (the “Original Notes”). The Original Notes and the Exchange Notes are sometimes referred to in this prospectus together as the “Notes”. The terms of the Exchange Notes are substantially identical to the terms of the Original Notes for which they will be exchanged, except that the Exchange Notes are registered under the Securities Act of 1933, as amended (the “Securities Act”), and the transfer restrictions and registration rights and related additional interest provisions applicable to such Original Notes do not apply to such Exchange Notes. The Original Notes may only be tendered in an amount equal to $1,000 in principal amount or in integral multiples of</w:t>
      </w:r>
    </w:p>
    <w:p>
      <w:pPr>
        <w:spacing w:after="0" w:line="5"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$1,000 in excess thereof. This offer is subject to certain customary conditions and will expire at 5:00 p.m., New York City time, on , unless the Issuer extends it. The Exchange Notes will not trade on any established exchange.</w:t>
      </w:r>
    </w:p>
    <w:p>
      <w:pPr>
        <w:spacing w:after="0" w:line="18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pursuant to the Exchange Offer (as defined herein) must acknowledge that it will deliver a prospectus in connection with any resale of such Exchange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 where such Original Notes were acquired by such broker-dealer as a result of market-making activities or other trading activities. Union Pacific has agreed that, for a period of 180 days after the Expiration Date (as defined herein), it will make this prospectus available to any broker-dealer for use in connection with any such resale. See “Plan of Distribution”.</w:t>
      </w:r>
    </w:p>
    <w:p>
      <w:pPr>
        <w:spacing w:after="0" w:line="185" w:lineRule="exact"/>
        <w:rPr>
          <w:sz w:val="20"/>
          <w:szCs w:val="20"/>
          <w:color w:val="auto"/>
        </w:rPr>
      </w:pPr>
    </w:p>
    <w:p>
      <w:pPr>
        <w:ind w:left="120" w:right="340" w:firstLine="44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see “</w:t>
      </w:r>
      <w:hyperlink w:anchor="page11">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beginning on page 6 for a discussion of certain factors you should consider in connection with the Exchange Offer.</w:t>
      </w:r>
    </w:p>
    <w:p>
      <w:pPr>
        <w:spacing w:after="0" w:line="15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tbl>
      <w:tblPr>
        <w:tblLayout w:type="fixed"/>
        <w:tblInd w:w="388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2021.</w:t>
            </w:r>
          </w:p>
        </w:tc>
      </w:tr>
    </w:tbl>
    <w:p>
      <w:pPr>
        <w:sectPr>
          <w:pgSz w:w="11900" w:h="16838" w:orient="portrait"/>
          <w:cols w:equalWidth="0" w:num="1">
            <w:col w:w="11120"/>
          </w:cols>
          <w:pgMar w:left="320" w:top="455" w:right="4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solely responsible for the information contained or incorporated by reference in this prospectus. We have not authorized anyone to provide you with different information. We do not take any responsibility for any other information that others may give you. This prospectus is not an offer to sell or a solicitation of an offer to buy the Notes in any jurisdiction or under any circumstances in which the offer or sale is unlawful. You should not assume that the information contained in this prospectus is accurate as of any date other than the date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62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0"/>
                <w:szCs w:val="20"/>
                <w:color w:val="auto"/>
              </w:rPr>
            </w:pPr>
          </w:p>
        </w:tc>
      </w:tr>
      <w:tr>
        <w:trPr>
          <w:trHeight w:val="441"/>
        </w:trPr>
        <w:tc>
          <w:tcPr>
            <w:tcW w:w="862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WHERE YOU CAN FIND MORE INFORMATION</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16"/>
        </w:trPr>
        <w:tc>
          <w:tcPr>
            <w:tcW w:w="862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INCORPORATION BY REFERENCE</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16"/>
        </w:trPr>
        <w:tc>
          <w:tcPr>
            <w:tcW w:w="8620" w:type="dxa"/>
            <w:vAlign w:val="bottom"/>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FORWARD-LOOKING STATEMENTS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w:t>
            </w:r>
          </w:p>
        </w:tc>
      </w:tr>
      <w:tr>
        <w:trPr>
          <w:trHeight w:val="216"/>
        </w:trPr>
        <w:tc>
          <w:tcPr>
            <w:tcW w:w="862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SUMMARY</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62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RISK FACTORS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620" w:type="dxa"/>
            <w:vAlign w:val="bottom"/>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USE OF PROCEEDS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620" w:type="dxa"/>
            <w:vAlign w:val="bottom"/>
          </w:tcPr>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SELECTED FINANCIAL DATA</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620" w:type="dxa"/>
            <w:vAlign w:val="bottom"/>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DESCRIPTION OF THE EXCHANGE NOTES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620" w:type="dxa"/>
            <w:vAlign w:val="bottom"/>
          </w:tcPr>
          <w:p>
            <w:pPr>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THE EXCHANGE OFFER</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620" w:type="dxa"/>
            <w:vAlign w:val="bottom"/>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BOOK-ENTRY NOTES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620" w:type="dxa"/>
            <w:vAlign w:val="bottom"/>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MATERIAL UNITED STATES FEDERAL INCOME TAX CONSIDERATIONS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620" w:type="dxa"/>
            <w:vAlign w:val="bottom"/>
          </w:tcPr>
          <w:p>
            <w:pPr>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PLAN OF DISTRIBUTION</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620" w:type="dxa"/>
            <w:vAlign w:val="bottom"/>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LEGAL MATTERS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8620" w:type="dxa"/>
            <w:vAlign w:val="bottom"/>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EXPERTS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indicated, this prospectus speaks as of the date of this prospectus. Neither the delivery of the prospectus nor any sale of any Notes shall, under any circumstances, create any implication that there have been no changes in our affairs after the date of this prospectus.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i -</w:t>
      </w:r>
    </w:p>
    <w:p>
      <w:pPr>
        <w:sectPr>
          <w:pgSz w:w="11900" w:h="16838" w:orient="portrait"/>
          <w:cols w:equalWidth="0" w:num="1">
            <w:col w:w="11080"/>
          </w:cols>
          <w:pgMar w:left="320" w:top="455" w:right="4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S-4 under the Securities Act with respect to the Exchange Offer. This prospectus does not contain all of the information contained in the registration statement and the exhibits to the registration statement. You should refer to the registration statement, including the exhibits, for further information about the Exchange Notes being offered hereby.</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information requirements of the Securities Exchange Act of 1934 (the “Exchange Act”) and the rules and regulations thereunder and, accordingly, we file current, annual and quarterly reports, proxy statements and other information with the SEC. Our filings with the SEC, including the registration statement, are available at the SEC’s website on the internet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and at the offices of the New York Stock Exchange, 20 Broad Street, New York, New York 10005.</w:t>
      </w:r>
    </w:p>
    <w:p>
      <w:pPr>
        <w:spacing w:after="0" w:line="178"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We make available free of charge through our website at </w:t>
      </w:r>
      <w:r>
        <w:rPr>
          <w:rFonts w:ascii="Times New Roman" w:cs="Times New Roman" w:eastAsia="Times New Roman" w:hAnsi="Times New Roman"/>
          <w:sz w:val="18"/>
          <w:szCs w:val="18"/>
          <w:i w:val="1"/>
          <w:iCs w:val="1"/>
          <w:color w:val="auto"/>
        </w:rPr>
        <w:t>http://www.up.com</w:t>
      </w:r>
      <w:r>
        <w:rPr>
          <w:rFonts w:ascii="Times New Roman" w:cs="Times New Roman" w:eastAsia="Times New Roman" w:hAnsi="Times New Roman"/>
          <w:sz w:val="18"/>
          <w:szCs w:val="18"/>
          <w:color w:val="auto"/>
        </w:rPr>
        <w:t xml:space="preserve"> copies of the reports, proxy statements and other information we file with the SEC as soon as reasonably practicable after we file such documents electronically with the SEC. The information on our website or linked to or from our website is not incorporated by reference into, and does not constitute a part of, this prospectus.</w:t>
      </w:r>
    </w:p>
    <w:p>
      <w:pPr>
        <w:spacing w:after="0" w:line="17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Statements made in this prospectus or in any document incorporated by reference in this prospectus as to the contents of any contract or other document referred to herein or therein are not necessarily complete, and in each instance reference is made to the copy of such contract or other document filed as an exhibit to the registration statement or to the documents incorporated by reference therein, each such statement being qualified in all material respects by such reference.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any filings referred to above, at no cost, by contacting Union Pacific at the following address: Union Pacific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Corporation, 1400 Douglas Street, Omaha, Nebraska 68179, Attention: Corporate Secretary (telephone (402) 544-5000).</w:t>
      </w:r>
    </w:p>
    <w:p>
      <w:pPr>
        <w:spacing w:after="0" w:line="203"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To obtain timely delivery of any copies of filings requested from us, please write or telephone us no later than , 2021, which is five business days prior to the expiration of the Exchange Offer. In the event that we extend the Exchange Offer, please submit your request at least five business days prior to the expiration date, as extended.</w:t>
      </w:r>
    </w:p>
    <w:p>
      <w:pPr>
        <w:spacing w:after="0" w:line="3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incorporating by reference into this prospectus the information that we file with the SEC, which means that we are disclosing important information to you by referring you to those documents. The information incorporated by reference is an important part of this prospectus, and the information that we subsequently file with the SEC will automatically update and supersede information in this prospectus and in our other filings with the SEC. We incorporate by reference the documents listed below, which we have already filed with the SEC, and any future filings we make with the SEC under Section 13(a), 13(c), 14, or 15(d) of the Exchange Act after the effectiveness of the registration statement and prior to the termination of the offerings under this prospectus. We are not, however, incorporating by reference any documents or portions thereof, whether specifically listed below or filed in the future, that are not deemed “filed” with the SEC, including any information furnished pursuant to Item 2.02 or 7.01 of Form 8-K.</w:t>
      </w:r>
    </w:p>
    <w:p>
      <w:pPr>
        <w:spacing w:after="0" w:line="94"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2020</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all or a portion of which is incorporated by reference in this prospectus, will be deemed to be modified or superseded for purposes of this prospectus to the extent that a statement contained in this prospectus or in any subsequently filed document incorporated by reference modifies or supersedes the statement. Any such statement or document so modified or superseded will not be deemed, except as so modified or superseded, to constitute a part of this prospectus.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ii -</w:t>
      </w:r>
    </w:p>
    <w:p>
      <w:pPr>
        <w:sectPr>
          <w:pgSz w:w="11900" w:h="16838" w:orient="portrait"/>
          <w:cols w:equalWidth="0" w:num="1">
            <w:col w:w="11080"/>
          </w:cols>
          <w:pgMar w:left="320" w:top="455" w:right="4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Certain statements in this prospectus and statements in other reports or information filed or to be filed with the SEC and incorporated by reference herein or therein (as well as information included in oral statements or other written statements made or to be made by us), are, or will be, forward-looking statements as defined by the Securities Act and the Exchange Act. These forward-looking statements and information include, without limitation, (A) statements and information specifically identified in our Current Reports on Form 8-K and our reports on Forms 10 K and 10 Q (including statements and information (i) identified under the caption “Cautionary Information” in such periodic and annual reports and (ii) incorporated by reference herein or in our reports filed with the SEC) and (B) statements and information herein or in our Forms 10-K and 10-Q regarding: potential impacts of the COVID-19 pandemic on our business operations, financial results, liquidity, and financial position, and on the world economy (including our customers and supply chains), including as a result of decreased volume and carloadings; closing of customer manufacturing, distribution or production facilities; expectations as to operational or service improvements; expectations regarding the effectiveness of steps taken or to be taken to improve operations, service, infrastructure improvements, and transportation plan modifications; expectations as to cost savings, revenue growth, and earnings; the time by which goals, targets, or objectives will be achieved; projections, predictions, expectations, estimates, or forecasts as to our business, financial and operational results, future economic performance, and general economic conditions; expectations as to operational or service performance or improvements; expectations as to the effectiveness of steps taken or to be taken to improve operations and/or service, including capital expenditures for infrastructure improvements and equipment acquisitions, any strategic business acquisitions, and modifications to our transportation plans, including leveraging Positive Train Control (PTC); expectations as to existing or proposed new products and services; expectations as to the impact of any new regulatory activities or legislation on our operations or financial results; estimates of costs relating to environmental remediation and restoration; estimates and expectations regarding tax matters; expectations that claims, litigation, environmental costs, commitments, contingent liabilities, labor negotiations or agreements, or other matters will not have a material adverse effect on our consolidated results of operations, financial condition, or liquidity and any other similar expressions concerning matters that are not historical facts. Forward-looking statements may be identified by their use of forward-looking terminology, such as “believes”, “expects”, “may”, “should”, “would”, “will”, “intends”, “plans”, “estimates”, “anticipates”, “projects” and similar words, phrases or expressions.</w:t>
      </w:r>
    </w:p>
    <w:p>
      <w:pPr>
        <w:spacing w:after="0" w:line="188"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Forward-looking statements should not be read as a guarantee of future performance or results, and will not necessarily be accurate indications of the times that, or by which, such performance or results will be achieved. Forward-looking statements and information are subject to risks and uncertainties, including the impact of the COVID-19 pandemic and responses by governments, businesses, and individuals, that could cause actual performance or results to differ materially from those expressed in the statements and information. Forward-looking statements and information reflect the good faith consideration by management of currently available information, and may be based on underlying assumptions believed to be reasonable under the circumstances. However, such information and assumptions (and, therefore, such forward-looking statements and information) are or may be subject to variables or unknown or unforeseeable events or circumstances over which management has little or no influence or control, and many of these risks and uncertainties are currently amplified by and may continue to be amplified by, or in the future may be amplified by, the COVID-19 pandemic. The Risk Factors discussed in Item 1A of our 2020 Annual Report on Form 10-K filed with the SEC on February 5, 2021 could affect our future results and could cause those results or other outcomes to differ materially from those expressed or implied in any forward-looking statements or information. To the extent circumstances require or we deem it otherwise necessary, we will update or amend those risk factors on a Form 10-Q, Form 8-K or subsequent Form 10-K. All forward-looking statements are qualified by, and should be read in conjunction with, these Risk Factors, and you should review the information under the caption “Risk Factors” in this prospectus.</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the statement was made. We assume no obligation to update forward-looking information to reflect actual results, changes in assumptions or changes in other factors affecting forward-looking information. If we do update one or more forward-looking statements, no inference should be drawn that we will make additional updates with respect thereto or with respect to other forward-looking statements.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iii -</w:t>
      </w:r>
    </w:p>
    <w:p>
      <w:pPr>
        <w:sectPr>
          <w:pgSz w:w="11900" w:h="16838" w:orient="portrait"/>
          <w:cols w:equalWidth="0" w:num="1">
            <w:col w:w="11100"/>
          </w:cols>
          <w:pgMar w:left="320" w:top="455" w:right="4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04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24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is therefore qualified in its entirety by the more detailed information appearing elsewhere, or incorporated by reference, in this prospectus. It may not contain all the information that is important to you. We urge you to read carefully this entire prospectus including the “Risk Factors” section and the consolidated financial statements and related notes incorporated by reference herein. As used in this prospectus, unless otherwise indicated, “Union Pacific”, “the Company”, “we”, “our” and “us” are used interchangeably to refer to Union Pacific Corporation or to Union Pacific Corporation and its consolidated subsidiaries, as appropriate to the context.</w:t>
      </w:r>
    </w:p>
    <w:p>
      <w:pPr>
        <w:spacing w:after="0" w:line="2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Union Pacific Corporation</w:t>
      </w:r>
    </w:p>
    <w:p>
      <w:pPr>
        <w:spacing w:after="0" w:line="121" w:lineRule="exact"/>
        <w:rPr>
          <w:sz w:val="20"/>
          <w:szCs w:val="20"/>
          <w:color w:val="auto"/>
        </w:rPr>
      </w:pPr>
    </w:p>
    <w:p>
      <w:pPr>
        <w:ind w:left="300" w:right="200" w:firstLine="426"/>
        <w:spacing w:after="0" w:line="256" w:lineRule="auto"/>
        <w:rPr>
          <w:sz w:val="20"/>
          <w:szCs w:val="20"/>
          <w:color w:val="auto"/>
        </w:rPr>
      </w:pPr>
      <w:r>
        <w:rPr>
          <w:rFonts w:ascii="Times New Roman" w:cs="Times New Roman" w:eastAsia="Times New Roman" w:hAnsi="Times New Roman"/>
          <w:sz w:val="18"/>
          <w:szCs w:val="18"/>
          <w:color w:val="auto"/>
        </w:rPr>
        <w:t>Union Pacific Corporation owns Union Pacific Railroad Company, its principal operating subsidiary and one of America’s most recognized companies. Union Pacific Railroad Company connects 23 states in the western two-thirds of the country by rail, providing a critical link in the global supply chain. The railroad’s diversified business mix includes Bulk, Industrial, and Premium. Union Pacific serves many of the fastest-growing U.S. population centers, operates from all major West Coast and Gulf Coast ports to eastern gateways, connects with Canada’s rail systems, and is the only railroad serving all six major Mexico gateways. Union Pacific provides value to its roughly 10,000 customers by delivering products in a safe, reliable, fuel-efficient and environmentally responsible manner.</w:t>
      </w:r>
    </w:p>
    <w:p>
      <w:pPr>
        <w:spacing w:after="0" w:line="187" w:lineRule="exact"/>
        <w:rPr>
          <w:sz w:val="20"/>
          <w:szCs w:val="20"/>
          <w:color w:val="auto"/>
        </w:rPr>
      </w:pPr>
    </w:p>
    <w:p>
      <w:pPr>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Union Pacific Corporation was incorporated in Utah in 1969 and maintains its principal executive offices at 1400 Douglas Street, Omaha, NE 68179. The telephone number at that address is (402) 544-5000. The common stock of Union Pacific Corporation is listed on the New York Stock Exchange under the symbol “UNP”.</w:t>
      </w:r>
    </w:p>
    <w:p>
      <w:pPr>
        <w:spacing w:after="0" w:line="176" w:lineRule="exact"/>
        <w:rPr>
          <w:sz w:val="20"/>
          <w:szCs w:val="20"/>
          <w:color w:val="auto"/>
        </w:rPr>
      </w:pPr>
    </w:p>
    <w:p>
      <w:pPr>
        <w:ind w:left="300" w:right="600" w:firstLine="426"/>
        <w:spacing w:after="0" w:line="261" w:lineRule="auto"/>
        <w:rPr>
          <w:sz w:val="20"/>
          <w:szCs w:val="20"/>
          <w:color w:val="auto"/>
        </w:rPr>
      </w:pPr>
      <w:r>
        <w:rPr>
          <w:rFonts w:ascii="Times New Roman" w:cs="Times New Roman" w:eastAsia="Times New Roman" w:hAnsi="Times New Roman"/>
          <w:sz w:val="18"/>
          <w:szCs w:val="18"/>
          <w:color w:val="auto"/>
        </w:rPr>
        <w:t>We will, upon request, provide without charge to each person to whom this prospectus is delivered a copy of any or all of the documents incorporated or deemed to be incorporated by reference into this prospectus (other than exhibits to such documents, unless such exhibits are specifically incorporated by reference into such documents). Written or oral requests should be directed to: Union Pacific Corporation, 1400 Douglas Street, Omaha, Nebraska 68179, Attention: Corporate Secretary (telephone (402) 544-5000).</w:t>
      </w:r>
    </w:p>
    <w:p>
      <w:pPr>
        <w:spacing w:after="0" w:line="284"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810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Summary of the Terms of the Exchange Offer</w:t>
            </w:r>
          </w:p>
        </w:tc>
      </w:tr>
      <w:tr>
        <w:trPr>
          <w:trHeight w:val="441"/>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Background</w:t>
            </w:r>
          </w:p>
        </w:tc>
        <w:tc>
          <w:tcPr>
            <w:tcW w:w="81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On September 16, 2020, we completed private offers to exchange certain of our</w:t>
            </w:r>
          </w:p>
        </w:tc>
      </w:tr>
      <w:tr>
        <w:trPr>
          <w:trHeight w:val="216"/>
        </w:trPr>
        <w:tc>
          <w:tcPr>
            <w:tcW w:w="2920" w:type="dxa"/>
            <w:vAlign w:val="bottom"/>
          </w:tcPr>
          <w:p>
            <w:pPr>
              <w:spacing w:after="0"/>
              <w:rPr>
                <w:sz w:val="18"/>
                <w:szCs w:val="18"/>
                <w:color w:val="auto"/>
              </w:rPr>
            </w:pPr>
          </w:p>
        </w:tc>
        <w:tc>
          <w:tcPr>
            <w:tcW w:w="81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outstanding debt securities for $1,047,453,000 aggregate principal amount of the Original</w:t>
            </w:r>
          </w:p>
        </w:tc>
      </w:tr>
      <w:tr>
        <w:trPr>
          <w:trHeight w:val="216"/>
        </w:trPr>
        <w:tc>
          <w:tcPr>
            <w:tcW w:w="2920" w:type="dxa"/>
            <w:vAlign w:val="bottom"/>
          </w:tcPr>
          <w:p>
            <w:pPr>
              <w:spacing w:after="0"/>
              <w:rPr>
                <w:sz w:val="18"/>
                <w:szCs w:val="18"/>
                <w:color w:val="auto"/>
              </w:rPr>
            </w:pPr>
          </w:p>
        </w:tc>
        <w:tc>
          <w:tcPr>
            <w:tcW w:w="81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Notes and cash. In connection with the private offers to exchange, we entered into a</w:t>
            </w:r>
          </w:p>
        </w:tc>
      </w:tr>
      <w:tr>
        <w:trPr>
          <w:trHeight w:val="216"/>
        </w:trPr>
        <w:tc>
          <w:tcPr>
            <w:tcW w:w="2920" w:type="dxa"/>
            <w:vAlign w:val="bottom"/>
          </w:tcPr>
          <w:p>
            <w:pPr>
              <w:spacing w:after="0"/>
              <w:rPr>
                <w:sz w:val="18"/>
                <w:szCs w:val="18"/>
                <w:color w:val="auto"/>
              </w:rPr>
            </w:pPr>
          </w:p>
        </w:tc>
        <w:tc>
          <w:tcPr>
            <w:tcW w:w="81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registration rights agreement (the “Registration Rights Agreement”) in which we agreed,</w:t>
            </w:r>
          </w:p>
        </w:tc>
      </w:tr>
      <w:tr>
        <w:trPr>
          <w:trHeight w:val="234"/>
        </w:trPr>
        <w:tc>
          <w:tcPr>
            <w:tcW w:w="2920" w:type="dxa"/>
            <w:vAlign w:val="bottom"/>
          </w:tcPr>
          <w:p>
            <w:pPr>
              <w:spacing w:after="0"/>
              <w:rPr>
                <w:sz w:val="20"/>
                <w:szCs w:val="20"/>
                <w:color w:val="auto"/>
              </w:rPr>
            </w:pPr>
          </w:p>
        </w:tc>
        <w:tc>
          <w:tcPr>
            <w:tcW w:w="81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among other things, to conduct an exchange offer for the Original Notes.</w:t>
            </w:r>
          </w:p>
        </w:tc>
      </w:tr>
      <w:tr>
        <w:trPr>
          <w:trHeight w:val="441"/>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Exchange Offer</w:t>
            </w:r>
          </w:p>
        </w:tc>
        <w:tc>
          <w:tcPr>
            <w:tcW w:w="81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We are offering to exchange our Exchange Notes which have been registered under the</w:t>
            </w:r>
          </w:p>
        </w:tc>
      </w:tr>
      <w:tr>
        <w:trPr>
          <w:trHeight w:val="216"/>
        </w:trPr>
        <w:tc>
          <w:tcPr>
            <w:tcW w:w="2920" w:type="dxa"/>
            <w:vAlign w:val="bottom"/>
          </w:tcPr>
          <w:p>
            <w:pPr>
              <w:spacing w:after="0"/>
              <w:rPr>
                <w:sz w:val="18"/>
                <w:szCs w:val="18"/>
                <w:color w:val="auto"/>
              </w:rPr>
            </w:pPr>
          </w:p>
        </w:tc>
        <w:tc>
          <w:tcPr>
            <w:tcW w:w="81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Securities Act for a like principal amount of our outstanding, unregistered Original Notes</w:t>
            </w:r>
          </w:p>
        </w:tc>
      </w:tr>
      <w:tr>
        <w:trPr>
          <w:trHeight w:val="216"/>
        </w:trPr>
        <w:tc>
          <w:tcPr>
            <w:tcW w:w="2920" w:type="dxa"/>
            <w:vAlign w:val="bottom"/>
          </w:tcPr>
          <w:p>
            <w:pPr>
              <w:spacing w:after="0"/>
              <w:rPr>
                <w:sz w:val="18"/>
                <w:szCs w:val="18"/>
                <w:color w:val="auto"/>
              </w:rPr>
            </w:pPr>
          </w:p>
        </w:tc>
        <w:tc>
          <w:tcPr>
            <w:tcW w:w="81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(the “Exchange Offer”). Original Notes may only be tendered in an amount equal to $1,000</w:t>
            </w:r>
          </w:p>
        </w:tc>
      </w:tr>
      <w:tr>
        <w:trPr>
          <w:trHeight w:val="216"/>
        </w:trPr>
        <w:tc>
          <w:tcPr>
            <w:tcW w:w="2920" w:type="dxa"/>
            <w:vAlign w:val="bottom"/>
          </w:tcPr>
          <w:p>
            <w:pPr>
              <w:spacing w:after="0"/>
              <w:rPr>
                <w:sz w:val="18"/>
                <w:szCs w:val="18"/>
                <w:color w:val="auto"/>
              </w:rPr>
            </w:pPr>
          </w:p>
        </w:tc>
        <w:tc>
          <w:tcPr>
            <w:tcW w:w="81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in principal amount or in integral multiples of $1,000 in excess thereof. See “The Exchange</w:t>
            </w:r>
          </w:p>
        </w:tc>
      </w:tr>
      <w:tr>
        <w:trPr>
          <w:trHeight w:val="234"/>
        </w:trPr>
        <w:tc>
          <w:tcPr>
            <w:tcW w:w="2920" w:type="dxa"/>
            <w:vAlign w:val="bottom"/>
          </w:tcPr>
          <w:p>
            <w:pPr>
              <w:spacing w:after="0"/>
              <w:rPr>
                <w:sz w:val="20"/>
                <w:szCs w:val="20"/>
                <w:color w:val="auto"/>
              </w:rPr>
            </w:pPr>
          </w:p>
        </w:tc>
        <w:tc>
          <w:tcPr>
            <w:tcW w:w="81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Offer—Terms of the Exchange”.</w:t>
            </w:r>
          </w:p>
        </w:tc>
      </w:tr>
      <w:tr>
        <w:trPr>
          <w:trHeight w:val="441"/>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Resale of Exchange Notes</w:t>
            </w:r>
          </w:p>
        </w:tc>
        <w:tc>
          <w:tcPr>
            <w:tcW w:w="81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Based upon the position of the staff of the SEC as described in previous no-action letters,</w:t>
            </w:r>
          </w:p>
        </w:tc>
      </w:tr>
      <w:tr>
        <w:trPr>
          <w:trHeight w:val="234"/>
        </w:trPr>
        <w:tc>
          <w:tcPr>
            <w:tcW w:w="2920" w:type="dxa"/>
            <w:vAlign w:val="bottom"/>
          </w:tcPr>
          <w:p>
            <w:pPr>
              <w:spacing w:after="0"/>
              <w:rPr>
                <w:sz w:val="20"/>
                <w:szCs w:val="20"/>
                <w:color w:val="auto"/>
              </w:rPr>
            </w:pPr>
          </w:p>
        </w:tc>
        <w:tc>
          <w:tcPr>
            <w:tcW w:w="81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we believe that the Exchange Notes issued</w:t>
            </w:r>
          </w:p>
        </w:tc>
      </w:tr>
      <w:tr>
        <w:trPr>
          <w:trHeight w:val="240"/>
        </w:trPr>
        <w:tc>
          <w:tcPr>
            <w:tcW w:w="2920" w:type="dxa"/>
            <w:vAlign w:val="bottom"/>
            <w:tcBorders>
              <w:bottom w:val="single" w:sz="8" w:color="auto"/>
            </w:tcBorders>
          </w:tcPr>
          <w:p>
            <w:pPr>
              <w:spacing w:after="0"/>
              <w:rPr>
                <w:sz w:val="20"/>
                <w:szCs w:val="20"/>
                <w:color w:val="auto"/>
              </w:rPr>
            </w:pPr>
          </w:p>
        </w:tc>
        <w:tc>
          <w:tcPr>
            <w:tcW w:w="8100" w:type="dxa"/>
            <w:vAlign w:val="bottom"/>
            <w:tcBorders>
              <w:bottom w:val="single" w:sz="8" w:color="auto"/>
            </w:tcBorders>
          </w:tcPr>
          <w:p>
            <w:pPr>
              <w:spacing w:after="0"/>
              <w:rPr>
                <w:sz w:val="20"/>
                <w:szCs w:val="20"/>
                <w:color w:val="auto"/>
              </w:rPr>
            </w:pPr>
          </w:p>
        </w:tc>
      </w:tr>
      <w:tr>
        <w:trPr>
          <w:trHeight w:val="604"/>
        </w:trPr>
        <w:tc>
          <w:tcPr>
            <w:tcW w:w="2920" w:type="dxa"/>
            <w:vAlign w:val="bottom"/>
          </w:tcPr>
          <w:p>
            <w:pPr>
              <w:spacing w:after="0"/>
              <w:rPr>
                <w:sz w:val="24"/>
                <w:szCs w:val="24"/>
                <w:color w:val="auto"/>
              </w:rPr>
            </w:pPr>
          </w:p>
        </w:tc>
        <w:tc>
          <w:tcPr>
            <w:tcW w:w="81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- 1 -</w:t>
            </w:r>
          </w:p>
        </w:tc>
      </w:tr>
    </w:tbl>
    <w:p>
      <w:pPr>
        <w:sectPr>
          <w:pgSz w:w="11900" w:h="16838" w:orient="portrait"/>
          <w:cols w:equalWidth="0" w:num="1">
            <w:col w:w="11140"/>
          </w:cols>
          <w:pgMar w:left="320" w:top="455" w:right="4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16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480"/>
        <w:spacing w:after="0" w:line="261" w:lineRule="auto"/>
        <w:rPr>
          <w:sz w:val="20"/>
          <w:szCs w:val="20"/>
          <w:color w:val="auto"/>
        </w:rPr>
      </w:pPr>
      <w:r>
        <w:rPr>
          <w:rFonts w:ascii="Times New Roman" w:cs="Times New Roman" w:eastAsia="Times New Roman" w:hAnsi="Times New Roman"/>
          <w:sz w:val="18"/>
          <w:szCs w:val="18"/>
          <w:color w:val="auto"/>
        </w:rPr>
        <w:t>pursuant to the Exchange Offer in exchange for the Original Notes may be offered for resale, resold and otherwise transferred by you without compliance with the registration and prospectus delivery provisions of the Securities Act, provided that you will acknowledge that:</w:t>
      </w:r>
    </w:p>
    <w:p>
      <w:pPr>
        <w:spacing w:after="0" w:line="99" w:lineRule="exact"/>
        <w:rPr>
          <w:sz w:val="20"/>
          <w:szCs w:val="20"/>
          <w:color w:val="auto"/>
        </w:rPr>
      </w:pPr>
    </w:p>
    <w:p>
      <w:pPr>
        <w:ind w:left="4700"/>
        <w:spacing w:after="0"/>
        <w:tabs>
          <w:tab w:leader="none" w:pos="4940" w:val="left"/>
        </w:tabs>
        <w:rPr>
          <w:sz w:val="20"/>
          <w:szCs w:val="20"/>
          <w:color w:val="auto"/>
        </w:rPr>
      </w:pPr>
      <w:r>
        <w:rPr>
          <w:rFonts w:ascii="Times New Roman" w:cs="Times New Roman" w:eastAsia="Times New Roman" w:hAnsi="Times New Roman"/>
          <w:sz w:val="18"/>
          <w:szCs w:val="18"/>
          <w:color w:val="auto"/>
        </w:rPr>
        <w:t>•</w:t>
        <w:tab/>
        <w:t>you are acquiring the Exchange Notes in the ordinary course of your business;</w:t>
      </w:r>
    </w:p>
    <w:p>
      <w:pPr>
        <w:spacing w:after="0" w:line="131" w:lineRule="exact"/>
        <w:rPr>
          <w:sz w:val="20"/>
          <w:szCs w:val="20"/>
          <w:color w:val="auto"/>
        </w:rPr>
      </w:pPr>
    </w:p>
    <w:p>
      <w:pPr>
        <w:ind w:left="4960" w:right="460" w:hanging="259"/>
        <w:spacing w:after="0" w:line="266" w:lineRule="auto"/>
        <w:tabs>
          <w:tab w:leader="none" w:pos="4940" w:val="left"/>
        </w:tabs>
        <w:rPr>
          <w:sz w:val="20"/>
          <w:szCs w:val="20"/>
          <w:color w:val="auto"/>
        </w:rPr>
      </w:pPr>
      <w:r>
        <w:rPr>
          <w:rFonts w:ascii="Times New Roman" w:cs="Times New Roman" w:eastAsia="Times New Roman" w:hAnsi="Times New Roman"/>
          <w:sz w:val="18"/>
          <w:szCs w:val="18"/>
          <w:color w:val="auto"/>
        </w:rPr>
        <w:t>•</w:t>
        <w:tab/>
        <w:t>you have not participated in, do not intend to participate in, and have no arrangement or understanding with any person to participate in a distribution of the Exchange Notes; and</w:t>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6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you are not our “affiliate” as defined under Rule 405 of the Securities Act.</w:t>
            </w:r>
          </w:p>
        </w:tc>
      </w:tr>
      <w:tr>
        <w:trPr>
          <w:trHeight w:val="441"/>
        </w:trPr>
        <w:tc>
          <w:tcPr>
            <w:tcW w:w="4160" w:type="dxa"/>
            <w:vAlign w:val="bottom"/>
          </w:tcPr>
          <w:p>
            <w:pPr>
              <w:spacing w:after="0"/>
              <w:rPr>
                <w:sz w:val="24"/>
                <w:szCs w:val="24"/>
                <w:color w:val="auto"/>
              </w:rPr>
            </w:pPr>
          </w:p>
        </w:tc>
        <w:tc>
          <w:tcPr>
            <w:tcW w:w="6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We do not intend to apply for listing of the Exchange Notes on any securities exchange or</w:t>
            </w:r>
          </w:p>
        </w:tc>
      </w:tr>
      <w:tr>
        <w:trPr>
          <w:trHeight w:val="216"/>
        </w:trPr>
        <w:tc>
          <w:tcPr>
            <w:tcW w:w="4160" w:type="dxa"/>
            <w:vAlign w:val="bottom"/>
          </w:tcPr>
          <w:p>
            <w:pPr>
              <w:spacing w:after="0"/>
              <w:rPr>
                <w:sz w:val="18"/>
                <w:szCs w:val="18"/>
                <w:color w:val="auto"/>
              </w:rPr>
            </w:pPr>
          </w:p>
        </w:tc>
        <w:tc>
          <w:tcPr>
            <w:tcW w:w="6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 seek approval for quotation through an automated quotation system. Accordingly, there</w:t>
            </w:r>
          </w:p>
        </w:tc>
      </w:tr>
      <w:tr>
        <w:trPr>
          <w:trHeight w:val="216"/>
        </w:trPr>
        <w:tc>
          <w:tcPr>
            <w:tcW w:w="4160" w:type="dxa"/>
            <w:vAlign w:val="bottom"/>
          </w:tcPr>
          <w:p>
            <w:pPr>
              <w:spacing w:after="0"/>
              <w:rPr>
                <w:sz w:val="18"/>
                <w:szCs w:val="18"/>
                <w:color w:val="auto"/>
              </w:rPr>
            </w:pPr>
          </w:p>
        </w:tc>
        <w:tc>
          <w:tcPr>
            <w:tcW w:w="6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can be no assurance that an active market will develop upon completion of the Exchange</w:t>
            </w:r>
          </w:p>
        </w:tc>
      </w:tr>
      <w:tr>
        <w:trPr>
          <w:trHeight w:val="216"/>
        </w:trPr>
        <w:tc>
          <w:tcPr>
            <w:tcW w:w="4160" w:type="dxa"/>
            <w:vAlign w:val="bottom"/>
          </w:tcPr>
          <w:p>
            <w:pPr>
              <w:spacing w:after="0"/>
              <w:rPr>
                <w:sz w:val="18"/>
                <w:szCs w:val="18"/>
                <w:color w:val="auto"/>
              </w:rPr>
            </w:pPr>
          </w:p>
        </w:tc>
        <w:tc>
          <w:tcPr>
            <w:tcW w:w="6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Offer or, if developed, that such market will be sustained or as to the liquidity of any</w:t>
            </w:r>
          </w:p>
        </w:tc>
      </w:tr>
      <w:tr>
        <w:trPr>
          <w:trHeight w:val="234"/>
        </w:trPr>
        <w:tc>
          <w:tcPr>
            <w:tcW w:w="4160" w:type="dxa"/>
            <w:vAlign w:val="bottom"/>
          </w:tcPr>
          <w:p>
            <w:pPr>
              <w:spacing w:after="0"/>
              <w:rPr>
                <w:sz w:val="20"/>
                <w:szCs w:val="20"/>
                <w:color w:val="auto"/>
              </w:rPr>
            </w:pPr>
          </w:p>
        </w:tc>
        <w:tc>
          <w:tcPr>
            <w:tcW w:w="5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w:t>
            </w:r>
          </w:p>
        </w:tc>
        <w:tc>
          <w:tcPr>
            <w:tcW w:w="1220" w:type="dxa"/>
            <w:vAlign w:val="bottom"/>
          </w:tcPr>
          <w:p>
            <w:pPr>
              <w:spacing w:after="0"/>
              <w:rPr>
                <w:sz w:val="20"/>
                <w:szCs w:val="20"/>
                <w:color w:val="auto"/>
              </w:rPr>
            </w:pPr>
          </w:p>
        </w:tc>
      </w:tr>
      <w:tr>
        <w:trPr>
          <w:trHeight w:val="441"/>
        </w:trPr>
        <w:tc>
          <w:tcPr>
            <w:tcW w:w="4160" w:type="dxa"/>
            <w:vAlign w:val="bottom"/>
          </w:tcPr>
          <w:p>
            <w:pPr>
              <w:spacing w:after="0"/>
              <w:rPr>
                <w:sz w:val="24"/>
                <w:szCs w:val="24"/>
                <w:color w:val="auto"/>
              </w:rPr>
            </w:pPr>
          </w:p>
        </w:tc>
        <w:tc>
          <w:tcPr>
            <w:tcW w:w="6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Each broker-dealer that receives Exchange Notes for its own account in exchange for</w:t>
            </w:r>
          </w:p>
        </w:tc>
      </w:tr>
      <w:tr>
        <w:trPr>
          <w:trHeight w:val="216"/>
        </w:trPr>
        <w:tc>
          <w:tcPr>
            <w:tcW w:w="4160" w:type="dxa"/>
            <w:vAlign w:val="bottom"/>
          </w:tcPr>
          <w:p>
            <w:pPr>
              <w:spacing w:after="0"/>
              <w:rPr>
                <w:sz w:val="18"/>
                <w:szCs w:val="18"/>
                <w:color w:val="auto"/>
              </w:rPr>
            </w:pPr>
          </w:p>
        </w:tc>
        <w:tc>
          <w:tcPr>
            <w:tcW w:w="6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Original Notes, where such Original Notes were acquired by such broker-dealer as a result</w:t>
            </w:r>
          </w:p>
        </w:tc>
      </w:tr>
      <w:tr>
        <w:trPr>
          <w:trHeight w:val="216"/>
        </w:trPr>
        <w:tc>
          <w:tcPr>
            <w:tcW w:w="4160" w:type="dxa"/>
            <w:vAlign w:val="bottom"/>
          </w:tcPr>
          <w:p>
            <w:pPr>
              <w:spacing w:after="0"/>
              <w:rPr>
                <w:sz w:val="18"/>
                <w:szCs w:val="18"/>
                <w:color w:val="auto"/>
              </w:rPr>
            </w:pPr>
          </w:p>
        </w:tc>
        <w:tc>
          <w:tcPr>
            <w:tcW w:w="6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of market-making activities or other trading activities, must acknowledge that it will</w:t>
            </w:r>
          </w:p>
        </w:tc>
      </w:tr>
      <w:tr>
        <w:trPr>
          <w:trHeight w:val="216"/>
        </w:trPr>
        <w:tc>
          <w:tcPr>
            <w:tcW w:w="4160" w:type="dxa"/>
            <w:vAlign w:val="bottom"/>
          </w:tcPr>
          <w:p>
            <w:pPr>
              <w:spacing w:after="0"/>
              <w:rPr>
                <w:sz w:val="18"/>
                <w:szCs w:val="18"/>
                <w:color w:val="auto"/>
              </w:rPr>
            </w:pPr>
          </w:p>
        </w:tc>
        <w:tc>
          <w:tcPr>
            <w:tcW w:w="6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deliver a prospectus in connection with any resale of such Exchange Notes during the 180</w:t>
            </w:r>
          </w:p>
        </w:tc>
      </w:tr>
      <w:tr>
        <w:trPr>
          <w:trHeight w:val="234"/>
        </w:trPr>
        <w:tc>
          <w:tcPr>
            <w:tcW w:w="4160" w:type="dxa"/>
            <w:vAlign w:val="bottom"/>
          </w:tcPr>
          <w:p>
            <w:pPr>
              <w:spacing w:after="0"/>
              <w:rPr>
                <w:sz w:val="20"/>
                <w:szCs w:val="20"/>
                <w:color w:val="auto"/>
              </w:rPr>
            </w:pPr>
          </w:p>
        </w:tc>
        <w:tc>
          <w:tcPr>
            <w:tcW w:w="5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days after the expiration of the Exchange Offer. See “Plan of Distribution”.</w:t>
            </w:r>
          </w:p>
        </w:tc>
        <w:tc>
          <w:tcPr>
            <w:tcW w:w="1220" w:type="dxa"/>
            <w:vAlign w:val="bottom"/>
          </w:tcPr>
          <w:p>
            <w:pPr>
              <w:spacing w:after="0"/>
              <w:rPr>
                <w:sz w:val="20"/>
                <w:szCs w:val="20"/>
                <w:color w:val="auto"/>
              </w:rPr>
            </w:pPr>
          </w:p>
        </w:tc>
      </w:tr>
      <w:tr>
        <w:trPr>
          <w:trHeight w:val="441"/>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Consequences If You Do Not Exchange Your Original</w:t>
            </w:r>
          </w:p>
        </w:tc>
        <w:tc>
          <w:tcPr>
            <w:tcW w:w="6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Original Notes that are not validly tendered in the Exchange Offer or are not accepted for</w:t>
            </w:r>
          </w:p>
        </w:tc>
      </w:tr>
      <w:tr>
        <w:trPr>
          <w:trHeight w:val="216"/>
        </w:trPr>
        <w:tc>
          <w:tcPr>
            <w:tcW w:w="4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Notes</w:t>
            </w:r>
          </w:p>
        </w:tc>
        <w:tc>
          <w:tcPr>
            <w:tcW w:w="6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exchange will continue to bear legends restricting their transfer. You will not be able to</w:t>
            </w:r>
          </w:p>
        </w:tc>
      </w:tr>
      <w:tr>
        <w:trPr>
          <w:trHeight w:val="234"/>
        </w:trPr>
        <w:tc>
          <w:tcPr>
            <w:tcW w:w="4160" w:type="dxa"/>
            <w:vAlign w:val="bottom"/>
          </w:tcPr>
          <w:p>
            <w:pPr>
              <w:spacing w:after="0"/>
              <w:rPr>
                <w:sz w:val="20"/>
                <w:szCs w:val="20"/>
                <w:color w:val="auto"/>
              </w:rPr>
            </w:pPr>
          </w:p>
        </w:tc>
        <w:tc>
          <w:tcPr>
            <w:tcW w:w="5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offer or sell such Original Notes unless:</w:t>
            </w:r>
          </w:p>
        </w:tc>
        <w:tc>
          <w:tcPr>
            <w:tcW w:w="1220" w:type="dxa"/>
            <w:vAlign w:val="bottom"/>
          </w:tcPr>
          <w:p>
            <w:pPr>
              <w:spacing w:after="0"/>
              <w:rPr>
                <w:sz w:val="20"/>
                <w:szCs w:val="20"/>
                <w:color w:val="auto"/>
              </w:rPr>
            </w:pPr>
          </w:p>
        </w:tc>
      </w:tr>
      <w:tr>
        <w:trPr>
          <w:trHeight w:val="319"/>
        </w:trPr>
        <w:tc>
          <w:tcPr>
            <w:tcW w:w="4160" w:type="dxa"/>
            <w:vAlign w:val="bottom"/>
          </w:tcPr>
          <w:p>
            <w:pPr>
              <w:spacing w:after="0"/>
              <w:rPr>
                <w:sz w:val="24"/>
                <w:szCs w:val="24"/>
                <w:color w:val="auto"/>
              </w:rPr>
            </w:pPr>
          </w:p>
        </w:tc>
        <w:tc>
          <w:tcPr>
            <w:tcW w:w="6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you are able to rely on an exemption from the requirements of the Securities Act;</w:t>
            </w:r>
          </w:p>
        </w:tc>
      </w:tr>
      <w:tr>
        <w:trPr>
          <w:trHeight w:val="234"/>
        </w:trPr>
        <w:tc>
          <w:tcPr>
            <w:tcW w:w="4160" w:type="dxa"/>
            <w:vAlign w:val="bottom"/>
          </w:tcPr>
          <w:p>
            <w:pPr>
              <w:spacing w:after="0"/>
              <w:rPr>
                <w:sz w:val="20"/>
                <w:szCs w:val="20"/>
                <w:color w:val="auto"/>
              </w:rPr>
            </w:pPr>
          </w:p>
        </w:tc>
        <w:tc>
          <w:tcPr>
            <w:tcW w:w="5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or</w:t>
            </w:r>
          </w:p>
        </w:tc>
        <w:tc>
          <w:tcPr>
            <w:tcW w:w="1220" w:type="dxa"/>
            <w:vAlign w:val="bottom"/>
          </w:tcPr>
          <w:p>
            <w:pPr>
              <w:spacing w:after="0"/>
              <w:rPr>
                <w:sz w:val="20"/>
                <w:szCs w:val="20"/>
                <w:color w:val="auto"/>
              </w:rPr>
            </w:pPr>
          </w:p>
        </w:tc>
      </w:tr>
      <w:tr>
        <w:trPr>
          <w:trHeight w:val="338"/>
        </w:trPr>
        <w:tc>
          <w:tcPr>
            <w:tcW w:w="4160" w:type="dxa"/>
            <w:vAlign w:val="bottom"/>
          </w:tcPr>
          <w:p>
            <w:pPr>
              <w:spacing w:after="0"/>
              <w:rPr>
                <w:sz w:val="24"/>
                <w:szCs w:val="24"/>
                <w:color w:val="auto"/>
              </w:rPr>
            </w:pPr>
          </w:p>
        </w:tc>
        <w:tc>
          <w:tcPr>
            <w:tcW w:w="5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the Original Notes are registered under the Securities Act.</w:t>
            </w:r>
          </w:p>
        </w:tc>
        <w:tc>
          <w:tcPr>
            <w:tcW w:w="1220" w:type="dxa"/>
            <w:vAlign w:val="bottom"/>
          </w:tcPr>
          <w:p>
            <w:pPr>
              <w:spacing w:after="0"/>
              <w:rPr>
                <w:sz w:val="24"/>
                <w:szCs w:val="24"/>
                <w:color w:val="auto"/>
              </w:rPr>
            </w:pPr>
          </w:p>
        </w:tc>
      </w:tr>
      <w:tr>
        <w:trPr>
          <w:trHeight w:val="441"/>
        </w:trPr>
        <w:tc>
          <w:tcPr>
            <w:tcW w:w="4160" w:type="dxa"/>
            <w:vAlign w:val="bottom"/>
          </w:tcPr>
          <w:p>
            <w:pPr>
              <w:spacing w:after="0"/>
              <w:rPr>
                <w:sz w:val="24"/>
                <w:szCs w:val="24"/>
                <w:color w:val="auto"/>
              </w:rPr>
            </w:pPr>
          </w:p>
        </w:tc>
        <w:tc>
          <w:tcPr>
            <w:tcW w:w="6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After the Exchange Offer is closed, we will no longer have an obligation to register the</w:t>
            </w:r>
          </w:p>
        </w:tc>
      </w:tr>
      <w:tr>
        <w:trPr>
          <w:trHeight w:val="216"/>
        </w:trPr>
        <w:tc>
          <w:tcPr>
            <w:tcW w:w="4160" w:type="dxa"/>
            <w:vAlign w:val="bottom"/>
          </w:tcPr>
          <w:p>
            <w:pPr>
              <w:spacing w:after="0"/>
              <w:rPr>
                <w:sz w:val="18"/>
                <w:szCs w:val="18"/>
                <w:color w:val="auto"/>
              </w:rPr>
            </w:pPr>
          </w:p>
        </w:tc>
        <w:tc>
          <w:tcPr>
            <w:tcW w:w="6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Original Notes, except under limited circumstances. To the extent that Original Notes are</w:t>
            </w:r>
          </w:p>
        </w:tc>
      </w:tr>
      <w:tr>
        <w:trPr>
          <w:trHeight w:val="216"/>
        </w:trPr>
        <w:tc>
          <w:tcPr>
            <w:tcW w:w="4160" w:type="dxa"/>
            <w:vAlign w:val="bottom"/>
          </w:tcPr>
          <w:p>
            <w:pPr>
              <w:spacing w:after="0"/>
              <w:rPr>
                <w:sz w:val="18"/>
                <w:szCs w:val="18"/>
                <w:color w:val="auto"/>
              </w:rPr>
            </w:pPr>
          </w:p>
        </w:tc>
        <w:tc>
          <w:tcPr>
            <w:tcW w:w="6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validly tendered and accepted in the Exchange Offer, the trading market for any remaining</w:t>
            </w:r>
          </w:p>
        </w:tc>
      </w:tr>
      <w:tr>
        <w:trPr>
          <w:trHeight w:val="216"/>
        </w:trPr>
        <w:tc>
          <w:tcPr>
            <w:tcW w:w="4160" w:type="dxa"/>
            <w:vAlign w:val="bottom"/>
          </w:tcPr>
          <w:p>
            <w:pPr>
              <w:spacing w:after="0"/>
              <w:rPr>
                <w:sz w:val="18"/>
                <w:szCs w:val="18"/>
                <w:color w:val="auto"/>
              </w:rPr>
            </w:pPr>
          </w:p>
        </w:tc>
        <w:tc>
          <w:tcPr>
            <w:tcW w:w="6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Original Notes will be adversely affected. See “Risk Factors—Risks Relating to the</w:t>
            </w:r>
          </w:p>
        </w:tc>
      </w:tr>
      <w:tr>
        <w:trPr>
          <w:trHeight w:val="216"/>
        </w:trPr>
        <w:tc>
          <w:tcPr>
            <w:tcW w:w="4160" w:type="dxa"/>
            <w:vAlign w:val="bottom"/>
          </w:tcPr>
          <w:p>
            <w:pPr>
              <w:spacing w:after="0"/>
              <w:rPr>
                <w:sz w:val="18"/>
                <w:szCs w:val="18"/>
                <w:color w:val="auto"/>
              </w:rPr>
            </w:pPr>
          </w:p>
        </w:tc>
        <w:tc>
          <w:tcPr>
            <w:tcW w:w="6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Exchange Offer—If you fail to exchange your Original Notes, they will continue to be</w:t>
            </w:r>
          </w:p>
        </w:tc>
      </w:tr>
      <w:tr>
        <w:trPr>
          <w:trHeight w:val="234"/>
        </w:trPr>
        <w:tc>
          <w:tcPr>
            <w:tcW w:w="4160" w:type="dxa"/>
            <w:vAlign w:val="bottom"/>
          </w:tcPr>
          <w:p>
            <w:pPr>
              <w:spacing w:after="0"/>
              <w:rPr>
                <w:sz w:val="20"/>
                <w:szCs w:val="20"/>
                <w:color w:val="auto"/>
              </w:rPr>
            </w:pPr>
          </w:p>
        </w:tc>
        <w:tc>
          <w:tcPr>
            <w:tcW w:w="5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restricted securities and may become less liquid”.</w:t>
            </w:r>
          </w:p>
        </w:tc>
        <w:tc>
          <w:tcPr>
            <w:tcW w:w="1220" w:type="dxa"/>
            <w:vAlign w:val="bottom"/>
          </w:tcPr>
          <w:p>
            <w:pPr>
              <w:spacing w:after="0"/>
              <w:rPr>
                <w:sz w:val="20"/>
                <w:szCs w:val="20"/>
                <w:color w:val="auto"/>
              </w:rPr>
            </w:pPr>
          </w:p>
        </w:tc>
      </w:tr>
      <w:tr>
        <w:trPr>
          <w:trHeight w:val="441"/>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Expiration Date</w:t>
            </w:r>
          </w:p>
        </w:tc>
        <w:tc>
          <w:tcPr>
            <w:tcW w:w="5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Exchange Offer will expire at 5:00 p.m., New York City time, on</w:t>
            </w:r>
          </w:p>
        </w:tc>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unless we</w:t>
            </w:r>
          </w:p>
        </w:tc>
      </w:tr>
      <w:tr>
        <w:trPr>
          <w:trHeight w:val="216"/>
        </w:trPr>
        <w:tc>
          <w:tcPr>
            <w:tcW w:w="4160" w:type="dxa"/>
            <w:vAlign w:val="bottom"/>
          </w:tcPr>
          <w:p>
            <w:pPr>
              <w:spacing w:after="0"/>
              <w:rPr>
                <w:sz w:val="18"/>
                <w:szCs w:val="18"/>
                <w:color w:val="auto"/>
              </w:rPr>
            </w:pPr>
          </w:p>
        </w:tc>
        <w:tc>
          <w:tcPr>
            <w:tcW w:w="6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extend the Exchange Offer. See “The Exchange Offer—Expiration Date; Extensions;</w:t>
            </w:r>
          </w:p>
        </w:tc>
      </w:tr>
      <w:tr>
        <w:trPr>
          <w:trHeight w:val="234"/>
        </w:trPr>
        <w:tc>
          <w:tcPr>
            <w:tcW w:w="4160" w:type="dxa"/>
            <w:vAlign w:val="bottom"/>
          </w:tcPr>
          <w:p>
            <w:pPr>
              <w:spacing w:after="0"/>
              <w:rPr>
                <w:sz w:val="20"/>
                <w:szCs w:val="20"/>
                <w:color w:val="auto"/>
              </w:rPr>
            </w:pPr>
          </w:p>
        </w:tc>
        <w:tc>
          <w:tcPr>
            <w:tcW w:w="5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Amendments”.</w:t>
            </w:r>
          </w:p>
        </w:tc>
        <w:tc>
          <w:tcPr>
            <w:tcW w:w="1220" w:type="dxa"/>
            <w:vAlign w:val="bottom"/>
          </w:tcPr>
          <w:p>
            <w:pPr>
              <w:spacing w:after="0"/>
              <w:rPr>
                <w:sz w:val="20"/>
                <w:szCs w:val="20"/>
                <w:color w:val="auto"/>
              </w:rPr>
            </w:pPr>
          </w:p>
        </w:tc>
      </w:tr>
      <w:tr>
        <w:trPr>
          <w:trHeight w:val="240"/>
        </w:trPr>
        <w:tc>
          <w:tcPr>
            <w:tcW w:w="4160" w:type="dxa"/>
            <w:vAlign w:val="bottom"/>
            <w:tcBorders>
              <w:bottom w:val="single" w:sz="8" w:color="auto"/>
            </w:tcBorders>
          </w:tcPr>
          <w:p>
            <w:pPr>
              <w:spacing w:after="0"/>
              <w:rPr>
                <w:sz w:val="20"/>
                <w:szCs w:val="20"/>
                <w:color w:val="auto"/>
              </w:rPr>
            </w:pPr>
          </w:p>
        </w:tc>
        <w:tc>
          <w:tcPr>
            <w:tcW w:w="56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604"/>
        </w:trPr>
        <w:tc>
          <w:tcPr>
            <w:tcW w:w="4160" w:type="dxa"/>
            <w:vAlign w:val="bottom"/>
          </w:tcPr>
          <w:p>
            <w:pPr>
              <w:spacing w:after="0"/>
              <w:rPr>
                <w:sz w:val="24"/>
                <w:szCs w:val="24"/>
                <w:color w:val="auto"/>
              </w:rPr>
            </w:pPr>
          </w:p>
        </w:tc>
        <w:tc>
          <w:tcPr>
            <w:tcW w:w="56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- 2 -</w:t>
            </w:r>
          </w:p>
        </w:tc>
        <w:tc>
          <w:tcPr>
            <w:tcW w:w="12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72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Issuance of Exchange Notes</w:t>
            </w:r>
          </w:p>
        </w:tc>
        <w:tc>
          <w:tcPr>
            <w:tcW w:w="7300" w:type="dxa"/>
            <w:vAlign w:val="bottom"/>
            <w:tcBorders>
              <w:top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We will issue Exchange Notes in exchange for Original Notes validly tendered and</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accepted in the Exchange Offer promptly following the Expiration Date (unless extended</w:t>
            </w:r>
          </w:p>
        </w:tc>
      </w:tr>
      <w:tr>
        <w:trPr>
          <w:trHeight w:val="234"/>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as described in this prospectus).</w:t>
            </w:r>
          </w:p>
        </w:tc>
      </w:tr>
      <w:tr>
        <w:trPr>
          <w:trHeight w:val="459"/>
        </w:trPr>
        <w:tc>
          <w:tcPr>
            <w:tcW w:w="3720" w:type="dxa"/>
            <w:vAlign w:val="bottom"/>
            <w:tcBorders>
              <w:left w:val="single" w:sz="8" w:color="auto"/>
            </w:tcBorders>
          </w:tcPr>
          <w:p>
            <w:pPr>
              <w:spacing w:after="0"/>
              <w:rPr>
                <w:sz w:val="24"/>
                <w:szCs w:val="24"/>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See “The Exchange Offer—Terms of the Exchange”.</w:t>
            </w:r>
          </w:p>
        </w:tc>
      </w:tr>
      <w:tr>
        <w:trPr>
          <w:trHeight w:val="441"/>
        </w:trPr>
        <w:tc>
          <w:tcPr>
            <w:tcW w:w="37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Certain Conditions to the Exchange Offer</w:t>
            </w: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The Exchange Offer is subject to certain customary conditions, which we may amend or</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waive. The Exchange Offer is not conditioned upon any minimum principal amount of</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outstanding notes being validly tendered. See “The Exchange Offer—Conditions to the</w:t>
            </w:r>
          </w:p>
        </w:tc>
      </w:tr>
      <w:tr>
        <w:trPr>
          <w:trHeight w:val="234"/>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Exchange Offer”.</w:t>
            </w:r>
          </w:p>
        </w:tc>
      </w:tr>
      <w:tr>
        <w:trPr>
          <w:trHeight w:val="441"/>
        </w:trPr>
        <w:tc>
          <w:tcPr>
            <w:tcW w:w="37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Special Procedures for Beneficial Holders</w:t>
            </w: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If you beneficially own Original Notes which are registered in the name of a broker, dealer,</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commercial bank, trust company or other nominee and you wish to tender in the Exchange</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Offer, you must contact the registered holder promptly and instruct such person to tender</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on your behalf. If you wish to tender in the Exchange Offer on your own behalf, you must,</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prior to completing and executing the letter of transmittal and delivering your Original</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Notes, either arrange to have the Original Notes registered in your name or obtain a</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properly completed bond power from the registered holder. The transfer of registered</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ownership may take a considerable amount of time. See “The Exchange Offer—Procedures</w:t>
            </w:r>
          </w:p>
        </w:tc>
      </w:tr>
      <w:tr>
        <w:trPr>
          <w:trHeight w:val="234"/>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for Tendering”.</w:t>
            </w:r>
          </w:p>
        </w:tc>
      </w:tr>
      <w:tr>
        <w:trPr>
          <w:trHeight w:val="441"/>
        </w:trPr>
        <w:tc>
          <w:tcPr>
            <w:tcW w:w="37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Withdrawal Rights</w:t>
            </w: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You may withdraw your tender of Original Notes at any time before the Exchange Offer</w:t>
            </w:r>
          </w:p>
        </w:tc>
      </w:tr>
      <w:tr>
        <w:trPr>
          <w:trHeight w:val="234"/>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expires. See “The Exchange Offer—Withdrawal of Tenders”.</w:t>
            </w:r>
          </w:p>
        </w:tc>
      </w:tr>
      <w:tr>
        <w:trPr>
          <w:trHeight w:val="441"/>
        </w:trPr>
        <w:tc>
          <w:tcPr>
            <w:tcW w:w="37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 Federal Income Tax Consequences</w:t>
            </w: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The exchange pursuant to the Exchange Offer generally will not be a taxable event for U.S.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federal income tax purposes. See “Material United States Federal Income Tax</w:t>
            </w:r>
          </w:p>
        </w:tc>
      </w:tr>
      <w:tr>
        <w:trPr>
          <w:trHeight w:val="234"/>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Considerations”.</w:t>
            </w:r>
          </w:p>
        </w:tc>
      </w:tr>
      <w:tr>
        <w:trPr>
          <w:trHeight w:val="441"/>
        </w:trPr>
        <w:tc>
          <w:tcPr>
            <w:tcW w:w="37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We will not receive any proceeds from the exchange or the issuance of Exchange Notes in</w:t>
            </w:r>
          </w:p>
        </w:tc>
      </w:tr>
      <w:tr>
        <w:trPr>
          <w:trHeight w:val="234"/>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connection with the Exchange Offer.</w:t>
            </w:r>
          </w:p>
        </w:tc>
      </w:tr>
      <w:tr>
        <w:trPr>
          <w:trHeight w:val="441"/>
        </w:trPr>
        <w:tc>
          <w:tcPr>
            <w:tcW w:w="37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Exchange Agent</w:t>
            </w: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The Bank of New York Mellon Trust Company, N.A. is serving as exchange agent in</w:t>
            </w:r>
          </w:p>
        </w:tc>
      </w:tr>
      <w:tr>
        <w:trPr>
          <w:trHeight w:val="234"/>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connection with the Exchange Offer.</w:t>
            </w:r>
          </w:p>
        </w:tc>
      </w:tr>
      <w:tr>
        <w:trPr>
          <w:trHeight w:val="240"/>
        </w:trPr>
        <w:tc>
          <w:tcPr>
            <w:tcW w:w="3720" w:type="dxa"/>
            <w:vAlign w:val="bottom"/>
            <w:tcBorders>
              <w:left w:val="single" w:sz="8" w:color="auto"/>
              <w:bottom w:val="single" w:sz="8" w:color="auto"/>
            </w:tcBorders>
          </w:tcPr>
          <w:p>
            <w:pPr>
              <w:spacing w:after="0"/>
              <w:rPr>
                <w:sz w:val="20"/>
                <w:szCs w:val="20"/>
                <w:color w:val="auto"/>
              </w:rPr>
            </w:pPr>
          </w:p>
        </w:tc>
        <w:tc>
          <w:tcPr>
            <w:tcW w:w="7300" w:type="dxa"/>
            <w:vAlign w:val="bottom"/>
            <w:tcBorders>
              <w:bottom w:val="single" w:sz="8" w:color="auto"/>
              <w:right w:val="single" w:sz="8" w:color="auto"/>
            </w:tcBorders>
          </w:tcPr>
          <w:p>
            <w:pPr>
              <w:spacing w:after="0"/>
              <w:rPr>
                <w:sz w:val="20"/>
                <w:szCs w:val="20"/>
                <w:color w:val="auto"/>
              </w:rPr>
            </w:pPr>
          </w:p>
        </w:tc>
      </w:tr>
      <w:tr>
        <w:trPr>
          <w:trHeight w:val="604"/>
        </w:trPr>
        <w:tc>
          <w:tcPr>
            <w:tcW w:w="3720" w:type="dxa"/>
            <w:vAlign w:val="bottom"/>
          </w:tcPr>
          <w:p>
            <w:pPr>
              <w:spacing w:after="0"/>
              <w:rPr>
                <w:sz w:val="24"/>
                <w:szCs w:val="24"/>
                <w:color w:val="auto"/>
              </w:rPr>
            </w:pPr>
          </w:p>
        </w:tc>
        <w:tc>
          <w:tcPr>
            <w:tcW w:w="73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- 3 -</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621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998970" cy="66217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of the Terms of the Exchange Notes</w:t>
      </w:r>
    </w:p>
    <w:p>
      <w:pPr>
        <w:spacing w:after="0" w:line="121" w:lineRule="exact"/>
        <w:rPr>
          <w:sz w:val="20"/>
          <w:szCs w:val="20"/>
          <w:color w:val="auto"/>
        </w:rPr>
      </w:pPr>
    </w:p>
    <w:p>
      <w:pPr>
        <w:ind w:left="300" w:right="220" w:firstLine="426"/>
        <w:spacing w:after="0" w:line="261" w:lineRule="auto"/>
        <w:rPr>
          <w:sz w:val="20"/>
          <w:szCs w:val="20"/>
          <w:color w:val="auto"/>
        </w:rPr>
      </w:pPr>
      <w:r>
        <w:rPr>
          <w:rFonts w:ascii="Times New Roman" w:cs="Times New Roman" w:eastAsia="Times New Roman" w:hAnsi="Times New Roman"/>
          <w:sz w:val="18"/>
          <w:szCs w:val="18"/>
          <w:color w:val="auto"/>
        </w:rPr>
        <w:t>The following summary contains basic information about the Exchange Notes, and is not intended to be complete. Other than the restrictions on transfer and registration rights and special interest provisions, the Exchange Notes will have the same financial terms and covenants as the Original Notes. For a more complete understanding of the Exchange Notes, please refer to the section entitled “Description of the Exchange Notes” in this prospectus.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Union Pacific Corporation, a Utah corporation.</w:t>
            </w:r>
          </w:p>
        </w:tc>
      </w:tr>
      <w:tr>
        <w:trPr>
          <w:trHeight w:val="45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Offered</w:t>
            </w: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Up to $1,047,453,000 aggregate principal amount of 2.973% notes due September 16,</w:t>
            </w:r>
          </w:p>
        </w:tc>
      </w:tr>
      <w:tr>
        <w:trPr>
          <w:trHeight w:val="234"/>
        </w:trPr>
        <w:tc>
          <w:tcPr>
            <w:tcW w:w="3540" w:type="dxa"/>
            <w:vAlign w:val="bottom"/>
          </w:tcPr>
          <w:p>
            <w:pPr>
              <w:spacing w:after="0"/>
              <w:rPr>
                <w:sz w:val="20"/>
                <w:szCs w:val="20"/>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2062.</w:t>
            </w:r>
          </w:p>
        </w:tc>
      </w:tr>
      <w:tr>
        <w:trPr>
          <w:trHeight w:val="459"/>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 Date</w:t>
            </w: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September 16, 2062.</w:t>
            </w:r>
          </w:p>
        </w:tc>
      </w:tr>
      <w:tr>
        <w:trPr>
          <w:trHeight w:val="45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Exchange Notes will bear interest at the rate of 2.973% from the most recent date to</w:t>
            </w:r>
          </w:p>
        </w:tc>
      </w:tr>
      <w:tr>
        <w:trPr>
          <w:trHeight w:val="216"/>
        </w:trPr>
        <w:tc>
          <w:tcPr>
            <w:tcW w:w="354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which interest on the Original Notes has been paid or, if no interest has been paid on the</w:t>
            </w:r>
          </w:p>
        </w:tc>
      </w:tr>
      <w:tr>
        <w:trPr>
          <w:trHeight w:val="216"/>
        </w:trPr>
        <w:tc>
          <w:tcPr>
            <w:tcW w:w="354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Original Notes, from September 16, 2020. Interest is payable semiannually on March 16</w:t>
            </w:r>
          </w:p>
        </w:tc>
      </w:tr>
      <w:tr>
        <w:trPr>
          <w:trHeight w:val="216"/>
        </w:trPr>
        <w:tc>
          <w:tcPr>
            <w:tcW w:w="354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and September 16 of each year, beginning on March 16, 2021, to holders of record on the</w:t>
            </w:r>
          </w:p>
        </w:tc>
      </w:tr>
      <w:tr>
        <w:trPr>
          <w:trHeight w:val="216"/>
        </w:trPr>
        <w:tc>
          <w:tcPr>
            <w:tcW w:w="354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preceding March 1 and September 1, respectively, whether or not that day is a business</w:t>
            </w:r>
          </w:p>
        </w:tc>
      </w:tr>
      <w:tr>
        <w:trPr>
          <w:trHeight w:val="234"/>
        </w:trPr>
        <w:tc>
          <w:tcPr>
            <w:tcW w:w="3540" w:type="dxa"/>
            <w:vAlign w:val="bottom"/>
          </w:tcPr>
          <w:p>
            <w:pPr>
              <w:spacing w:after="0"/>
              <w:rPr>
                <w:sz w:val="20"/>
                <w:szCs w:val="20"/>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day.</w:t>
            </w:r>
          </w:p>
        </w:tc>
      </w:tr>
      <w:tr>
        <w:trPr>
          <w:trHeight w:val="441"/>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Exchange Notes will be our direct, unsecured and unsubordinated obligations and will</w:t>
            </w:r>
          </w:p>
        </w:tc>
      </w:tr>
      <w:tr>
        <w:trPr>
          <w:trHeight w:val="216"/>
        </w:trPr>
        <w:tc>
          <w:tcPr>
            <w:tcW w:w="354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rank equally in right of payment with all of our other existing and future unsecured and</w:t>
            </w:r>
          </w:p>
        </w:tc>
      </w:tr>
      <w:tr>
        <w:trPr>
          <w:trHeight w:val="216"/>
        </w:trPr>
        <w:tc>
          <w:tcPr>
            <w:tcW w:w="354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unsubordinated indebtedness. The Exchange Notes will be effectively subordinated to</w:t>
            </w:r>
          </w:p>
        </w:tc>
      </w:tr>
      <w:tr>
        <w:trPr>
          <w:trHeight w:val="216"/>
        </w:trPr>
        <w:tc>
          <w:tcPr>
            <w:tcW w:w="354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existing and future indebtedness and other liabilities of our subsidiaries and to any of our</w:t>
            </w:r>
          </w:p>
        </w:tc>
      </w:tr>
      <w:tr>
        <w:trPr>
          <w:trHeight w:val="234"/>
        </w:trPr>
        <w:tc>
          <w:tcPr>
            <w:tcW w:w="3540" w:type="dxa"/>
            <w:vAlign w:val="bottom"/>
          </w:tcPr>
          <w:p>
            <w:pPr>
              <w:spacing w:after="0"/>
              <w:rPr>
                <w:sz w:val="20"/>
                <w:szCs w:val="20"/>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existing and future secured indebtedness.</w:t>
            </w:r>
          </w:p>
        </w:tc>
      </w:tr>
      <w:tr>
        <w:trPr>
          <w:trHeight w:val="441"/>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At any time prior to March 16, 2062, we may redeem the Exchange Notes at our option, in</w:t>
            </w:r>
          </w:p>
        </w:tc>
      </w:tr>
      <w:tr>
        <w:trPr>
          <w:trHeight w:val="216"/>
        </w:trPr>
        <w:tc>
          <w:tcPr>
            <w:tcW w:w="354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whole or in part, at a redemption price equal to 100% of the principal amount of the</w:t>
            </w:r>
          </w:p>
        </w:tc>
      </w:tr>
      <w:tr>
        <w:trPr>
          <w:trHeight w:val="216"/>
        </w:trPr>
        <w:tc>
          <w:tcPr>
            <w:tcW w:w="354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Exchange Notes being redeemed plus a “make-whole” premium, plus accrued and unpaid</w:t>
            </w:r>
          </w:p>
        </w:tc>
      </w:tr>
      <w:tr>
        <w:trPr>
          <w:trHeight w:val="216"/>
        </w:trPr>
        <w:tc>
          <w:tcPr>
            <w:tcW w:w="354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to the date of redemption. At any time on or after March 16, 2062, we may redeem</w:t>
            </w:r>
          </w:p>
        </w:tc>
      </w:tr>
      <w:tr>
        <w:trPr>
          <w:trHeight w:val="216"/>
        </w:trPr>
        <w:tc>
          <w:tcPr>
            <w:tcW w:w="354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Exchange Notes at our option, in whole or in part, at a redemption price equal to 100%</w:t>
            </w:r>
          </w:p>
        </w:tc>
      </w:tr>
      <w:tr>
        <w:trPr>
          <w:trHeight w:val="216"/>
        </w:trPr>
        <w:tc>
          <w:tcPr>
            <w:tcW w:w="354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of the principal amount of the Exchange Notes being redeemed, plus accrued and unpaid</w:t>
            </w:r>
          </w:p>
        </w:tc>
      </w:tr>
      <w:tr>
        <w:trPr>
          <w:trHeight w:val="216"/>
        </w:trPr>
        <w:tc>
          <w:tcPr>
            <w:tcW w:w="354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to the date of redemption. See “Description of the Exchange Notes—Optional</w:t>
            </w:r>
          </w:p>
        </w:tc>
      </w:tr>
      <w:tr>
        <w:trPr>
          <w:trHeight w:val="234"/>
        </w:trPr>
        <w:tc>
          <w:tcPr>
            <w:tcW w:w="3540" w:type="dxa"/>
            <w:vAlign w:val="bottom"/>
          </w:tcPr>
          <w:p>
            <w:pPr>
              <w:spacing w:after="0"/>
              <w:rPr>
                <w:sz w:val="20"/>
                <w:szCs w:val="20"/>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Redemption”.</w:t>
            </w:r>
          </w:p>
        </w:tc>
      </w:tr>
      <w:tr>
        <w:trPr>
          <w:trHeight w:val="441"/>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of Control Repurchase Event</w:t>
            </w: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Upon a change of control repurchase event, we will be required to make an offer to</w:t>
            </w:r>
          </w:p>
        </w:tc>
      </w:tr>
      <w:tr>
        <w:trPr>
          <w:trHeight w:val="216"/>
        </w:trPr>
        <w:tc>
          <w:tcPr>
            <w:tcW w:w="354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repurchase each holder’s Exchange Notes at a repurchase price in cash equal to 101% of</w:t>
            </w:r>
          </w:p>
        </w:tc>
      </w:tr>
      <w:tr>
        <w:trPr>
          <w:trHeight w:val="216"/>
        </w:trPr>
        <w:tc>
          <w:tcPr>
            <w:tcW w:w="354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principal amount thereof, plus accrued and unpaid interest, if any, to the date of</w:t>
            </w:r>
          </w:p>
        </w:tc>
      </w:tr>
      <w:tr>
        <w:trPr>
          <w:trHeight w:val="216"/>
        </w:trPr>
        <w:tc>
          <w:tcPr>
            <w:tcW w:w="354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repurchase. See “Description of the Exchange Notes–Change of Control Repurchase</w:t>
            </w:r>
          </w:p>
        </w:tc>
      </w:tr>
      <w:tr>
        <w:trPr>
          <w:trHeight w:val="234"/>
        </w:trPr>
        <w:tc>
          <w:tcPr>
            <w:tcW w:w="3540" w:type="dxa"/>
            <w:vAlign w:val="bottom"/>
          </w:tcPr>
          <w:p>
            <w:pPr>
              <w:spacing w:after="0"/>
              <w:rPr>
                <w:sz w:val="20"/>
                <w:szCs w:val="20"/>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Event”.</w:t>
            </w:r>
          </w:p>
        </w:tc>
      </w:tr>
      <w:tr>
        <w:trPr>
          <w:trHeight w:val="441"/>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Covenants</w:t>
            </w: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indenture governing the Exchange Notes (the “Indenture”) contains covenants</w:t>
            </w:r>
          </w:p>
        </w:tc>
      </w:tr>
      <w:tr>
        <w:trPr>
          <w:trHeight w:val="234"/>
        </w:trPr>
        <w:tc>
          <w:tcPr>
            <w:tcW w:w="3540" w:type="dxa"/>
            <w:vAlign w:val="bottom"/>
          </w:tcPr>
          <w:p>
            <w:pPr>
              <w:spacing w:after="0"/>
              <w:rPr>
                <w:sz w:val="20"/>
                <w:szCs w:val="20"/>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restricting our ability, with certain exceptions, to:</w:t>
            </w:r>
          </w:p>
        </w:tc>
      </w:tr>
      <w:tr>
        <w:trPr>
          <w:trHeight w:val="338"/>
        </w:trPr>
        <w:tc>
          <w:tcPr>
            <w:tcW w:w="3540" w:type="dxa"/>
            <w:vAlign w:val="bottom"/>
          </w:tcPr>
          <w:p>
            <w:pPr>
              <w:spacing w:after="0"/>
              <w:rPr>
                <w:sz w:val="24"/>
                <w:szCs w:val="24"/>
                <w:color w:val="auto"/>
              </w:rPr>
            </w:pPr>
          </w:p>
        </w:tc>
        <w:tc>
          <w:tcPr>
            <w:tcW w:w="74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  incur debt secured by liens on any domestic subsidiary; and</w:t>
            </w:r>
          </w:p>
        </w:tc>
      </w:tr>
      <w:tr>
        <w:trPr>
          <w:trHeight w:val="240"/>
        </w:trPr>
        <w:tc>
          <w:tcPr>
            <w:tcW w:w="3540" w:type="dxa"/>
            <w:vAlign w:val="bottom"/>
            <w:tcBorders>
              <w:bottom w:val="single" w:sz="8" w:color="auto"/>
            </w:tcBorders>
          </w:tcPr>
          <w:p>
            <w:pPr>
              <w:spacing w:after="0"/>
              <w:rPr>
                <w:sz w:val="20"/>
                <w:szCs w:val="20"/>
                <w:color w:val="auto"/>
              </w:rPr>
            </w:pPr>
          </w:p>
        </w:tc>
        <w:tc>
          <w:tcPr>
            <w:tcW w:w="7480" w:type="dxa"/>
            <w:vAlign w:val="bottom"/>
            <w:tcBorders>
              <w:bottom w:val="single" w:sz="8" w:color="auto"/>
            </w:tcBorders>
          </w:tcPr>
          <w:p>
            <w:pPr>
              <w:spacing w:after="0"/>
              <w:rPr>
                <w:sz w:val="20"/>
                <w:szCs w:val="20"/>
                <w:color w:val="auto"/>
              </w:rPr>
            </w:pPr>
          </w:p>
        </w:tc>
      </w:tr>
      <w:tr>
        <w:trPr>
          <w:trHeight w:val="604"/>
        </w:trPr>
        <w:tc>
          <w:tcPr>
            <w:tcW w:w="3540" w:type="dxa"/>
            <w:vAlign w:val="bottom"/>
          </w:tcPr>
          <w:p>
            <w:pPr>
              <w:spacing w:after="0"/>
              <w:rPr>
                <w:sz w:val="24"/>
                <w:szCs w:val="24"/>
                <w:color w:val="auto"/>
              </w:rPr>
            </w:pPr>
          </w:p>
        </w:tc>
        <w:tc>
          <w:tcPr>
            <w:tcW w:w="74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- 4 -</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560" w:type="dxa"/>
            <w:vAlign w:val="bottom"/>
            <w:tcBorders>
              <w:top w:val="single" w:sz="8" w:color="auto"/>
              <w:left w:val="single" w:sz="8" w:color="auto"/>
            </w:tcBorders>
          </w:tcPr>
          <w:p>
            <w:pPr>
              <w:spacing w:after="0"/>
              <w:rPr>
                <w:sz w:val="24"/>
                <w:szCs w:val="24"/>
                <w:color w:val="auto"/>
              </w:rPr>
            </w:pPr>
          </w:p>
        </w:tc>
        <w:tc>
          <w:tcPr>
            <w:tcW w:w="7460" w:type="dxa"/>
            <w:vAlign w:val="bottom"/>
            <w:tcBorders>
              <w:top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  consolidate with, merge into or convey or transfer our properties and assets</w:t>
            </w:r>
          </w:p>
        </w:tc>
      </w:tr>
      <w:tr>
        <w:trPr>
          <w:trHeight w:val="234"/>
        </w:trPr>
        <w:tc>
          <w:tcPr>
            <w:tcW w:w="356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substantially as an entirety to, another person.</w:t>
            </w:r>
          </w:p>
        </w:tc>
      </w:tr>
      <w:tr>
        <w:trPr>
          <w:trHeight w:val="441"/>
        </w:trPr>
        <w:tc>
          <w:tcPr>
            <w:tcW w:w="3560" w:type="dxa"/>
            <w:vAlign w:val="bottom"/>
            <w:tcBorders>
              <w:left w:val="single" w:sz="8" w:color="auto"/>
            </w:tcBorders>
          </w:tcPr>
          <w:p>
            <w:pPr>
              <w:spacing w:after="0"/>
              <w:rPr>
                <w:sz w:val="24"/>
                <w:szCs w:val="24"/>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See “Description of the Exchange Notes—Limitation on Liens of Domestic Subsidiaries”</w:t>
            </w:r>
          </w:p>
        </w:tc>
      </w:tr>
      <w:tr>
        <w:trPr>
          <w:trHeight w:val="234"/>
        </w:trPr>
        <w:tc>
          <w:tcPr>
            <w:tcW w:w="356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and “Description of the Exchange Notes—Consolidation, Merger, Sale or Conveyance”.</w:t>
            </w:r>
          </w:p>
        </w:tc>
      </w:tr>
      <w:tr>
        <w:trPr>
          <w:trHeight w:val="441"/>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Events of Default</w:t>
            </w: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For a discussion of events that will permit acceleration of the payment of the principal of</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and accrued interest on the Exchange Notes, see “Description of the Exchange Notes—</w:t>
            </w:r>
          </w:p>
        </w:tc>
      </w:tr>
      <w:tr>
        <w:trPr>
          <w:trHeight w:val="234"/>
        </w:trPr>
        <w:tc>
          <w:tcPr>
            <w:tcW w:w="356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Events of Default”.</w:t>
            </w:r>
          </w:p>
        </w:tc>
      </w:tr>
      <w:tr>
        <w:trPr>
          <w:trHeight w:val="459"/>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Listing</w:t>
            </w: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We do not intend to list the Exchange Notes on any securities exchange.</w:t>
            </w:r>
          </w:p>
        </w:tc>
      </w:tr>
      <w:tr>
        <w:trPr>
          <w:trHeight w:val="473"/>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We will not receive any proceeds from the Exchange Offer. See “Use of Proceeds”.</w:t>
            </w:r>
          </w:p>
        </w:tc>
      </w:tr>
      <w:tr>
        <w:trPr>
          <w:trHeight w:val="473"/>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Book-Entry Depository</w:t>
            </w: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The Depository Trust Company (“DTC”).</w:t>
            </w:r>
          </w:p>
        </w:tc>
      </w:tr>
      <w:tr>
        <w:trPr>
          <w:trHeight w:val="473"/>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 Registrar and Transfer Agent</w:t>
            </w: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The Bank of New York Mellon Trust Company, N.A.</w:t>
            </w:r>
          </w:p>
        </w:tc>
      </w:tr>
      <w:tr>
        <w:trPr>
          <w:trHeight w:val="473"/>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State of New York.</w:t>
            </w:r>
          </w:p>
        </w:tc>
      </w:tr>
      <w:tr>
        <w:trPr>
          <w:trHeight w:val="454"/>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You should consider carefully all of the information set forth in this prospectus and, in</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particular, should evaluate the specific factors set forth in the section entitled “Risk</w:t>
            </w:r>
          </w:p>
        </w:tc>
      </w:tr>
      <w:tr>
        <w:trPr>
          <w:trHeight w:val="234"/>
        </w:trPr>
        <w:tc>
          <w:tcPr>
            <w:tcW w:w="356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Factors” for an explanation of certain risks of participating in the Exchange Offer.</w:t>
            </w:r>
          </w:p>
        </w:tc>
      </w:tr>
      <w:tr>
        <w:trPr>
          <w:trHeight w:val="240"/>
        </w:trPr>
        <w:tc>
          <w:tcPr>
            <w:tcW w:w="3560" w:type="dxa"/>
            <w:vAlign w:val="bottom"/>
            <w:tcBorders>
              <w:left w:val="single" w:sz="8" w:color="auto"/>
              <w:bottom w:val="single" w:sz="8" w:color="auto"/>
            </w:tcBorders>
          </w:tcPr>
          <w:p>
            <w:pPr>
              <w:spacing w:after="0"/>
              <w:rPr>
                <w:sz w:val="20"/>
                <w:szCs w:val="20"/>
                <w:color w:val="auto"/>
              </w:rPr>
            </w:pPr>
          </w:p>
        </w:tc>
        <w:tc>
          <w:tcPr>
            <w:tcW w:w="7460" w:type="dxa"/>
            <w:vAlign w:val="bottom"/>
            <w:tcBorders>
              <w:bottom w:val="single" w:sz="8" w:color="auto"/>
              <w:right w:val="single" w:sz="8" w:color="auto"/>
            </w:tcBorders>
          </w:tcPr>
          <w:p>
            <w:pPr>
              <w:spacing w:after="0"/>
              <w:rPr>
                <w:sz w:val="20"/>
                <w:szCs w:val="20"/>
                <w:color w:val="auto"/>
              </w:rPr>
            </w:pPr>
          </w:p>
        </w:tc>
      </w:tr>
      <w:tr>
        <w:trPr>
          <w:trHeight w:val="604"/>
        </w:trPr>
        <w:tc>
          <w:tcPr>
            <w:tcW w:w="3560" w:type="dxa"/>
            <w:vAlign w:val="bottom"/>
          </w:tcPr>
          <w:p>
            <w:pPr>
              <w:spacing w:after="0"/>
              <w:rPr>
                <w:sz w:val="24"/>
                <w:szCs w:val="24"/>
                <w:color w:val="auto"/>
              </w:rPr>
            </w:pPr>
          </w:p>
        </w:tc>
        <w:tc>
          <w:tcPr>
            <w:tcW w:w="7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- 5 -</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should consider carefully the following risks relating to the Exchange Offer and the Notes, together with the risks and uncertainties discussed under “Forward-Looking Statements” and the other information included or incorporated by reference in this prospectus, including the information under the heading “Risk Factors” in our annual report on Form 10-K for the fiscal year ended December 31, 2020, before deciding whether to participate in the Exchange Offer. Additional risks and uncertainties not currently known to the Company, or that the Company currently does not deem material, also may materially impair the Company’s financial condition, results of operations or liquidity.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Exchange Offer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If you fail to exchange your Original Notes, they will continue to be restricted securities and may become less liquid.</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Original Notes that you do not tender or we do not accept will, following the Exchange Offer, continue to be restricted securities, and you may not offer to sell them except pursuant to an exemption from, or in a transaction not subject to, the Securities Act and applicable state securities law. We will issue Exchange Notes in exchange for Original Notes pursuant to the Exchange Offer only following the satisfaction of the procedures and conditions set forth in “The Exchange Offer—Procedures for Tendering”. These procedures and conditions include timely receipt by the Exchange Agent of such Original Notes (or a confirmation of book-entry transfer) and of a properly completed and duly executed letter of transmittal (or an agent’s message from DTC).</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Because we anticipate that most holders of Original Notes will elect to exchange their Original Notes, we expect that the liquidity of the market for any Original Notes remaining after the completion of the Exchange Offer will be substantially limited. Any Original Notes validly tendered and exchanged in the Exchange Offer will reduce the aggregate principal amount of the Original Notes outstanding. Following the Exchange Offer, if you do not tender your Original Notes you generally will not have any further registration rights, and your Original Notes will continue to be subject to certain transfer restrictions. Accordingly, the liquidity of the market for the Original Notes could be adversely affected.</w:t>
      </w:r>
    </w:p>
    <w:p>
      <w:pPr>
        <w:spacing w:after="0" w:line="289" w:lineRule="exact"/>
        <w:rPr>
          <w:sz w:val="20"/>
          <w:szCs w:val="20"/>
          <w:color w:val="auto"/>
        </w:rPr>
      </w:pPr>
    </w:p>
    <w:p>
      <w:pPr>
        <w:ind w:left="120" w:right="160"/>
        <w:spacing w:after="0" w:line="284" w:lineRule="auto"/>
        <w:rPr>
          <w:sz w:val="20"/>
          <w:szCs w:val="20"/>
          <w:color w:val="auto"/>
        </w:rPr>
      </w:pPr>
      <w:r>
        <w:rPr>
          <w:rFonts w:ascii="Times New Roman" w:cs="Times New Roman" w:eastAsia="Times New Roman" w:hAnsi="Times New Roman"/>
          <w:sz w:val="18"/>
          <w:szCs w:val="18"/>
          <w:i w:val="1"/>
          <w:iCs w:val="1"/>
          <w:color w:val="auto"/>
        </w:rPr>
        <w:t>If an active trading market does not develop for the Exchange Notes, you may be unable to sell the Exchange Notes or to sell them at a price you deem sufficient.</w:t>
      </w:r>
    </w:p>
    <w:p>
      <w:pPr>
        <w:spacing w:after="0" w:line="5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Exchange Notes are a new issue of securities for which there is currently no public trading market. We do not intend to list the Exchange Notes on any national securities exchange or automated quotation system. Accordingly, there can be no assurance that an active market will develop upon completion of the Exchange Offer or, if it develops, that such market will be sustained, or as to the liquidity of any market. If an active market does not develop or is not sustained, the market price and the liquidity of the Exchange Notes may be adversely affected. In addition, the liquidity of the trading market for the Exchange Notes, if it develops, and the market price quoted for the Exchange Notes, may be adversely affected by changes in the overall market for those securities and by changes in our financial performance or prospects or in the prospects for companies in our industry generally.</w:t>
      </w:r>
    </w:p>
    <w:p>
      <w:pPr>
        <w:spacing w:after="0" w:line="293" w:lineRule="exact"/>
        <w:rPr>
          <w:sz w:val="20"/>
          <w:szCs w:val="20"/>
          <w:color w:val="auto"/>
        </w:rPr>
      </w:pPr>
    </w:p>
    <w:p>
      <w:pPr>
        <w:ind w:left="120" w:right="180"/>
        <w:spacing w:after="0" w:line="284" w:lineRule="auto"/>
        <w:rPr>
          <w:sz w:val="20"/>
          <w:szCs w:val="20"/>
          <w:color w:val="auto"/>
        </w:rPr>
      </w:pPr>
      <w:r>
        <w:rPr>
          <w:rFonts w:ascii="Times New Roman" w:cs="Times New Roman" w:eastAsia="Times New Roman" w:hAnsi="Times New Roman"/>
          <w:sz w:val="18"/>
          <w:szCs w:val="18"/>
          <w:i w:val="1"/>
          <w:iCs w:val="1"/>
          <w:color w:val="auto"/>
        </w:rPr>
        <w:t>If you are a broker-dealer or participating in a distribution of the Exchange Notes, you may be required to deliver prospectuses and comply with other requirements.</w:t>
      </w:r>
    </w:p>
    <w:p>
      <w:pPr>
        <w:spacing w:after="0" w:line="5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you tender your Original Notes for the purpose of participating in a distribution of the Exchange Notes, you will be required to comply with the registration and prospectus delivery requirements of the Securities Act in connection with any resale of the Exchange Notes. If you are a broker-dealer that receives Exchange Notes for your own account in exchange for Original Notes that you acquired as a result of market-making activities or any other trading activities, you will be required to acknowledge that you will deliver a prospectus in connection with any resale of such Exchange Notes.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120"/>
          </w:cols>
          <w:pgMar w:left="320" w:top="455"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Exchange Offer is intended to satisfy our obligations under the Registration Rights Agreement entered into in connection with the issuance of the Original Notes. We will not receive any cash proceeds from the issuance of the Exchange Notes in the Exchange Offer.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consideration for issuing the Exchange Notes as contemplated by this prospectus, we will receive the Original Notes in like principal amount.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Original Notes surrendered and exchanged for the Exchange Notes will be retired and canceled and cannot be reissued.</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1080"/>
          </w:cols>
          <w:pgMar w:left="320" w:top="455" w:right="4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following consolidated selected financial data should be read in conjunction with “Management’s Discussion and Analysis of Financial Condition and Results of Operations” contained in our Annual Report on Form 10-K dated February 5, 2021, and the consolidated financial statements and related notes of Union Pacific Corporation incorporated by reference herein. The consolidated selected financial data as of, and for the financial years ended, December 31, for each of the last five years were derived from the audited consolidated financial statements and notes thereto of Union Pacific Corporation.</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Millions, Except per Share Amounts,</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93"/>
        </w:trPr>
        <w:tc>
          <w:tcPr>
            <w:tcW w:w="2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Carloads, Employee Statistics, and Ratios</w:t>
            </w:r>
          </w:p>
        </w:tc>
        <w:tc>
          <w:tcPr>
            <w:tcW w:w="4220" w:type="dxa"/>
            <w:vAlign w:val="bottom"/>
          </w:tcPr>
          <w:p>
            <w:pPr>
              <w:spacing w:after="0"/>
              <w:rPr>
                <w:sz w:val="16"/>
                <w:szCs w:val="16"/>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2020 (a)</w:t>
            </w: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2017 (b)</w:t>
            </w: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r>
      <w:tr>
        <w:trPr>
          <w:trHeight w:val="190"/>
        </w:trPr>
        <w:tc>
          <w:tcPr>
            <w:tcW w:w="6640" w:type="dxa"/>
            <w:vAlign w:val="bottom"/>
            <w:tcBorders>
              <w:top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revenues (c)</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$19,533</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$21,708</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$22,832</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5"/>
              </w:rPr>
              <w:t>$21,240</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$19,941</w:t>
            </w: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7,834</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8,554</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8,517</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8,106</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7,243</w:t>
            </w: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5,349</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5,919</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5,966</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10,712</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4,233</w:t>
            </w: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share—basic</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7.90</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8.41</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7.95</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13.42</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Earnings per share—diluted</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7.88</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8.38</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7.91</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13.36</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5.07</w:t>
            </w: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3.88</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3.70</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3.06</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2.48</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2.255</w:t>
            </w: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8,540</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8,609</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8,686</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7,230</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7,525</w:t>
            </w: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(2,676)</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(3,435)</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(3,411)</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(3,086)</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(3,393)</w:t>
            </w: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(4,902)</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(5,646)</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(5,222)</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(4,146)</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(4,246)</w:t>
            </w: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for share repurchase programs</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(3,705)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(5,804)</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(8,225)</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(4,013)</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(3,105)</w:t>
            </w:r>
          </w:p>
        </w:tc>
      </w:tr>
      <w:tr>
        <w:trPr>
          <w:trHeight w:val="223"/>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$62,398</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$61,673</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$59,147</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$57,806</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$55,718</w:t>
            </w: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obligations (d)</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41,267</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39,194</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34,098</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29,011</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32,146</w:t>
            </w: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due after one year</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25,660</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23,943</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20,925</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16,144</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14,249</w:t>
            </w:r>
          </w:p>
        </w:tc>
      </w:tr>
      <w:tr>
        <w:trPr>
          <w:trHeight w:val="223"/>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shareholders’ equity</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16,958</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18,128</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20,423</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24,856</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19,932</w:t>
            </w: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Data</w:t>
            </w: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Freight revenues (c)</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$18,251</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$20,243</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$21,384</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5"/>
              </w:rPr>
              <w:t>$19,837</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$18,601</w:t>
            </w: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carloads (units) (000)</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7,753</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8,346</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8,908</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8,588</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8,442</w:t>
            </w: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ratio (%) (e)</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59.9</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60.6</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62.7</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61.8</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63.7</w:t>
            </w: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employees (000)</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31.0</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37.5</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42.0</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42.0</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42.9</w:t>
            </w:r>
          </w:p>
        </w:tc>
      </w:tr>
      <w:tr>
        <w:trPr>
          <w:trHeight w:val="223"/>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Ratios (%)</w:t>
            </w: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on average common shareholders’ equity (f)</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30.5</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30.7</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26.4</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47.8</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w:t>
            </w:r>
          </w:p>
        </w:tc>
      </w:tr>
      <w:tr>
        <w:trPr>
          <w:trHeight w:val="20"/>
        </w:trPr>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0" w:lineRule="exact"/>
        <w:rPr>
          <w:sz w:val="20"/>
          <w:szCs w:val="20"/>
          <w:color w:val="auto"/>
        </w:rPr>
      </w:pPr>
    </w:p>
    <w:p>
      <w:pPr>
        <w:ind w:left="540" w:hanging="424"/>
        <w:spacing w:after="0"/>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2020 includes a $278 million non-cash impairment charge related to Brazos yard.</w:t>
      </w:r>
    </w:p>
    <w:p>
      <w:pPr>
        <w:spacing w:after="0" w:line="29" w:lineRule="exact"/>
        <w:rPr>
          <w:rFonts w:ascii="Times New Roman" w:cs="Times New Roman" w:eastAsia="Times New Roman" w:hAnsi="Times New Roman"/>
          <w:sz w:val="18"/>
          <w:szCs w:val="18"/>
          <w:i w:val="1"/>
          <w:iCs w:val="1"/>
          <w:color w:val="auto"/>
        </w:rPr>
      </w:pPr>
    </w:p>
    <w:p>
      <w:pPr>
        <w:ind w:left="540" w:right="200" w:hanging="424"/>
        <w:spacing w:after="0" w:line="250" w:lineRule="auto"/>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2017 includes a $5.9 billion non-cash reduction to income tax expense and $212 million non-cash reduction to operating expenses related to the Tax Cuts and Jobs Act enacted on December 22, 2017.</w:t>
      </w:r>
    </w:p>
    <w:p>
      <w:pPr>
        <w:ind w:left="540" w:right="180" w:hanging="424"/>
        <w:spacing w:after="0" w:line="250" w:lineRule="auto"/>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fuel surcharge revenue of $967 million, $1.6 billion, $1.7 billion, $966 million, and $560 million for 2020, 2019, 2018, 2017, and 2016, respectively, which partially offsets increased operating expenses for fuel. (See further discussion in Management’s Discussion and Analysis of Financial Condition and Results of Operations, Item 7, in the Annual Report on Form 10-K filed February 5, 2021.)</w:t>
      </w:r>
    </w:p>
    <w:p>
      <w:pPr>
        <w:spacing w:after="0" w:line="1"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Long-term obligations is determined as follows: total liabilities less current liabilities.</w:t>
      </w:r>
    </w:p>
    <w:p>
      <w:pPr>
        <w:spacing w:after="0" w:line="9"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Operating ratio is defined as operating expenses divided by operating revenues.</w:t>
      </w:r>
    </w:p>
    <w:p>
      <w:pPr>
        <w:spacing w:after="0" w:line="9"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Return on average common shareholders’ equity is determined as follows: Net income divided by average common shareholders’ equity.</w:t>
      </w:r>
    </w:p>
    <w:p>
      <w:pPr>
        <w:spacing w:after="0" w:line="139" w:lineRule="exact"/>
        <w:rPr>
          <w:rFonts w:ascii="Times New Roman" w:cs="Times New Roman" w:eastAsia="Times New Roman" w:hAnsi="Times New Roman"/>
          <w:sz w:val="18"/>
          <w:szCs w:val="18"/>
          <w:i w:val="1"/>
          <w:iCs w:val="1"/>
          <w:color w:val="auto"/>
        </w:rPr>
      </w:pPr>
    </w:p>
    <w:p>
      <w:pPr>
        <w:ind w:left="5580" w:hanging="106"/>
        <w:spacing w:after="0"/>
        <w:tabs>
          <w:tab w:leader="none" w:pos="55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1140"/>
          </w:cols>
          <w:pgMar w:left="320" w:top="455" w:right="4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EXCHANGE NOTES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Set forth below is a description of the specific terms of the Exchange Notes. This description does not purport to be complete and is subject to, and is qualified in its entirety by reference to, all the provisions of the Indenture (as defined below). The particular provisions of the Indenture referred to below are incorporated by reference in this prospectus. Capitalized terms used in this “Description of the Exchange Notes” that are not defined in this prospectus have the meanings given to them in the Indenture. When used in this section, the terms “Union Pacific”, “we”, “our” and “us” refer solely to Union Pacific Corporation and not to our consolidated subsidiaries. The terms of the Exchange Notes are identical in all material respects to the terms of the Original Notes for which they will be exchanged, except that the Exchange Notes will be issued in a transaction registered under the Securities Act and the transfer restrictions and registration rights relating to such Original Notes, including the right to additional interest in certain circumstances, will not apply to such Exchange Notes.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Original Notes were and the Exchange Notes will be issued under an indenture (the “Indenture”) dated as of April 1, 1999 between Union Pacific and The Bank of New York Mellon Trust Company, N.A., as successor to The Bank of New York Mellon (formerly known as The Bank of New York), as successor to JPMorgan Chase Bank, N.A. (formerly known as The Chase Manhattan Bank), as trustee (the “Trustee”).</w:t>
      </w:r>
    </w:p>
    <w:p>
      <w:pPr>
        <w:spacing w:after="0" w:line="176"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Any Original Notes that remain outstanding after completion of the Exchange Offer, together with the Exchange Notes issued in the Exchange Offer, will be treated as a single series of securities under the Indenture. Each of the Original Notes and the Exchange Notes are initially limited in aggregate principal amount to $1,047,453,000. The Exchange Notes will be issued in fully registered, global form only, in denominations of $1,000 and integral multiples of $1,000 in excess thereof. The Exchange Notes will mature on September 16, 2062. The Exchange Notes will be issued as a series of senior debt securities under the Indenture. The Indenture does not limit the amount of other debt that we may incur. We may, from time to time, without the consent of the holders of the Notes, issue other debt securities under the Indenture in addition to the Exchange Notes as may be authorized from time to time by our board of directors. We may also, from time to time, without the consent of the holders of the Notes, issue additional debt securities having the same ranking and the same interest rate, maturity and other terms as each of the Original Notes or the Exchange Notes. Any additional debt securities having those similar terms, together with the Original Notes or the Exchange Notes, as applicable, will constitute a single series of debt securities under the Indenture if such additional debt securities are fungible with the Notes for U.S. federal income tax purposes.</w:t>
      </w:r>
    </w:p>
    <w:p>
      <w:pPr>
        <w:spacing w:after="0" w:line="194" w:lineRule="exact"/>
        <w:rPr>
          <w:sz w:val="20"/>
          <w:szCs w:val="20"/>
          <w:color w:val="auto"/>
        </w:rPr>
      </w:pPr>
    </w:p>
    <w:p>
      <w:pPr>
        <w:ind w:left="120" w:right="220" w:firstLine="440"/>
        <w:spacing w:after="0" w:line="281" w:lineRule="auto"/>
        <w:rPr>
          <w:sz w:val="20"/>
          <w:szCs w:val="20"/>
          <w:color w:val="auto"/>
        </w:rPr>
      </w:pPr>
      <w:r>
        <w:rPr>
          <w:rFonts w:ascii="Times New Roman" w:cs="Times New Roman" w:eastAsia="Times New Roman" w:hAnsi="Times New Roman"/>
          <w:sz w:val="17"/>
          <w:szCs w:val="17"/>
          <w:color w:val="auto"/>
        </w:rPr>
        <w:t>The Exchange Notes will bear interest at the rate of 2.973% per annum from the most recent interest payment date to which interest on the Original Notes has been paid or, if no interest has been paid on the Original Notes, from September 16, 2020. Accrued and unpaid interest will be payable semiannually on March 16 and September 16 of each year, beginning on March 16, 2021, to the persons in whose names the Exchange Notes are registered at the close of business on the immediately preceding March 1 and September 1, respectively, whether or not that day is a business day.</w:t>
      </w:r>
    </w:p>
    <w:p>
      <w:pPr>
        <w:spacing w:after="0" w:line="162" w:lineRule="exact"/>
        <w:rPr>
          <w:sz w:val="20"/>
          <w:szCs w:val="20"/>
          <w:color w:val="auto"/>
        </w:rPr>
      </w:pPr>
    </w:p>
    <w:p>
      <w:pPr>
        <w:ind w:left="120" w:right="6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Exchange Notes will be unsecured obligations of Union Pacific and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other unsecured and unsubordinated indebtedness of Union Pacific.</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Exchange Notes do not provide for any sinking fund.</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Other than the limitation on liens and the change of control repurchase event described below, the Indenture and the Exchange Notes do not contain any provisions that may afford you protection in the event of a highly leveraged transaction or other transaction that may occur in connection with a change of control of Union Pacific or any subsidiary.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120"/>
          </w:cols>
          <w:pgMar w:left="320" w:top="455" w:right="4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 of the Exchange Notes; Holding Company Structure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Exchange Notes will be our direct, unsecured unsubordinated obligations and will rank on a parity in right of payment with all of our other unsecured and unsubordinated indebtedness. As a holding company, we have no material assets other than our ownership of the common stock of our subsidiaries. We will rely primarily upon distributions and other amounts received from our subsidiaries to meet the payment obligations under the Exchange Notes. Our subsidiaries are separate and distinct legal entities and have no obligation, contingent or otherwise, to pay amounts due under the Exchange Notes or otherwise to make any funds available to us. This includes the payment of dividends or other distributions or the extension of loans or advances. Further, the ability of our subsidiaries to make any payments to us would be dependent upon the terms of any credit facilities or other debt instruments of the subsidiaries and upon the subsidiaries’ earnings, which are subject to various business and other risks. In a bankruptcy or insolvency proceeding, claims of holders of the Exchange Notes would be satisfied solely from our equity interests in our subsidiaries remaining after the satisfaction of claims of creditors of the subsidiaries. Accordingly, the Exchange Notes will be effectively subordinated to existing and future liabilities of our subsidiaries to their respective creditors.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Liens of Domestic Subsidiaries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Indenture provides that we will not, nor will we permit any Subsidiary to, create, assume, incur or suffer to exist any Mortgage upon any stock or indebtedness, whether owned on the date of the Indenture or thereafter acquired, of any Domestic Subsidiary, to secure any debt of the Company or any other person (other than the debt securities under the Indenture), without in any such case making effective provision whereby all the outstanding debt securities shall be directly secured equally and ratably with such debt. This restriction does not include any Mortgage upon stock or indebtedness of a corporation existing at the time such corporation becomes a Domestic Subsidiary or at the time stock or indebtedness of a Domestic Subsidiary is acquired and any extension, renewal or replacement (or successive extensions, renewals or replacements) in whole or in part of any such Mortgage;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principal amount of the debt secured thereby shall not exceed the principal amount of debt so secured at the time of such extension, renewal or replacement;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such Mortgage shall be limited to all or such part of the stock or indebtedness which secured the Mortgage so extended, renewed or replaced. (Section 1006)</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respect to the foregoing and pursuant to Section 101 of the Indenture:</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means indebtedness for money borrowed.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“Domestic Subsidiary” </w:t>
      </w:r>
      <w:r>
        <w:rPr>
          <w:rFonts w:ascii="Times New Roman" w:cs="Times New Roman" w:eastAsia="Times New Roman" w:hAnsi="Times New Roman"/>
          <w:sz w:val="18"/>
          <w:szCs w:val="18"/>
          <w:color w:val="auto"/>
        </w:rPr>
        <w:t>means a Subsidiary incorporated or conducting its principal operations within the United States or any State thereof.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“Mortgage” </w:t>
      </w:r>
      <w:r>
        <w:rPr>
          <w:rFonts w:ascii="Times New Roman" w:cs="Times New Roman" w:eastAsia="Times New Roman" w:hAnsi="Times New Roman"/>
          <w:sz w:val="18"/>
          <w:szCs w:val="18"/>
          <w:color w:val="auto"/>
        </w:rPr>
        <w:t>means any mortgage, pledge, lien, encumbrance, charge or security interest of any kind.</w:t>
      </w:r>
    </w:p>
    <w:p>
      <w:pPr>
        <w:spacing w:after="0" w:line="225" w:lineRule="exact"/>
        <w:rPr>
          <w:sz w:val="20"/>
          <w:szCs w:val="20"/>
          <w:color w:val="auto"/>
        </w:rPr>
      </w:pPr>
    </w:p>
    <w:p>
      <w:pPr>
        <w:ind w:left="120"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when used with respect to us, means any corporation of which a majority of the outstanding voting stock is owned,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by us or by one or more of our other subsidiaries, or both.</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At any time and from time to time, the Exchange Notes will be redeemable, in whole or in part, at our option, at a redemption price equal to the greater of (i) 100% of the principal amount of the Exchange Notes to be redeemed and (ii) the sum of the present values of the remaining scheduled payments of principal and interest on the Exchange Notes to be redeemed that would be due if such series of notes matured on the Par Call Date (exclusive of interest accrued to the date of redemption), discounted to the date of redemption on a semi-annual basis (assuming a 360-day year consisting of twelve 30-day months) at the then-current Treasury Rate, plus 25 basis points, plus accrued and unpaid interest on the principal amount being redeemed to the date of redemption;</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320" w:top="455" w:right="5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10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we redeem the Exchange Notes on or after the Par Call Date, the redemption price will be equal to 100% of the principal amount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Notes to be redeemed, plus accrued and unpaid interest on the principal amount being redeemed to the date of redemption.</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foregoing, the following definitions are applicable:</w:t>
      </w:r>
    </w:p>
    <w:p>
      <w:pPr>
        <w:spacing w:after="0" w:line="22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“Treasury Rate” </w:t>
      </w:r>
      <w:r>
        <w:rPr>
          <w:rFonts w:ascii="Times New Roman" w:cs="Times New Roman" w:eastAsia="Times New Roman" w:hAnsi="Times New Roman"/>
          <w:sz w:val="18"/>
          <w:szCs w:val="18"/>
          <w:color w:val="auto"/>
        </w:rPr>
        <w:t>means, with respect to the Exchange Notes, on any redemption date, the rate per annum equal to the semi-annual equivalent yield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maturity of the Comparable Treasury Issue, calculated using a price for the Comparable Treasury Issue (expressed as a percentage of its principal amount) equal to the Comparable Treasury Price for such redemption date. The Treasury Rate shall be calculated on the third Business Day preceding the redemption date.</w:t>
      </w:r>
    </w:p>
    <w:p>
      <w:pPr>
        <w:spacing w:after="0" w:line="180" w:lineRule="exact"/>
        <w:rPr>
          <w:sz w:val="20"/>
          <w:szCs w:val="20"/>
          <w:color w:val="auto"/>
        </w:rPr>
      </w:pPr>
    </w:p>
    <w:p>
      <w:pPr>
        <w:ind w:left="120" w:right="8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“Business Day” </w:t>
      </w:r>
      <w:r>
        <w:rPr>
          <w:rFonts w:ascii="Times New Roman" w:cs="Times New Roman" w:eastAsia="Times New Roman" w:hAnsi="Times New Roman"/>
          <w:sz w:val="18"/>
          <w:szCs w:val="18"/>
          <w:color w:val="auto"/>
        </w:rPr>
        <w:t>means any calendar day that is not a Saturday, Sunday or legal holiday in New York, New York and on which banking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institutions and trust companies are open for business in New York, New York.</w:t>
      </w:r>
    </w:p>
    <w:p>
      <w:pPr>
        <w:spacing w:after="0" w:line="15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“Comparable Treasury Issue” </w:t>
      </w:r>
      <w:r>
        <w:rPr>
          <w:rFonts w:ascii="Times New Roman" w:cs="Times New Roman" w:eastAsia="Times New Roman" w:hAnsi="Times New Roman"/>
          <w:sz w:val="18"/>
          <w:szCs w:val="18"/>
          <w:color w:val="auto"/>
        </w:rPr>
        <w:t>means the United States Treasury security selected by an Independent Investment Banker as having a maturity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to the remaining term of the Exchange Notes to be redeemed (assuming, for this purpose, that the Exchange Notes matured on the Par Call Date) that would be utilized, at the time of selection and in accordance with customary financial practice, in pricing new issues of corporate debt securities of comparable maturity to the remaining term of the Exchange Notes..</w:t>
      </w:r>
    </w:p>
    <w:p>
      <w:pPr>
        <w:spacing w:after="0" w:line="180"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“Comparable Treasury Price” </w:t>
      </w:r>
      <w:r>
        <w:rPr>
          <w:rFonts w:ascii="Times New Roman" w:cs="Times New Roman" w:eastAsia="Times New Roman" w:hAnsi="Times New Roman"/>
          <w:sz w:val="18"/>
          <w:szCs w:val="18"/>
          <w:color w:val="auto"/>
        </w:rPr>
        <w:t>means, with respect to any redemption date, the average of the Reference Treasury Dealer Quotations for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date.</w:t>
      </w:r>
    </w:p>
    <w:p>
      <w:pPr>
        <w:spacing w:after="0" w:line="158" w:lineRule="exact"/>
        <w:rPr>
          <w:sz w:val="20"/>
          <w:szCs w:val="20"/>
          <w:color w:val="auto"/>
        </w:rPr>
      </w:pPr>
    </w:p>
    <w:p>
      <w:pPr>
        <w:ind w:left="120" w:right="3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“Independent Investment Banker” </w:t>
      </w:r>
      <w:r>
        <w:rPr>
          <w:rFonts w:ascii="Times New Roman" w:cs="Times New Roman" w:eastAsia="Times New Roman" w:hAnsi="Times New Roman"/>
          <w:sz w:val="18"/>
          <w:szCs w:val="18"/>
          <w:color w:val="auto"/>
        </w:rPr>
        <w:t>means, each of Credit Suisse Securities (USA) LLC and Wells Fargo Securities, LLC or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successors as appointed by us, or, if such firms are unwilling or unable to select the Comparable Treasury Issue, an independent investment banking institution of national standing appointed by us.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means March 16, 2062.</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“Reference Treasury Dealer” </w:t>
      </w:r>
      <w:r>
        <w:rPr>
          <w:rFonts w:ascii="Times New Roman" w:cs="Times New Roman" w:eastAsia="Times New Roman" w:hAnsi="Times New Roman"/>
          <w:sz w:val="18"/>
          <w:szCs w:val="18"/>
          <w:color w:val="auto"/>
        </w:rPr>
        <w:t>means (i) each of Credit Suisse Securities (USA) LLC and Wells Fargo Securities, LLC and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successors and affiliates, provided, however, that if any of the foregoing is not at the time a primary U.S. Government securities dealer in New York City (a “Primary Treasury Dealer”), we will substitute therefor another Primary Treasury Dealer and (ii) any other Primary Treasury Dealer selected by the Independent Investment Banker after consultation with us.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“Reference Treasury Dealer Quotations” </w:t>
      </w:r>
      <w:r>
        <w:rPr>
          <w:rFonts w:ascii="Times New Roman" w:cs="Times New Roman" w:eastAsia="Times New Roman" w:hAnsi="Times New Roman"/>
          <w:sz w:val="18"/>
          <w:szCs w:val="18"/>
          <w:color w:val="auto"/>
        </w:rPr>
        <w:t>means, with respect to each Reference Treasury Dealer and any redemption date, the average,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Independent Investment Banker, of the bid and asked prices for the related Comparable Treasury Issue (expressed in each case as a percentage of its principal amount) quoted in writing to the Independent Investment Banker by such Reference Treasury Dealer at 5:00 p.m., New York City time, on the third Business Day preceding such redemption date.</w:t>
      </w:r>
    </w:p>
    <w:p>
      <w:pPr>
        <w:spacing w:after="0" w:line="18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Notice of the redemption will be transmitted to holders of the Exchange Notes to be redeemed at least 30 and not more than 60 days prior to the date fixed for redemption. If we elect to redeem fewer than all of the Exchange Notes are to be redeemed, the Trustee will select, not more than 60 days prior to the redemption date, the particular Exchange Notes or portions thereof for redemption from the outstanding Exchange Notes not previously called by such method as the Trustee deems fair and appropriate; provided that, in the case of Exchange Notes held as a global Exchange Note such Exchange Notes to be redeemed shall be selected in accordance with the applicable policies and procedures of DTC.</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 of Control Repurchase Event</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a change of control repurchase event occurs with respect to the Exchange Notes, unless we have exercised our right to redeem the Exchange Notes as described above, we will be required to make an offer to each holder of the Exchange Notes to repurchase all or any part (in integral multiples of $1,000) of that holder’s Exchange Notes at a repurchase price in cash equal to 101% of the aggregate principal amount of such Exchange Notes repurchased plus any accrued and unpaid interest on the Exchange Notes repurchased to, but not including, the date of repurchase. Within 30 days following a change of control repurchase event with respect to the Exchange Notes or, at our option, prior to a change of control, but after the public announcement of the change of control, we will deliver a notice to each holder of the Exchange Notes, with a copy to the Trustee, describing the transaction or transactions that constitute or may constitute the change of control repurchase event and offering to repurchase Exchange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a change of control repurchase event occurring as to the Exchange Notes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Exchange Notes as a result of a change of control repurchase event. To the extent that the provisions of any securities laws or regulations conflict with the change of control repurchase event provisions of the Exchange Notes, we will comply with the applicable securities laws and regulations and will not be deemed to have breached our obligations under the change of control repurchase event provisions of the Exchange Notes by virtue of such conflict.</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the repurchase date following a change of control repurchase event with respect to the Exchange Notes, we will, to the extent lawful:</w:t>
      </w:r>
    </w:p>
    <w:p>
      <w:pPr>
        <w:spacing w:after="0" w:line="117" w:lineRule="exact"/>
        <w:rPr>
          <w:sz w:val="20"/>
          <w:szCs w:val="20"/>
          <w:color w:val="auto"/>
        </w:rPr>
      </w:pPr>
    </w:p>
    <w:p>
      <w:pPr>
        <w:ind w:left="940" w:hanging="38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Exchange Notes or portions of Exchange Notes validly tendered and not validly withdrawn pursuant to our offer;</w:t>
      </w:r>
    </w:p>
    <w:p>
      <w:pPr>
        <w:spacing w:after="0" w:line="225" w:lineRule="exact"/>
        <w:rPr>
          <w:rFonts w:ascii="Times New Roman" w:cs="Times New Roman" w:eastAsia="Times New Roman" w:hAnsi="Times New Roman"/>
          <w:sz w:val="18"/>
          <w:szCs w:val="18"/>
          <w:color w:val="auto"/>
        </w:rPr>
      </w:pPr>
    </w:p>
    <w:p>
      <w:pPr>
        <w:ind w:left="120" w:right="280" w:firstLine="436"/>
        <w:spacing w:after="0" w:line="282" w:lineRule="auto"/>
        <w:tabs>
          <w:tab w:leader="none" w:pos="95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Trustee an amount equal to the aggregate purchase price in respect of all Exchange Notes or portions of Exchange Notes validly tendered and not validly withdrawn; and</w:t>
      </w:r>
    </w:p>
    <w:p>
      <w:pPr>
        <w:spacing w:after="0" w:line="161" w:lineRule="exact"/>
        <w:rPr>
          <w:rFonts w:ascii="Times New Roman" w:cs="Times New Roman" w:eastAsia="Times New Roman" w:hAnsi="Times New Roman"/>
          <w:sz w:val="18"/>
          <w:szCs w:val="18"/>
          <w:color w:val="auto"/>
        </w:rPr>
      </w:pPr>
    </w:p>
    <w:p>
      <w:pPr>
        <w:ind w:left="120" w:right="180" w:firstLine="436"/>
        <w:spacing w:after="0" w:line="266" w:lineRule="auto"/>
        <w:tabs>
          <w:tab w:leader="none" w:pos="95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Exchange Notes properly accepted, together with an officers’ certificate stating the aggregate principal amount of Exchange Notes being purchased by us and that all conditions precedent provided for in the Indenture to the repurchase offer and to the repurchase by us of Exchange Notes pursuant to the repurchase offer have been complied with.</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paying agent will promptly deliver to each holder of Exchange Notes validly tendered and not validly withdrawn the purchase price for the Exchange Notes, and the Trustee will promptly authenticate and deliver (or cause to be transferred by book-entry) to each holder a note equal in principal amount to any unpurchased portion of any Exchange Notes surrendered; provided that each such note will be in a principal amount of an integral multiple of $1,000.</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not be required to make an offer to repurchase the Exchange Notes upon a change of control repurchase event if a third party makes such an offer in the manner, at the times and otherwise in compliance with the requirements for an offer made by us and such third party purchases all Exchange Notes validly tendered and not validly withdrawn under its offer.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foregoing discussion of a repurchase at the option of holders, the following definitions are applicable:</w:t>
      </w:r>
    </w:p>
    <w:p>
      <w:pPr>
        <w:spacing w:after="0" w:line="115"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“below investment grade ratings event” </w:t>
      </w:r>
      <w:r>
        <w:rPr>
          <w:rFonts w:ascii="Times New Roman" w:cs="Times New Roman" w:eastAsia="Times New Roman" w:hAnsi="Times New Roman"/>
          <w:sz w:val="18"/>
          <w:szCs w:val="18"/>
          <w:color w:val="auto"/>
        </w:rPr>
        <w:t>means, with respect to the Exchange Notes, on any day within the 60-day period (which period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extended so long as the rating of the Exchange Notes is under publicly</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announced consideration for a possible downgrade by any of the rating agencies) after the earlier of (1) the occurrence of a change of control; or</w:t>
      </w:r>
    </w:p>
    <w:p>
      <w:pPr>
        <w:spacing w:after="0" w:line="27" w:lineRule="exact"/>
        <w:rPr>
          <w:sz w:val="20"/>
          <w:szCs w:val="20"/>
          <w:color w:val="auto"/>
        </w:rPr>
      </w:pPr>
    </w:p>
    <w:p>
      <w:pPr>
        <w:ind w:left="120" w:right="20" w:hanging="4"/>
        <w:spacing w:after="0" w:line="252" w:lineRule="auto"/>
        <w:tabs>
          <w:tab w:leader="none" w:pos="3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notice of the occurrence of a change of control or the intention by Union Pacific to effect a change of control, the Exchange Notes are rated below investment grade by each of the rating agencies. Notwithstanding the foregoing, a below investment grade ratings event otherwise arising by virtue of a particular reduction in rating shall not be deemed to have occurred in respect of a particular change of control (and thus shall not be deemed a below investment grade ratings event for purposes of the definition of change of control repurchase event hereunder) if the rating agencies making the reduction in rating to which this definition would otherwise apply do not announce or publicly confirm or inform the Trustee in writing at our request that the reduction was the result, in whole or in part, of any event or circumstance comprised of or arising as a result of, or in respect of, the applicable change of control (whether or not the applicable change of control shall have occurred at the time of the ratings event).</w:t>
      </w:r>
    </w:p>
    <w:p>
      <w:pPr>
        <w:spacing w:after="0" w:line="18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 of control” </w:t>
      </w:r>
      <w:r>
        <w:rPr>
          <w:rFonts w:ascii="Times New Roman" w:cs="Times New Roman" w:eastAsia="Times New Roman" w:hAnsi="Times New Roman"/>
          <w:sz w:val="18"/>
          <w:szCs w:val="18"/>
          <w:color w:val="auto"/>
        </w:rPr>
        <w:t>means the consummation of any transaction (including, without limitation, any merger or consolidation) the result of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any “person” or “group” (as those terms are used in Section 13(d)(3) of the Exchange Act), other than Union Pacific or our subsidiaries, becomes the beneficial owner (as defined in Rules 13d-3 and 13d-5 under the Exchange Act), directly or indirectly, of more than 50% of the combined voting power of our voting stock or other voting stock into which our voting stock is reclassified, consolidated, exchanged or changed measured by voting power rather than number of shares.</w:t>
      </w:r>
    </w:p>
    <w:p>
      <w:pPr>
        <w:spacing w:after="0" w:line="183"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 of control repurchase event” </w:t>
      </w:r>
      <w:r>
        <w:rPr>
          <w:rFonts w:ascii="Times New Roman" w:cs="Times New Roman" w:eastAsia="Times New Roman" w:hAnsi="Times New Roman"/>
          <w:sz w:val="18"/>
          <w:szCs w:val="18"/>
          <w:color w:val="auto"/>
        </w:rPr>
        <w:t>means the occurrence of both a change of control and a below investment grade ratings event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Exchange Notes.</w:t>
      </w:r>
    </w:p>
    <w:p>
      <w:pPr>
        <w:spacing w:after="0" w:line="158"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 grade” </w:t>
      </w:r>
      <w:r>
        <w:rPr>
          <w:rFonts w:ascii="Times New Roman" w:cs="Times New Roman" w:eastAsia="Times New Roman" w:hAnsi="Times New Roman"/>
          <w:sz w:val="18"/>
          <w:szCs w:val="18"/>
          <w:color w:val="auto"/>
        </w:rPr>
        <w:t>means a rating of Baa3 or better by Moody’s (or its equivalent under any successor rating categories of Moody’s); a rating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BBB- or better by S&amp;P (or its equivalent under any successor rating categories of S&amp;P); and the equivalent investment grade credit rating from any additional rating agency or rating agencies selected by us.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“Moody’s” </w:t>
      </w:r>
      <w:r>
        <w:rPr>
          <w:rFonts w:ascii="Times New Roman" w:cs="Times New Roman" w:eastAsia="Times New Roman" w:hAnsi="Times New Roman"/>
          <w:sz w:val="18"/>
          <w:szCs w:val="18"/>
          <w:color w:val="auto"/>
        </w:rPr>
        <w:t>means Moody’s Investors Service, Inc. and its successors.</w:t>
      </w:r>
    </w:p>
    <w:p>
      <w:pPr>
        <w:spacing w:after="0" w:line="225"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“rating agency” </w:t>
      </w:r>
      <w:r>
        <w:rPr>
          <w:rFonts w:ascii="Times New Roman" w:cs="Times New Roman" w:eastAsia="Times New Roman" w:hAnsi="Times New Roman"/>
          <w:sz w:val="18"/>
          <w:szCs w:val="18"/>
          <w:color w:val="auto"/>
        </w:rPr>
        <w:t>means (1) each of Moody’s and S&amp;P; and (2) if either of Moody’s or S&amp;P ceases to rate the Exchange Notes or fails to make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rating of the Exchange Notes publicly available for reasons outside of our control, a “nationally recognized statistical rating organization” within the meaning of Rule 17g-1 under the Exchange Act, selected by us (as certified by a resolution of our board of directors) as a replacement agency for Moody’s or S&amp;P, or both of them, as the case may be.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“S&amp;P” </w:t>
      </w:r>
      <w:r>
        <w:rPr>
          <w:rFonts w:ascii="Times New Roman" w:cs="Times New Roman" w:eastAsia="Times New Roman" w:hAnsi="Times New Roman"/>
          <w:sz w:val="18"/>
          <w:szCs w:val="18"/>
          <w:color w:val="auto"/>
        </w:rPr>
        <w:t>means S&amp;P Global Ratings, a division of S&amp;P Global, Inc. and its successors</w:t>
      </w:r>
    </w:p>
    <w:p>
      <w:pPr>
        <w:spacing w:after="0" w:line="225"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“voting stock” </w:t>
      </w:r>
      <w:r>
        <w:rPr>
          <w:rFonts w:ascii="Times New Roman" w:cs="Times New Roman" w:eastAsia="Times New Roman" w:hAnsi="Times New Roman"/>
          <w:sz w:val="18"/>
          <w:szCs w:val="18"/>
          <w:color w:val="auto"/>
        </w:rPr>
        <w:t>of any specified “person” (as that term is used in Section 13(d)(3) of the Exchange Act) as of any date means the capital stock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person that is at the time entitled to vote generally in the election of the board of directors of such person.</w:t>
      </w:r>
    </w:p>
    <w:p>
      <w:pPr>
        <w:spacing w:after="0" w:line="16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change of control repurchase event feature of the Exchange Notes may in certain circumstances make more difficult or discourage a sale or takeover of Union Pacific and, thus, the removal of incumbent management. We could, in the future, enter into certain transactions, including asset sales, acquisitions, refinancings or other recapitalizations, that would not constitute a change of control repurchase event under the Exchange Notes, but that could increase the amount of indebtedness outstanding at such time or otherwise affect our capital structure or credit ratings on the Exchange Notes.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not have sufficient funds to repurchase all of the Exchange Notes upon a change of control repurchase event.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Conveyance or Transfer</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we may not consolidate with or merge into any other corporation or convey or transfer our properties and assets substantially as an entirety to any person, unless:</w:t>
      </w:r>
    </w:p>
    <w:p>
      <w:pPr>
        <w:spacing w:after="0" w:line="67" w:lineRule="exact"/>
        <w:rPr>
          <w:sz w:val="20"/>
          <w:szCs w:val="20"/>
          <w:color w:val="auto"/>
        </w:rPr>
      </w:pPr>
    </w:p>
    <w:p>
      <w:pPr>
        <w:ind w:left="1080" w:right="2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is a corporation organized and existing under the laws of the United States or any state thereof or the District of Columbia, and expressly assumes by a supplemental indenture the due and punctual payment of the principal of, any premium on, and any interest on all the outstanding debt securities under the Indenture and the performance of every covenant in the Indenture to be performed or observed by us;</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(as defined below), and no event which, after notice or lapse of time or both, would become an Event of Default, shall have happened and be continuing; and</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officers’ certificate and an opinion of counsel, each stating that such consolidation, merger, conveyance or transfer and such supplemental indenture comply with the foregoing provisions relating to such transaction and that all conditions precedent relating to such transaction have been complied with. (Section 801)</w:t>
      </w:r>
    </w:p>
    <w:p>
      <w:pPr>
        <w:spacing w:after="0" w:line="176"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In case of any such consolidation, merger, conveyance or transfer, such successor corporation will succeed to and be substituted for us as obligor on the debt securities, and may exercise all of our rights and powers, with the same effect as if it had been named in the Indenture as us. (Section 802)</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events are defined in the Indenture as “Events of Default” with respect to the Exchange Notes:</w:t>
      </w:r>
    </w:p>
    <w:p>
      <w:pPr>
        <w:spacing w:after="0" w:line="117" w:lineRule="exact"/>
        <w:rPr>
          <w:sz w:val="20"/>
          <w:szCs w:val="20"/>
          <w:color w:val="auto"/>
        </w:rPr>
      </w:pPr>
    </w:p>
    <w:p>
      <w:pPr>
        <w:ind w:left="880" w:hanging="324"/>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payment of any interest on the Exchange Notes;</w:t>
      </w:r>
    </w:p>
    <w:p>
      <w:pPr>
        <w:spacing w:after="0" w:line="225" w:lineRule="exact"/>
        <w:rPr>
          <w:rFonts w:ascii="Times New Roman" w:cs="Times New Roman" w:eastAsia="Times New Roman" w:hAnsi="Times New Roman"/>
          <w:sz w:val="18"/>
          <w:szCs w:val="18"/>
          <w:color w:val="auto"/>
        </w:rPr>
      </w:pPr>
    </w:p>
    <w:p>
      <w:pPr>
        <w:ind w:left="880" w:hanging="324"/>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principal of or any premium on the Exchange Notes at maturity;</w:t>
      </w:r>
    </w:p>
    <w:p>
      <w:pPr>
        <w:spacing w:after="0" w:line="225" w:lineRule="exact"/>
        <w:rPr>
          <w:rFonts w:ascii="Times New Roman" w:cs="Times New Roman" w:eastAsia="Times New Roman" w:hAnsi="Times New Roman"/>
          <w:sz w:val="18"/>
          <w:szCs w:val="18"/>
          <w:color w:val="auto"/>
        </w:rPr>
      </w:pPr>
    </w:p>
    <w:p>
      <w:pPr>
        <w:ind w:left="880" w:hanging="324"/>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any sinking or purchase fund or analogous obligation of the Exchange Notes;</w:t>
      </w:r>
    </w:p>
    <w:p>
      <w:pPr>
        <w:spacing w:after="0" w:line="225" w:lineRule="exact"/>
        <w:rPr>
          <w:rFonts w:ascii="Times New Roman" w:cs="Times New Roman" w:eastAsia="Times New Roman" w:hAnsi="Times New Roman"/>
          <w:sz w:val="18"/>
          <w:szCs w:val="18"/>
          <w:color w:val="auto"/>
        </w:rPr>
      </w:pPr>
    </w:p>
    <w:p>
      <w:pPr>
        <w:ind w:left="120" w:right="20" w:firstLine="436"/>
        <w:spacing w:after="0" w:line="266" w:lineRule="auto"/>
        <w:tabs>
          <w:tab w:leader="none" w:pos="8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by us in the performance, or breach, of any other covenant or warranty contained in the Indenture for the benefit of the Exchange Notes which shall not have been remedied for a period of 90 days after we receive notice as specified in the Indenture from the Trustee or holders of not less than 25% in aggregate principal amount of Exchange Notes then outstanding; and</w:t>
      </w:r>
    </w:p>
    <w:p>
      <w:pPr>
        <w:spacing w:after="0" w:line="175" w:lineRule="exact"/>
        <w:rPr>
          <w:rFonts w:ascii="Times New Roman" w:cs="Times New Roman" w:eastAsia="Times New Roman" w:hAnsi="Times New Roman"/>
          <w:sz w:val="18"/>
          <w:szCs w:val="18"/>
          <w:color w:val="auto"/>
        </w:rPr>
      </w:pPr>
    </w:p>
    <w:p>
      <w:pPr>
        <w:ind w:left="880" w:hanging="324"/>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our bankruptcy, insolvency and reorganization. (Section 501)</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 default under other indebtedness of the Company will not be a default under the Indenture and a default under one series of debt securities will not necessarily be a default under another series.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Indenture provides that if an Event of Default described in clause (1), (2), (3) or (4) above (if the Event of Default under clause (4) is with respect to less than all series of debt securities then outstanding under the Indenture) shall have occurred and is continuing with respect to the Exchange Notes, either the Trustee or the holders of not less than 25% in aggregate principal amount of the Exchange Notes then outstanding may declare the principal amount of all outstanding Exchange Notes and the interest accrued thereon, if any, to be due and payable immediately. The Indenture provides that if an Event of Default described in clause (4) or (5) above (if the Event of Default under clause (4) is with respect to all series of debt securities then outstanding under the Indenture) shall have occurred and be continuing, either the Trustee or the holders of at least 25% in aggregate principal amount of all debt securities then outstanding under the Indenture, treated as one class, may declare the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principal amount, or, if any series are original issue discount securities, such portion of the principal amount as specified in such series, of all debt securities then outstanding and the interest accrued thereon, if any, to be due and payable immediately. Upon certain conditions, such declarations may be annulled and past defaults may be waived by the holders of at least a majority in aggregate principal amount of the debt securities of such series then outstanding on behalf of the holders of all debt securities. However, defaults in the payment of principal of, any premium on, or any interest on such debt may not be waived. (Sections 502 and 513)</w:t>
      </w:r>
    </w:p>
    <w:p>
      <w:pPr>
        <w:spacing w:after="0" w:line="18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Under the Indenture, the Trustee must give notice to the holders of the Exchange Notes of all uncured defaults known to it with respect to the Exchange Notes within 90 days after such a default occurs (the term default to include the events specified above without notice or grace periods). However, except in the case of default in the payment of principal of, any premium on, or any interest on any of the Exchange Notes, or default in the payment of any sinking or purchase fund installment or analogous obligations, the Trustee shall be protected in withholding such notice if it in good faith determines that the withholding of such notice is in the interests of the holders of the Exchange Notes. (Section 602)</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holder of the Exchange Notes may not institute any action under the Indenture unless:</w:t>
      </w:r>
    </w:p>
    <w:p>
      <w:pPr>
        <w:spacing w:after="0" w:line="13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shall have given the Trustee written notice of a continuing Event of Default with respect to the Exchange Notes;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aggregate principal amount of the Exchange Notes then outstanding shall have requested in writing the Trustee to institute proceedings in respect of such Event of Default;</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shall have offered the Trustee such reasonable indemnity against the costs, expenses and liabilities to be incurred in compliance with such request;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failed to institute an action for 60 days thereafter;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inconsistent direction shall have been given to the Trustee during such 60-day period by the holders of a majority in aggregate principal amount of the Exchange Notes. (Section 507)</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Exchange Notes then outstanding will have the right, subject to certain limitations, to direct the time, method and place of conducting any proceeding for any remedy available to the Trustee or exercising any trust or power conferred on the Trustee with respect to the Exchange Notes. (Section 512) The Indenture provides that, in case an Event of Default shall occur and be continuing, the Trustee, in exercising its rights and powers under the Indenture, will be required to use the degree of care and skill of a prudent man under the circumstances in the conduct of his own affairs. (Section 601) The Indenture further provides that the Trustee shall not be required to expend or risk its own funds or otherwise incur any financial liability in the performance of any of its duties under the Indenture unless it has reasonable grounds for believing that repayment of such funds or adequate indemnity against such risk or liability is reasonably assured to it. (Section 601)</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and the Trustee may, without the consent of the holders of the Exchange Notes, enter into one or more supplemental indentures for, among others, one or more of the following purposes, provided that in the case of clauses (2), (3), (4) and (6), the interests of the holders of the Exchange Notes would not be adversely affected:</w:t>
      </w:r>
    </w:p>
    <w:p>
      <w:pPr>
        <w:spacing w:after="0" w:line="68" w:lineRule="exact"/>
        <w:rPr>
          <w:sz w:val="20"/>
          <w:szCs w:val="20"/>
          <w:color w:val="auto"/>
        </w:rPr>
      </w:pPr>
    </w:p>
    <w:p>
      <w:pPr>
        <w:ind w:left="120" w:right="140" w:firstLine="436"/>
        <w:spacing w:after="0" w:line="282" w:lineRule="auto"/>
        <w:tabs>
          <w:tab w:leader="none" w:pos="8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to us, and the assumption by such successor of our obligations under the Indenture and the Exchange Notes;</w:t>
      </w:r>
    </w:p>
    <w:p>
      <w:pPr>
        <w:spacing w:after="0" w:line="161" w:lineRule="exact"/>
        <w:rPr>
          <w:rFonts w:ascii="Times New Roman" w:cs="Times New Roman" w:eastAsia="Times New Roman" w:hAnsi="Times New Roman"/>
          <w:sz w:val="18"/>
          <w:szCs w:val="18"/>
          <w:color w:val="auto"/>
        </w:rPr>
      </w:pPr>
    </w:p>
    <w:p>
      <w:pPr>
        <w:ind w:left="880" w:hanging="324"/>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by us, or surrender any of our rights conferred by the Indenture, for the benefit of the holders of the Exchange Notes;</w:t>
      </w:r>
    </w:p>
    <w:p>
      <w:pPr>
        <w:spacing w:after="0" w:line="225" w:lineRule="exact"/>
        <w:rPr>
          <w:rFonts w:ascii="Times New Roman" w:cs="Times New Roman" w:eastAsia="Times New Roman" w:hAnsi="Times New Roman"/>
          <w:sz w:val="18"/>
          <w:szCs w:val="18"/>
          <w:color w:val="auto"/>
        </w:rPr>
      </w:pPr>
    </w:p>
    <w:p>
      <w:pPr>
        <w:ind w:left="120" w:right="160" w:firstLine="436"/>
        <w:spacing w:after="0" w:line="312" w:lineRule="auto"/>
        <w:tabs>
          <w:tab w:leader="none" w:pos="87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to correct or supplement any provision that may be defective or inconsistent with any other provision, or to make any other provision with respect to matters or questions arising under the Indenture, which shall not be inconsistent with the provisions of the Indenture;</w:t>
      </w:r>
    </w:p>
    <w:p>
      <w:pPr>
        <w:spacing w:after="0" w:line="72" w:lineRule="exact"/>
        <w:rPr>
          <w:rFonts w:ascii="Times New Roman" w:cs="Times New Roman" w:eastAsia="Times New Roman" w:hAnsi="Times New Roman"/>
          <w:sz w:val="17"/>
          <w:szCs w:val="17"/>
          <w:color w:val="auto"/>
        </w:rPr>
      </w:pPr>
    </w:p>
    <w:p>
      <w:pPr>
        <w:ind w:left="5540" w:hanging="111"/>
        <w:spacing w:after="0"/>
        <w:tabs>
          <w:tab w:leader="none" w:pos="5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ectPr>
          <w:pgSz w:w="11900" w:h="16838" w:orient="portrait"/>
          <w:cols w:equalWidth="0" w:num="1">
            <w:col w:w="11120"/>
          </w:cols>
          <w:pgMar w:left="32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880" w:hanging="324"/>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any series of debt securities, including any subordinated securities;</w:t>
      </w:r>
    </w:p>
    <w:p>
      <w:pPr>
        <w:spacing w:after="0" w:line="225" w:lineRule="exact"/>
        <w:rPr>
          <w:rFonts w:ascii="Times New Roman" w:cs="Times New Roman" w:eastAsia="Times New Roman" w:hAnsi="Times New Roman"/>
          <w:sz w:val="18"/>
          <w:szCs w:val="18"/>
          <w:color w:val="auto"/>
        </w:rPr>
      </w:pPr>
    </w:p>
    <w:p>
      <w:pPr>
        <w:ind w:left="120" w:right="360" w:firstLine="436"/>
        <w:spacing w:after="0" w:line="282" w:lineRule="auto"/>
        <w:tabs>
          <w:tab w:leader="none" w:pos="8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of any successor trustee with respect to the Exchange Notes or to facilitate the administration of the trusts thereunder by one or more trustees in accordance with the Indenture; and</w:t>
      </w:r>
    </w:p>
    <w:p>
      <w:pPr>
        <w:spacing w:after="0" w:line="161" w:lineRule="exact"/>
        <w:rPr>
          <w:rFonts w:ascii="Times New Roman" w:cs="Times New Roman" w:eastAsia="Times New Roman" w:hAnsi="Times New Roman"/>
          <w:sz w:val="18"/>
          <w:szCs w:val="18"/>
          <w:color w:val="auto"/>
        </w:rPr>
      </w:pPr>
    </w:p>
    <w:p>
      <w:pPr>
        <w:ind w:left="880" w:hanging="324"/>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additional Events of Default. (Section 901)</w:t>
      </w:r>
    </w:p>
    <w:p>
      <w:pPr>
        <w:spacing w:after="0" w:line="225"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The Indenture or the rights of the holders of the Exchange Notes may be modified by us and the Trustee with the consent of the holders of a majority in aggregate principal amount of the Exchange Notes then outstanding, but no such modification may be made without the consent of the holder of each outstanding Exchange Note affected thereby which would:</w:t>
      </w:r>
    </w:p>
    <w:p>
      <w:pPr>
        <w:spacing w:after="0" w:line="81" w:lineRule="exact"/>
        <w:rPr>
          <w:sz w:val="20"/>
          <w:szCs w:val="20"/>
          <w:color w:val="auto"/>
        </w:rPr>
      </w:pPr>
    </w:p>
    <w:p>
      <w:pPr>
        <w:ind w:left="10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maturity of any payment of principal of, or any premium on, or any installment of interest on the Exchange Notes, or reduce the principal amount thereof or the interest or any premium thereon, or change the method of computing the amount of principal thereof or interest thereon on any date;</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place of payment where, or the coin or currency in which, the Exchange Notes or any premium or interest thereon is payable, or impair the right to institute suit for the enforcement of any such payment on or after the maturity thereof, or, in the case of redemption or repayment, on or after the redemption date or the repayment date, as the case may be;</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Exchange Notes, the consent of whose holders is required for any such modification, or the consent of whose holders is required for any waiver of compliance with certain provisions of the Indenture or certain defaults thereunder and their consequences provided for in the Indenture; or</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of certain sections of the Indenture, including the provisions summarized in this paragraph, except to increase any such percentage or to provide that certain other provisions of the Indenture cannot be modified or waived without the consent of the holder of each outstanding Exchange Note affected thereby. (Section 902)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Sinking Fund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is no provision for a sinking fund for the Exchange Notes.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120" w:right="460" w:firstLine="440"/>
        <w:spacing w:after="0" w:line="312" w:lineRule="auto"/>
        <w:rPr>
          <w:sz w:val="20"/>
          <w:szCs w:val="20"/>
          <w:color w:val="auto"/>
        </w:rPr>
      </w:pPr>
      <w:r>
        <w:rPr>
          <w:rFonts w:ascii="Times New Roman" w:cs="Times New Roman" w:eastAsia="Times New Roman" w:hAnsi="Times New Roman"/>
          <w:sz w:val="17"/>
          <w:szCs w:val="17"/>
          <w:color w:val="auto"/>
        </w:rPr>
        <w:t>Under certain circumstances, we will be deemed to have discharged the entire indebtedness on all of the outstanding Exchange Notes by defeasance. The provisions of Section 403 of the Indenture relating to defeasance and discharge of indebtedness will apply to the Exchange Notes.</w:t>
      </w:r>
    </w:p>
    <w:p>
      <w:pPr>
        <w:spacing w:after="0" w:line="14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will be deemed to have paid and discharged the entire indebtedness on all the outstanding Exchange Notes by, in addition to meeting certain other conditions, depositing with the Trustee either:</w:t>
      </w:r>
    </w:p>
    <w:p>
      <w:pPr>
        <w:spacing w:after="0" w:line="54" w:lineRule="exact"/>
        <w:rPr>
          <w:sz w:val="20"/>
          <w:szCs w:val="20"/>
          <w:color w:val="auto"/>
        </w:rPr>
      </w:pPr>
    </w:p>
    <w:p>
      <w:pPr>
        <w:ind w:left="120" w:right="260" w:firstLine="436"/>
        <w:spacing w:after="0" w:line="282" w:lineRule="auto"/>
        <w:tabs>
          <w:tab w:leader="none" w:pos="9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trust funds in trust an amount sufficient (together with any obligations deposited pursuant to clause (2) below) to pay and discharge the entire indebtedness on all the Exchange Notes for principal, premium, if any, and interest to the date of maturity or date of redemption; or</w:t>
      </w:r>
    </w:p>
    <w:p>
      <w:pPr>
        <w:spacing w:after="0" w:line="161" w:lineRule="exact"/>
        <w:rPr>
          <w:rFonts w:ascii="Times New Roman" w:cs="Times New Roman" w:eastAsia="Times New Roman" w:hAnsi="Times New Roman"/>
          <w:sz w:val="18"/>
          <w:szCs w:val="18"/>
          <w:color w:val="auto"/>
        </w:rPr>
      </w:pPr>
    </w:p>
    <w:p>
      <w:pPr>
        <w:jc w:val="both"/>
        <w:ind w:left="120" w:right="100" w:firstLine="436"/>
        <w:spacing w:after="0" w:line="261" w:lineRule="auto"/>
        <w:tabs>
          <w:tab w:leader="none" w:pos="9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obligations in trust such amount of direct obligations of, or obligations the principal of and interest on which are fully guaranteed by, the U.S. government as will, together with the income to accrue thereon without consideration of any reinvestment thereof, be sufficient (together with any amounts deposited pursuant to clause (1) above), in the written opinion of a firm of nationally recognized independent public accounts, to pay and discharge the entire indebtedness on all Exchange Notes for principal, premium, if any, and interest. (Section 403)</w:t>
      </w:r>
    </w:p>
    <w:p>
      <w:pPr>
        <w:spacing w:after="0" w:line="11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ectPr>
          <w:pgSz w:w="11900" w:h="16838" w:orient="portrait"/>
          <w:cols w:equalWidth="0" w:num="1">
            <w:col w:w="11120"/>
          </w:cols>
          <w:pgMar w:left="32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the event of any such defeasance, holders of the Exchange Notes would be able to look only to such trust fund for payment of principal of, any premium on, and any interest on their debt securities.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defeasance is likely to be treated as a taxable exchange by holders of the Exchange Notes for an issue consisting of either obligations of the trust or a direct interest in the cash and securities held in the trust, with the result that such holders would be required for tax purposes to recognize gain or loss as if such obligations or the cash or securities deposited, as the case may be, had actually been received by them in exchange for their Exchange Notes. In addition, if the holders are treated as the owners of their proportionate share of the cash or securities held in trust, such holders would then be required to include in their income for tax purposes any income, gain or loss attributable thereto even though no cash was actually received. Thus, such holders might be required to recognize income for tax purposes in different amounts and at different times than would be recognized in the absence of defeasance. You are urged to consult your own tax advisor as to the specific consequences of defeasance.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and the Exchange Notes will be governed by, and construed in accordance with, the laws of the State of New York.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Bank of New York Mellon Trust Company, N.A., as successor to The Bank of New York Mellon (formerly known as The Bank of New York), as successor to JPMorgan Chase Bank, N.A. (formerly known as The Chase Manhattan Bank), acts as Trustee under the Indenture. The Bank of New York Mellon Trust Company, N.A. conducts normal banking relationships with us and certain of our subsidiaries and, in addition, is a participant in various financial agreements of the Company. The Bank of New York Mellon Trust Company, N.A. acts as trustee under certain equipment trust agreements of Union Pacific Railroad Company and trustee under various indentures in respect of certain of our securities and of securities of our subsidiaries.</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Trust Indenture Act of 1939 contains limitations on the rights of the Trustee, should it become a creditor of Union Pacific, to obtain payment of claims in certain cases or to realize on certain property received by it in respect of those claims, as security or otherwise. The Trustee is permitted to engage in other transactions with Union Pacific and our subsidiaries from time to time, provided that if the Trustee acquires any conflicting interest it must eliminate the conflict upon the occurrence of an Event of Default under the Indenture, or else resign.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EXCHANGE OFFER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of the Exchange Offer</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Original Notes, we entered into a Registration Rights Agreement with dealer managers, under which we agreed to file, and to use our reasonable best efforts to have declared effective, an exchange offer registration statement under the Securities Act and to consummate the Exchange Offer.</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making the Exchange Offer in reliance on the position of the SEC as set forth in certain no-action letters. However, we have not sought our own no-action letter. Based upon these interpretations by the SEC, we believe that a holder of Exchange Notes who exchanges Original Notes for Exchange Notes in the Exchange Offer generally may offer Exchange Notes for resale, sell Exchange Notes and otherwise transfer Exchange Notes without further registration under the Securities Act and without delivery of a prospectus that satisfies the requirements of Section 10 of the Securities Act. This does not apply, however, to a holder who is our “affiliate” within the meaning of Rule 405 of the Securities Act. We also believe that a holder may offer, sell or transfer the Exchange Notes only if the holder acknowledges that the holder is acquiring the Exchange Notes in the ordinary course of its business and is not participating, does not intend to participate and has no arrangement or understanding with any person to participate in a distribution of the Exchange Notes.</w:t>
      </w:r>
    </w:p>
    <w:p>
      <w:pPr>
        <w:spacing w:after="0" w:line="19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Any holder of the Original Notes using the Exchange Offer to participate in a distribution of Exchange Notes cannot rely on the no-action letters referred to above. Any broker-dealer who holds Original Notes acquired for its own account as a result of market-making activities or other trading activities and who receives Exchange Notes in exchange for such Original Notes pursuant to the Exchange Offer may be a statutory underwriter and must deliver a prospectus meeting the requirements of the Securities Act in connection with any resale of such Exchange Notes. See “Plan of Distribution”.</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in exchange for Original Notes, where such Original Notes were acquired by such broker-dealer as a result of market-making activities or other trading activities, must acknowledge that it will deliver a prospectus in connection with any resale of such Exchange Notes. See “Plan of Distribution”.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described above, this prospectus may not be used for an offer to resell, resale or other transfer of Exchange Notes.</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Exchange Offer is not being made to, nor will we accept tenders for exchange from, holders of Original Notes in any jurisdiction in which the Exchange Offer or the acceptance of it would not be in compliance with the securities or blue sky laws of such jurisdiction.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the Exchange</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Upon the terms and subject to the conditions of the Exchange Offer, we will accept any and all Original Notes validly tendered at or prior to 5:00 p.m., New York time, on the Expiration Date for the Exchange Offer. Promptly after the Expiration Date (unless extended as described in this prospectus), we will issue an aggregate principal amount of up to $1,047,453,000 of Exchange Notes for a like principal amount of outstanding Original Notes tendered and accepted in connection with the Exchange Offer. The Exchange Notes issued in connection with the Exchange Offer will be delivered promptly after the Expiration Date. Holders may tender some or all of their Original Notes in connection with the Exchange Offer, but only in principal amounts of $1,000 or in integral multiples of $1,000 in excess thereof.</w:t>
      </w:r>
    </w:p>
    <w:p>
      <w:pPr>
        <w:spacing w:after="0" w:line="18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terms of the Exchange Notes will be identical in all material respects to the terms of the Original Notes for which they are being exchanged, except that the Exchange Notes will have been registered under the Securities Act and will be issued free from any covenant regarding registration, including the payment of additional interest upon a failure to file or have declared effective an exchange offer registration statement or 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complete the Exchange Offer by certain dates. The Exchange Notes will evidence the same debt as the Original Notes for which they are being exchanged and will be issued under the same Indenture and be entitled to the same benefits under that Indenture as the Original Notes being exchanged. As of the date of this prospectus, $1,047,453,000 in aggregate principal amount of the Original Notes are outstanding.</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Original Notes, we arranged for the Original Notes issued to qualified institutional buyers and those issued in reliance on Regulation S under the Securities Act to be issued and transferable in book-entry form through the facilities of DTC, acting as depositary. Except as described under “Book-Entry Notes”, the Exchange Notes will be issued in the form of a global note registered in the name of DTC or its nominee and each beneficial owner’s interest in it will be transferable in book-entry form through DTC. See “Book-Entry Notes”.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Holders of Original Notes do not have any appraisal or dissenters’ rights in connection with the Exchange Offer. Original Notes that are not validly tendered for exchange or are validly tendered but not accepted in connection with the Exchange Offer will remain outstanding and be entitled to the benefits of the Indenture, but certain registration and other rights under the Registration Rights Agreement will terminate and holders of the Original Notes will generally not be entitled to any registration rights under the Registration Rights Agreement. See “— Consequences of Failures to Properly Tender Original Notes in the Exchange Offer”.</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shall be considered to have accepted validly tendered Original Notes if and when we have given oral (to be followed by prompt written notice) or written notice to the Exchange Agent. The Exchange Agent will act as agent for the tendering holders for the purposes of receiving the Exchange Notes from us.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any validly tendered Original Notes are not accepted for exchange because of an invalid tender, the occurrence of certain other events described in this prospectus or otherwise, we will return the Original Notes, without expense, to the tendering holder promptly after the Expiration Date for the Exchange Offer.</w:t>
      </w:r>
    </w:p>
    <w:p>
      <w:pPr>
        <w:spacing w:after="0" w:line="176"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Holders who tender Original Notes will not be required to pay brokerage commissions or fees or, subject to the instructions in the letter of transmittal, transfer taxes on exchange of Original Notes in connection with the Exchange Offer. We will pay all charges and expenses, other than certain applicable taxes described below, in connection with the Exchange Offer. See “—Fees and Expenses”.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Expiration Date; Extensions; Amendments</w:t>
      </w:r>
    </w:p>
    <w:p>
      <w:pPr>
        <w:spacing w:after="0" w:line="121" w:lineRule="exact"/>
        <w:rPr>
          <w:sz w:val="20"/>
          <w:szCs w:val="20"/>
          <w:color w:val="auto"/>
        </w:rPr>
      </w:pPr>
    </w:p>
    <w:p>
      <w:pPr>
        <w:ind w:left="560"/>
        <w:spacing w:after="0"/>
        <w:tabs>
          <w:tab w:leader="none" w:pos="7180" w:val="left"/>
          <w:tab w:leader="none" w:pos="8000" w:val="left"/>
        </w:tabs>
        <w:rPr>
          <w:sz w:val="20"/>
          <w:szCs w:val="20"/>
          <w:color w:val="auto"/>
        </w:rPr>
      </w:pPr>
      <w:r>
        <w:rPr>
          <w:rFonts w:ascii="Times New Roman" w:cs="Times New Roman" w:eastAsia="Times New Roman" w:hAnsi="Times New Roman"/>
          <w:sz w:val="18"/>
          <w:szCs w:val="18"/>
          <w:color w:val="auto"/>
        </w:rPr>
        <w:t>The Expiration Date for the Exchange Offer is 5:00 p.m., New York City time, 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unless extended by us in our sole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discretion, in which case the term “Expiration Date” shall mean the latest date and time to which the Exchange Offer is extended.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reserve the right, in our sole discretion:</w:t>
      </w:r>
    </w:p>
    <w:p>
      <w:pPr>
        <w:spacing w:after="0" w:line="131" w:lineRule="exact"/>
        <w:rPr>
          <w:sz w:val="20"/>
          <w:szCs w:val="20"/>
          <w:color w:val="auto"/>
        </w:rPr>
      </w:pPr>
    </w:p>
    <w:p>
      <w:pPr>
        <w:ind w:left="10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delay accepting any Original Notes, to extend the Exchange Offer or to terminate the Exchange Offer if, in our reasonable judgment, any of the conditions described below shall not have been satisfied, by giving oral (to be followed by prompt written notice) or written notice of the delay, extension or termination to the Exchange Agent;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terms of the Exchange Offer in any manner.</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If we amend the Exchange Offer in a manner that we consider material, we will disclose such amendment by means of a prospectus supplement, and we will extend the Exchange Offer for a period of five to ten business days.</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If we determine to extend, amend or terminate the Exchange Offer, we will publicly announce this determination by making a timely release through an appropriate news agency.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If we delay accepting any Original Notes with respect to the Exchange Offer or terminate the Exchange Offer, we promptly will return any Original Notes deposited pursuant to the Exchange Offer as required by Rule 14e-1(c).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on the Exchange Notes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Exchange Notes will bear interest at the rate of 2.973% per annum from the most recent date to which interest on the Original Notes has been paid or, if no interest has been paid on such Original Notes, from September 16, 2020. Interest will be payable semiannually on March 16 and September 16 of each year to the persons in whose names the Exchange Notes are registered at the close of business on the immediately preceding March 1 and September 1, respectively, whether or not that day is a business day.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the Exchange Offer</w:t>
      </w:r>
    </w:p>
    <w:p>
      <w:pPr>
        <w:spacing w:after="0" w:line="121" w:lineRule="exact"/>
        <w:rPr>
          <w:sz w:val="20"/>
          <w:szCs w:val="20"/>
          <w:color w:val="auto"/>
        </w:rPr>
      </w:pPr>
    </w:p>
    <w:p>
      <w:pPr>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Notwithstanding any other provisions of the Exchange Offer, or any extension of the Exchange Offer, we will not be required to accept for exchange, or to exchange any Exchange Notes for, any Original Notes and we may terminate the Exchange Offer or, at our option, modify, extend or otherwise amend the Exchange Offer, if any of the following conditions exist with respect to the Exchange Offer on or prior to the Expiration Date:</w:t>
      </w:r>
    </w:p>
    <w:p>
      <w:pPr>
        <w:spacing w:after="0" w:line="63" w:lineRule="exact"/>
        <w:rPr>
          <w:sz w:val="20"/>
          <w:szCs w:val="20"/>
          <w:color w:val="auto"/>
        </w:rPr>
      </w:pPr>
    </w:p>
    <w:p>
      <w:pPr>
        <w:ind w:left="1080" w:right="180" w:hanging="424"/>
        <w:spacing w:after="0" w:line="258"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action or event shall have occurred, been threatened, or may occur or an action shall have been taken, and a statute, rule, regulation, judgment, order, stay, decree or injunction shall have been issued, promulgated, enacted, entered, enforced or deemed to be applicable to the Exchange Offer or the exchange of the Original Notes for the Exchange Notes under the Exchange Offer by or before any court or governmental regulatory or administrative agency, authority, instrumentality or tribunal, including, without limitation, taxing authorities, that either:</w:t>
      </w:r>
    </w:p>
    <w:p>
      <w:pPr>
        <w:spacing w:after="0" w:line="75" w:lineRule="exact"/>
        <w:rPr>
          <w:rFonts w:ascii="Times New Roman" w:cs="Times New Roman" w:eastAsia="Times New Roman" w:hAnsi="Times New Roman"/>
          <w:sz w:val="18"/>
          <w:szCs w:val="18"/>
          <w:color w:val="auto"/>
        </w:rPr>
      </w:pPr>
    </w:p>
    <w:p>
      <w:pPr>
        <w:ind w:left="1540" w:right="160" w:firstLine="8"/>
        <w:spacing w:after="0" w:line="261" w:lineRule="auto"/>
        <w:tabs>
          <w:tab w:leader="none" w:pos="19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the making of the Exchange Offer or the exchange of the Original Notes for the Exchange Notes under the Exchange Offer or might, directly or indirectly, be expected to prohibit, prevent, restrict or delay consummation of, or might otherwise adversely affect in any manner, the Exchange Offer or the exchange of the Original Notes for the Exchange Notes under the Exchange Offer; or</w:t>
      </w:r>
    </w:p>
    <w:p>
      <w:pPr>
        <w:spacing w:after="0" w:line="71" w:lineRule="exact"/>
        <w:rPr>
          <w:rFonts w:ascii="Times New Roman" w:cs="Times New Roman" w:eastAsia="Times New Roman" w:hAnsi="Times New Roman"/>
          <w:sz w:val="18"/>
          <w:szCs w:val="18"/>
          <w:color w:val="auto"/>
        </w:rPr>
      </w:pPr>
    </w:p>
    <w:p>
      <w:pPr>
        <w:ind w:left="1540" w:right="120" w:firstLine="8"/>
        <w:spacing w:after="0" w:line="266" w:lineRule="auto"/>
        <w:tabs>
          <w:tab w:leader="none" w:pos="193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reasonable judgment, could materially adversely affect our (or our subsidiaries’) business, condition (financial or otherwise), income, operations, properties, assets, liabilities or prospects or impair the contemplated benefits to us of the Exchange Offer or the exchange of the Original Notes for the Exchange Notes under the Exchange Offer;</w:t>
      </w:r>
    </w:p>
    <w:p>
      <w:pPr>
        <w:spacing w:after="0" w:line="81" w:lineRule="exact"/>
        <w:rPr>
          <w:rFonts w:ascii="Times New Roman" w:cs="Times New Roman" w:eastAsia="Times New Roman" w:hAnsi="Times New Roman"/>
          <w:sz w:val="18"/>
          <w:szCs w:val="18"/>
          <w:color w:val="auto"/>
        </w:rPr>
      </w:pPr>
    </w:p>
    <w:p>
      <w:pPr>
        <w:ind w:left="1080" w:hanging="424"/>
        <w:spacing w:after="0" w:line="270" w:lineRule="auto"/>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shall have occurred (a) any general suspension of or limitation on trading in securities in the United States securities or financial markets, whether or not mandatory, (b) any material adverse change in the prices of the Original Notes that are the subject of the Exchange Offer, (c) a material impairment in the general trading market for debt securities, (d) a declaration of a banking moratorium or any suspension of payments in respect of banks by federal or state authorities in the United States, whether or not mandatory, (e) a material escalation or commencement of a war, armed hostilities, a terrorist act or other national or international calamity directly or indirectly relating to the United States, if the effect of any such event, in the Company’s reasonable judgment makes it impracticable or inadvisable to proceed with the Exchange Offer, (f) any limitation, whether or not mandatory, by any governmental authority on, or other event in the Company’s reasonable judgment, having a reasonable likelihood of affecting, the extension of credit by banks or other lending institutions in the United States, (g) any material adverse change in the securities or financial markets in the United States generally or (h) in the case of any of the foregoing existing at the time of the commencement of the Exchange Offer, a material acceleration or worsening thereof; and</w:t>
      </w:r>
    </w:p>
    <w:p>
      <w:pPr>
        <w:spacing w:after="0" w:line="82" w:lineRule="exact"/>
        <w:rPr>
          <w:rFonts w:ascii="Times New Roman" w:cs="Times New Roman" w:eastAsia="Times New Roman" w:hAnsi="Times New Roman"/>
          <w:sz w:val="17"/>
          <w:szCs w:val="17"/>
          <w:color w:val="auto"/>
        </w:rPr>
      </w:pPr>
    </w:p>
    <w:p>
      <w:pPr>
        <w:ind w:left="1080" w:right="2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with respect to the Indenture for the Original Notes that are the subject of the Exchange Offer and the Exchange Notes to be issued in the Exchange Offer shall have been directed by any</w:t>
      </w:r>
    </w:p>
    <w:p>
      <w:pPr>
        <w:spacing w:after="0" w:line="9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ectPr>
          <w:pgSz w:w="11900" w:h="16838" w:orient="portrait"/>
          <w:cols w:equalWidth="0" w:num="1">
            <w:col w:w="11100"/>
          </w:cols>
          <w:pgMar w:left="320" w:top="455" w:right="4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holders of the Original Notes to object in any respect to, or take any action that could, in our reasonable judgment, adversely affect the consummation of the Exchange Offer or the exchange of the Original Notes for the Exchange Notes under the Exchange Offer, or the Trustee shall have taken any action that challenges the validity or effectiveness of the procedures used by us in making the Exchange Offer or the exchange of the Original Notes for the Exchange Notes under the Exchange Offer.</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foregoing conditions are for our sole benefit and may be waived by us, in whole or in part, in our absolute discretion. Any determination made by us concerning an event, development or circumstance described or referred to above will be conclusive and binding.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any of the foregoing conditions are not satisfied with respect to the Exchange Offer, we may, at any time on or prior to the Expiration Date:</w:t>
      </w:r>
    </w:p>
    <w:p>
      <w:pPr>
        <w:spacing w:after="0" w:line="131" w:lineRule="exact"/>
        <w:rPr>
          <w:sz w:val="20"/>
          <w:szCs w:val="20"/>
          <w:color w:val="auto"/>
        </w:rPr>
      </w:pPr>
    </w:p>
    <w:p>
      <w:pPr>
        <w:ind w:left="1080" w:right="1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Exchange Offer and promptly return all tendered Original Notes that are the subject of the Exchange Offer to the respective tendering holders;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extend or otherwise amend the Exchange Offer and retain all tendered Original Notes that are the subject of the Exchange Offer until the Expiration Date, as extended, subject, however, to the withdrawal rights of holders;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the unsatisfied conditions with respect to the Exchange Offer and accept all tendered and not previously validly withdrawn Original Notes that are the subject of the Exchange Offer.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subject to applicable law, we may in our absolute discretion terminate the Exchange Offer for any other reason or for no reason.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Tender</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Any tender by a holder, and our subsequent acceptance of that tender, of Original Notes will constitute a binding agreement between that holder and us upon the terms and subject to the conditions of the Exchange Offer described in this prospectus and in the letter of transmittal. The participation in the Exchange Offer by a tendering holder of Original Notes will constitute the agreement by that holder to deliver good and marketable title to the tendered Original Notes, free and clear of any and all liens, restrictions, charges, pledges, security interests, encumbrances or rights of any kind of third parties.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Absence of Appraisal and Dissenters’ Rights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the Original Notes do not have any appraisal or dissenters’ rights in connection with the Exchange Offer.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Procedures for Tendering</w:t>
      </w:r>
    </w:p>
    <w:p>
      <w:pPr>
        <w:spacing w:after="0" w:line="121" w:lineRule="exact"/>
        <w:rPr>
          <w:sz w:val="20"/>
          <w:szCs w:val="20"/>
          <w:color w:val="auto"/>
        </w:rPr>
      </w:pPr>
    </w:p>
    <w:p>
      <w:pPr>
        <w:jc w:val="both"/>
        <w:ind w:left="120" w:right="540" w:firstLine="440"/>
        <w:spacing w:after="0" w:line="289" w:lineRule="auto"/>
        <w:rPr>
          <w:sz w:val="20"/>
          <w:szCs w:val="20"/>
          <w:color w:val="auto"/>
        </w:rPr>
      </w:pPr>
      <w:r>
        <w:rPr>
          <w:rFonts w:ascii="Times New Roman" w:cs="Times New Roman" w:eastAsia="Times New Roman" w:hAnsi="Times New Roman"/>
          <w:sz w:val="17"/>
          <w:szCs w:val="17"/>
          <w:color w:val="auto"/>
        </w:rPr>
        <w:t>If you wish to participate in the Exchange Offer and your Original Notes are held by a custodial entity such as a bank, broker, dealer, trust company or other nominee, you must instruct that custodial entity to tender your Original Notes on your behalf pursuant to the procedures of that custodial entity. Please ensure you contact your custodial entity as soon as possible to give them sufficient time to meet your requested deadline.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participate in the Exchange Offer, you must either:</w:t>
      </w:r>
    </w:p>
    <w:p>
      <w:pPr>
        <w:spacing w:after="0" w:line="131" w:lineRule="exact"/>
        <w:rPr>
          <w:sz w:val="20"/>
          <w:szCs w:val="20"/>
          <w:color w:val="auto"/>
        </w:rPr>
      </w:pPr>
    </w:p>
    <w:p>
      <w:pPr>
        <w:ind w:left="1080" w:right="400" w:hanging="424"/>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sign and date a letter of transmittal, or a facsimile thereof, in accordance with the instructions in the letter of transmittal, including guaranteeing the signatures to the letter of transmittal, if required, and mail or otherwise deliver the letter of transmittal or a facsimile thereof, together with the certificates representing your Original Notes specified in the letter of transmittal, to the Exchange Agent at the address listed in the letter of transmittal, for receipt on or prior to the Expiration Date; or</w:t>
      </w:r>
    </w:p>
    <w:p>
      <w:pPr>
        <w:spacing w:after="0" w:line="11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ectPr>
          <w:pgSz w:w="11900" w:h="16838" w:orient="portrait"/>
          <w:cols w:equalWidth="0" w:num="1">
            <w:col w:w="11100"/>
          </w:cols>
          <w:pgMar w:left="320" w:top="455" w:right="4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5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Automated Tender Offer Program (“ATOP”) procedures for book-entry transfer described below on or prior to the Expiration Date.</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Exchange Agent and DTC have confirmed that the Exchange Offer is eligible for ATOP with respect to book-entry notes held through DTC. The letter of transmittal, or a facsimile thereof, with any required signature guarantees, or, in the case of book-entry transfer, an agent’s message in lieu of the letter of transmittal, and any other required documents, must be transmitted to and received by the Exchange Agent on or prior to the Expiration Date at its address set forth below under the caption “Exchange Agent”. Original Notes will not be deemed to have been validly tendered until the letter of transmittal and signature guarantees, if any, or agent’s message, is received by the Exchange Agent. We have not provided guaranteed delivery procedures in conjunction with the Exchange Offer or under this prospectus.</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tender by a holder of Original Notes will constitute an agreement between us and the holder in accordance with the terms and subject to the conditions set forth in this prospectus and in the letter of transmittal.</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method of delivery of Original Notes, the letter of transmittal and all other required documents to the Exchange Agent is at the election and risk of the holders. Instead of delivery by mail, we recommend that holders use an overnight or hand delivery service, properly insured. In all cases, sufficient time should be allowed to assure delivery to and receipt by the Exchange Agent on or prior to the Expiration Date. Do not send the letter of transmittal or any Original Notes to anyone other than the Exchange Agent.</w:t>
      </w:r>
    </w:p>
    <w:p>
      <w:pPr>
        <w:spacing w:after="0" w:line="180"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you are tendering your Original Notes in exchange for Exchange Notes and anticipate delivering your letter of transmittal and other documents other than through DTC, we urge you to contact promptly a bank, broker or other intermediary that has the capability to hold notes custodially through DTC to arrange for receipt of any Original Notes to be delivered pursuant to the Exchange Offer and to obtain the information necessary to provide the required DTC participant with account information in the letter of transmittal.</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you are a beneficial owner which holds Original Notes through Euroclear (as defined herein) or Clearstream (as defined herein) and wish to tender your Original Notes, you must instruct Euroclear or Clearstream, as the case may be, to block the account in respect of the tendered Original Notes in accordance with the procedures established by Euroclear or Clearstream. You are encouraged to contact Euroclear and Clearstream directly to ascertain their procedure for tendering Original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Procedures for Tendering Original Notes Held with DTC</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wish to tender Original Notes held on your behalf by a participant with DTC, you must:</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the participant of your interest in tendering your Original Notes pursuant to the Exchange Offer;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participant to tender all Original Notes you wish to be tendered in the Exchange Offer into the Exchange Agent’s account at DTC on or prior to the Expiration Date.</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financial institution that is a participant in DTC, including Euroclear and Clearstream, must tender Original Notes by effecting a book-entry transfer of Original Notes to be tendered in the Exchange Offer into the account of the Exchange Agent at DTC by electronically transmitting its acceptance of the Exchange Offer through the ATOP procedures for transfer. DTC will then verify the acceptance, execute a book-entry delivery to the Exchange Agent’s account at DTC and send an agent’s message to the Exchange Agent. An “agent’s message” is a message, transmitted by DTC to, and received by, the Exchange Agent and forming part of a book-entry confirmation, which states that DTC has received an express acknowledgement from an organization that participates in DTC (a “participant”) tendering Original Notes that the participant has received and agrees to be bound by the terms of the letter of transmittal and that we may enforce the agreement against the participant. A letter of transmittal need not accompany tenders effected through ATOP.</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 Execution and Delivery of the Letter of Transmittal</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Signatures on a letter of transmittal or notice of withdrawal described under “—Withdrawal of Tenders”, as the case may be, must be guaranteed by an eligible guarantor institution unless the Original Notes tendered pursuant thereto are tendered (i) by a registered holder who has not completed the box entitled “Special Issuance Instructions” or “Special Delivery Instructions” on the letter of transmittal or (ii) for the account of an eligible guarantor institution. An “eligible guarantor institution” is one of the following firms or other entities identified in Rule 17Ad-15 under the Exchange Act (as the terms are used in Rule 17Ad-15):</w:t>
      </w:r>
    </w:p>
    <w:p>
      <w:pPr>
        <w:spacing w:after="0" w:line="89"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 dealer, municipal securities dealer, municipal securities broker, government securities dealer or government securities broker;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credit union;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national securities exchange, registered securities association or clearing agency;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savings institution that is a participant in a Securities Transfer Association recognized program.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signatures on a letter of transmittal or notice of withdrawal are required to be guaranteed, that guarantee must be made by an eligible institution.</w:t>
      </w:r>
    </w:p>
    <w:p>
      <w:pPr>
        <w:spacing w:after="0" w:line="225"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If the letter of transmittal is signed by the holders of Original Notes validly tendered thereby, the signatures must correspond with the names as written on the face of the Original Notes or on the DTC security position listing without any change whatsoever. If any of the Original Notes validly tendered thereby are held by two or more holders, each holder must sign the letter of transmittal. If any of the Original Notes validly tendered thereby are registered in different names on different Original Notes, it will be necessary to complete, sign and submit as many separate letters of transmittal, and any accompanying documents, as there are different registrations of certificates.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Original Notes that are not validly tendered for exchange pursuant to the Exchange Offer are to be returned to a person other than the tendering holder, certificates for those Original Notes must be endorsed or accompanied by an appropriate instrument of transfer, signed exactly as the name of the registered owner appears on the certificates, with the signatures on the certificates or instruments of transfer guaranteed by an eligible guarantor institution.</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If the letter of transmittal is signed by a person other than the holder of any Original Notes listed in the letter of transmittal, those Original Notes must be properly endorsed or accompanied by a properly completed bond power, signed by the holder exactly as the holder’s name appears on those Original Notes. If the letter of transmittal or any Original Notes, bond powers or other instruments of transfer are signed by trustees, executors, administrators, guardians, attorneys-in-fact, officers of corporations or others acting in a fiduciary or representative capacity, those persons should so indicate when signing, and, unless waived by us, evidence satisfactory to us of their authority to so act must be submitted with the letter of transmittal.</w:t>
      </w:r>
    </w:p>
    <w:p>
      <w:pPr>
        <w:spacing w:after="0" w:line="183"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No alternative, conditional, irregular or contingent tenders will be accepted. By executing the letter of transmittal, or facsimile thereof, the tendering holders of Original Notes waive any right to receive any notice of the acceptance for exchange of their Original Notes. Tendering holders should indicate in the applicable box in the letter of transmittal the name and address to which payments and/or substitute certificates evidencing Original Notes for amounts not validly tendered or not exchanged are to be issued or sent, if different from the name and address of the person signing the letter of transmittal. If those instructions are not given, Original Notes not validly tendered or exchanged will be returned to the tendering holder.</w:t>
      </w:r>
    </w:p>
    <w:p>
      <w:pPr>
        <w:spacing w:after="0" w:line="168"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All questions as to the validity, form, eligibility, including time of receipt, and acceptance and withdrawal of tendered Original Notes will be determined by us in our absolute discretion, which determination will be final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and binding. We reserve the absolute right to reject any and all tendered Original Notes determined by us not to be in proper form or not to be tendered properly or any tendered Original Notes our acceptance of which would, in the opinion of our counsel, be unlawful. We also reserve the right to waive, in our absolute discretion, any defects, irregularities or conditions of tender as to particular Original Notes, whether or not waived in the case of other Original Notes. Our interpretation of the terms and conditions of the Exchange Offer, including the terms and instructions in the letter of transmittal, will be final and binding on all parties. Unless waived, any defects or irregularities in connection with tenders of Original Notes must be cured within the time we determine. Although we intend to notify holders of defects or irregularities with respect to tenders of Original Notes, neither we, the Exchange Agent nor any other person will be under any duty to give that notification or shall incur any liability for failure to give that notification. Tenders of Original Notes will not be deemed to have been made until any defects or irregularities therein have been cured or waived.</w:t>
      </w:r>
    </w:p>
    <w:p>
      <w:pPr>
        <w:spacing w:after="0" w:line="192" w:lineRule="exact"/>
        <w:rPr>
          <w:sz w:val="20"/>
          <w:szCs w:val="20"/>
          <w:color w:val="auto"/>
        </w:rPr>
      </w:pPr>
    </w:p>
    <w:p>
      <w:pPr>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Any holder whose Original Notes have been mutilated, lost, stolen or destroyed will be responsible for obtaining replacement securities or for arranging for indemnification with the Trustee of the Original Notes. Holders may contact the Exchange Agent for assistance with these matters.</w:t>
      </w:r>
    </w:p>
    <w:p>
      <w:pPr>
        <w:spacing w:after="0" w:line="14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addition, we reserve the right, as set forth above under the caption “—Conditions to the Exchange Offer”, to terminate the Exchange Offer. By tendering, each holder represents and acknowledges to us, among other things, that:</w:t>
      </w:r>
    </w:p>
    <w:p>
      <w:pPr>
        <w:spacing w:after="0" w:line="67" w:lineRule="exact"/>
        <w:rPr>
          <w:sz w:val="20"/>
          <w:szCs w:val="20"/>
          <w:color w:val="auto"/>
        </w:rPr>
      </w:pPr>
    </w:p>
    <w:p>
      <w:pPr>
        <w:ind w:left="1080" w:right="22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full power and authority to tender, sell, assign and transfer the Original Notes it is tendering and that we will acquire good and unencumbered title thereto, free and clear of all liens, restrictions, charges and encumbrances and not subject to any adverse claim when the same are accepted by us;</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Notes acquired in connection with the Exchange Offer are being obtained in the ordinary course of business of the person receiving the Exchange Notes;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commencement of the Exchange Offer it had no arrangement or understanding with any person to participate in a distribution of the Exchange Notes;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an “affiliate” (as defined in Rule 405 under the Securities Act) of our company, or if it is an affiliate, such holder will comply with the registration and prospectus delivery requirements of the Securities Act to the extent applicable;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not a broker-dealer, that it is not engaged in, and does not intend to engage in, the distribution of the Exchange Notes;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a broker-dealer, that it is not engaged in, and does not intend to engage in, a distribution of the Exchange Notes, and that it will receive Exchange Notes for its own account in exchange for Original Notes that were acquired by such broker-dealer as a result of market-making activities or other trading activities and that it will be required to acknowledge that it will deliver a prospectus in connection with any resale of such Exchange Notes. See “Plan of Distribution.”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Tenders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Tenders of Original Notes in the Exchange Offer may be validly withdrawn at any time prior to the Expiration Date.</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For a withdrawal of a tender to be effective, a written or facsimile transmission notice of withdrawal must be received by the Exchange Agent prior to the Expiration Date at its address set forth below under the caption “Exchange Agent”. The withdrawal notice must:</w:t>
      </w:r>
    </w:p>
    <w:p>
      <w:pPr>
        <w:spacing w:after="0" w:line="54" w:lineRule="exact"/>
        <w:rPr>
          <w:sz w:val="20"/>
          <w:szCs w:val="20"/>
          <w:color w:val="auto"/>
        </w:rPr>
      </w:pPr>
    </w:p>
    <w:p>
      <w:pPr>
        <w:ind w:left="1360" w:hanging="381"/>
        <w:spacing w:after="0"/>
        <w:tabs>
          <w:tab w:leader="none" w:pos="1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of the tendering holder of Original Notes;</w:t>
      </w:r>
    </w:p>
    <w:p>
      <w:pPr>
        <w:spacing w:after="0" w:line="117" w:lineRule="exact"/>
        <w:rPr>
          <w:rFonts w:ascii="Times New Roman" w:cs="Times New Roman" w:eastAsia="Times New Roman" w:hAnsi="Times New Roman"/>
          <w:sz w:val="18"/>
          <w:szCs w:val="18"/>
          <w:color w:val="auto"/>
        </w:rPr>
      </w:pPr>
    </w:p>
    <w:p>
      <w:pPr>
        <w:ind w:left="1360" w:hanging="381"/>
        <w:spacing w:after="0"/>
        <w:tabs>
          <w:tab w:leader="none" w:pos="1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 description of the Original Notes to be withdrawn;</w:t>
      </w:r>
    </w:p>
    <w:p>
      <w:pPr>
        <w:spacing w:after="0" w:line="15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460" w:firstLine="419"/>
        <w:spacing w:after="0" w:line="282" w:lineRule="auto"/>
        <w:tabs>
          <w:tab w:leader="none" w:pos="13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in the case of Original Notes validly tendered by delivery of certificates for those Original Notes, the certificate numbers shown on the particular certificates evidencing those Original Notes;</w:t>
      </w:r>
    </w:p>
    <w:p>
      <w:pPr>
        <w:spacing w:after="0" w:line="53" w:lineRule="exact"/>
        <w:rPr>
          <w:rFonts w:ascii="Times New Roman" w:cs="Times New Roman" w:eastAsia="Times New Roman" w:hAnsi="Times New Roman"/>
          <w:sz w:val="18"/>
          <w:szCs w:val="18"/>
          <w:color w:val="auto"/>
        </w:rPr>
      </w:pPr>
    </w:p>
    <w:p>
      <w:pPr>
        <w:ind w:left="1360" w:hanging="381"/>
        <w:spacing w:after="0"/>
        <w:tabs>
          <w:tab w:leader="none" w:pos="1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aggregate principal amount represented by those Original Notes;</w:t>
      </w:r>
    </w:p>
    <w:p>
      <w:pPr>
        <w:spacing w:after="0" w:line="117" w:lineRule="exact"/>
        <w:rPr>
          <w:rFonts w:ascii="Times New Roman" w:cs="Times New Roman" w:eastAsia="Times New Roman" w:hAnsi="Times New Roman"/>
          <w:sz w:val="18"/>
          <w:szCs w:val="18"/>
          <w:color w:val="auto"/>
        </w:rPr>
      </w:pPr>
    </w:p>
    <w:p>
      <w:pPr>
        <w:ind w:left="560" w:firstLine="419"/>
        <w:spacing w:after="0" w:line="266" w:lineRule="auto"/>
        <w:tabs>
          <w:tab w:leader="none" w:pos="13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in the case of Original Notes validly tendered by delivery of certificates for those Original Notes, the name of the registered holder, if different from that of the tendering holder, or specify, in the case of Original Notes validly tendered by book-entry transfer, the name and number of the account at DTC to be credited with the withdrawn Original Notes; and</w:t>
      </w:r>
    </w:p>
    <w:p>
      <w:pPr>
        <w:spacing w:after="0" w:line="67" w:lineRule="exact"/>
        <w:rPr>
          <w:rFonts w:ascii="Times New Roman" w:cs="Times New Roman" w:eastAsia="Times New Roman" w:hAnsi="Times New Roman"/>
          <w:sz w:val="18"/>
          <w:szCs w:val="18"/>
          <w:color w:val="auto"/>
        </w:rPr>
      </w:pPr>
    </w:p>
    <w:p>
      <w:pPr>
        <w:ind w:left="560" w:right="140" w:firstLine="419"/>
        <w:spacing w:after="0" w:line="266" w:lineRule="auto"/>
        <w:tabs>
          <w:tab w:leader="none" w:pos="13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signed by the holder of those Original Notes in the same manner as the original signature on the letter of transmittal, including any required signature guarantees, or be accompanied by evidence satisfactory to us that the person withdrawing the tender has succeeded to the beneficial ownership of those Original Notes.</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signature on any notice of withdrawal must be guaranteed by an eligible guarantor institution, unless the Original Notes have been validly tendered for the account of an eligible guarantor institution.</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Withdrawal of tenders of Original Notes may not be rescinded, and any Original Notes validly withdrawn will thereafter be deemed not to have been validly tendered for purposes of the Exchange Offer. Validly withdrawn Original Notes may, however, be re-tendered by again following one of the procedures described in “—Procedures for Tendering” on or prior to the Expiration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Agent</w:t>
      </w:r>
    </w:p>
    <w:p>
      <w:pPr>
        <w:spacing w:after="0" w:line="121"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The Bank of New York Mellon Trust Company, N.A. has been appointed as Exchange Agent in connection with the Exchange Offer. Questions and requests for assistance, as well as requests for additional copies of this prospectus or of the letter of transmittal, should be directed to the Exchange Agent at its offices at The Bank of New York Mellon Trust Company, N.A., as Exchange Agent, c/o The Bank of New York Mellon Corporation, Corporate Trust Operations—Reorganization Unit, 111 Sanders Creek Parkway, East Syracuse, New York 13057, Attn: Joseph Felicia. The Exchange Agent’s telephone number is (315) 414-3349, facsimile number is (732) 667-9408, and email is CT_REORG_UNIT_INQUIRIES@bnymellon.com.</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will not make any payment to brokers, dealers or others soliciting acceptances of the Exchange Offer. We will pay certain other expenses to be incurred in connection with the Exchange Offer, including the fees and expenses of the Exchange Agent and certain accountant and legal fees.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who tender their Original Notes for exchange will not be obligated to pay transfer taxes. If, however:</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Notes are to be delivered to, or issued in the name of, any person other than the registered holder of the Original Notes tendered;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tendered Original Notes are registered in the name of any person other than the person signing the letter of transmittal; or</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tax is imposed for any reason other than the exchange of Original Notes in connection with the Exchange Offer; then the amount of any such transfer taxes (whether imposed on the registered holder or any other persons) will be payable by the tendering holder. If satisfactory evidence of payment of such taxes or exemption from them is not submitted with the letter of transmittal, the amount of such transfer taxes will be billed directly to the tendering holder.</w:t>
      </w:r>
    </w:p>
    <w:p>
      <w:pPr>
        <w:spacing w:after="0" w:line="11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ectPr>
          <w:pgSz w:w="11900" w:h="16838" w:orient="portrait"/>
          <w:cols w:equalWidth="0" w:num="1">
            <w:col w:w="11120"/>
          </w:cols>
          <w:pgMar w:left="320" w:top="455"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of Failures to Properly Tender Original Notes in the Exchange Offer</w:t>
      </w:r>
    </w:p>
    <w:p>
      <w:pPr>
        <w:spacing w:after="0" w:line="12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Issuance of the Exchange Notes in exchange for the Original Notes under the Exchange Offer will be made only after timely receipt by the Exchange Agent of a properly completed and duly executed letter of transmittal (or an agent’s message from DTC) and the certificate(s) representing such Original Notes (or confirmation of book-entry transfer), and all other required documents. Therefore, holders of the Original Notes desiring to tender such Original Notes in exchange for Exchange Notes should allow sufficient time to ensure timely delivery. We are under no duty to give notification of defects or irregularities of tenders of Original Notes for exchange. Original Notes that are not validly tendered or that are validly tendered but not accepted by us will, following completion of the Exchange Offer, continue to be subject to the existing restrictions upon transfer thereof under the Securities Act, and, upon completion of the Exchange Offer, certain registration rights under the Registration Rights Agreement will terminate.</w:t>
      </w:r>
    </w:p>
    <w:p>
      <w:pPr>
        <w:spacing w:after="0" w:line="17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generally will not be required to register any remaining Original Notes in the event the Exchange Offer is completed, subject to limited exceptions. Remaining Original Notes will continue to be subject to the following restrictions on transfer:</w:t>
      </w:r>
    </w:p>
    <w:p>
      <w:pPr>
        <w:spacing w:after="0" w:line="67" w:lineRule="exact"/>
        <w:rPr>
          <w:sz w:val="20"/>
          <w:szCs w:val="20"/>
          <w:color w:val="auto"/>
        </w:rPr>
      </w:pPr>
    </w:p>
    <w:p>
      <w:pPr>
        <w:ind w:left="1080" w:right="6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Original Notes may be resold only if registered pursuant to the Securities Act, if any exemption from registration is available, or if neither such registration nor such exemption is required by law;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Original Notes will bear a legend restricting transfer in the absence of registration or an exemption.</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do not currently anticipate that we will register the remaining Original Notes under the Securities Act. To the extent that Original Notes are validly tendered and accepted in connection with the Exchange Offer, any trading market for remaining Original Notes could be adversely affected. See “Risk Factors—Risks Relating to the Exchange Offer—If you fail to exchange your Original Notes, they will continue to be restricted securities and may become less liquid”.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BOOK-ENTRY NOTES</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Exchange Notes will be represented by one or more permanent global Exchange Notes in definitive, fully registered form without interest coupons. Each beneficial interest in a global Exchange Note is referred to as a “book-entry note.” Each global Exchange Note representing “book-entry notes” will be deposited with the Trustee, as custodian for, and registered in the name of, a nominee of The Depository Trust Company, as depositary, located in the Borough of Manhattan, The City of New York (“DTC”).</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book-entry notes will be represented through book-entry accounts of financial institutions acting on behalf of beneficial owners as direct and indirect participants in DTC. Investors may elect to hold interests in the book-entry notes through either DTC (in the U.S.) or Clearstream Banking, société anonyme (“Clearstream” or “Clearstream Luxembourg”) or Euroclear Bank S.A./N.V., as operator of the Euroclear System (“Euroclear”) (in Europe) if they are participants of such systems, or indirectly through organizations that are participants in such systems. Clearstream Luxembourg and Euroclear will hold interests on behalf of their participants through customers’ securities accounts in Clearstream Luxembourg’s and Euroclear’s names on the books of their respective depositaries, which in turn will hold such interests in customers’ securities accounts in the depositaries’ names on the books of DTC. The book-entry notes will be held in denominations of $1,000 and integral multiples of $1,000 in excess thereof. Except as set forth below, the global Exchange Notes may be transferred, in whole and not in part, only to another nominee of DTC or to a successor of DTC or its nominee.</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Clearstream Luxembourg advises that it is incorporated under the laws of Luxembourg as a professional depositary. Clearstream Luxembourg holds securities for its participating organizations (“Clearstream Luxembourg Participants”) and facilitates the clearance and settlement of securities transactions between Clearstream Luxembourg Participants through electronic book-entry changes in accounts of Clearstream Luxembourg Participants, thereby eliminating the need for physical movement of certificates. Clearstream Luxembourg provides to Clearstream Luxembourg Participants, among other things, services for safekeeping, administration, clearance and settlement of internationally traded securities and securities lending and borrowing. Clearstream Luxembourg interfaces with domestic markets in several countries.</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a professional depositary, Clearstream Luxembourg is subject to regulation by the Luxembourg Monetary Institute. Clearstream Luxembourg Participants are recognized financial institutions around the world, including underwriters, securities brokers and dealers, banks, trust companies, clearing corporations and certain other organizations and may include the underwriters. Indirect access to Clearstream Luxembourg is also available to others, such as banks, brokers, dealers and trust companies that clear through or maintain a custodial relationship with a Clearstream Luxembourg Participant either directly or indirectly. Distributions with respect to Exchange Notes held beneficially through Clearstream Luxembourg will be credited to cash accounts of Clearstream Luxembourg Participants in accordance with its rules and procedures, to the extent received by the U.S. Depositary for Clearstream Luxembourg.</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Euroclear advises that it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provides various other services, including securities lending and borrowing and interfaces with domestic markets in several countries. Euroclear is operated by Euroclear Bank S.A./N.V. (the “Euroclear Operator”), under contract with Euroclear Clearance Systems S.C., a Belgian cooperative corporation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 The Euroclear Operator was launched on December 31, 2000, and replaced Morgan Guaranty Trust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Company of New York as the operator of and banker to the Euroclear system. Securities clearance accounts and cash accounts with the Euroclear Operator are governed by the Terms and Conditions Governing Use of Euroclear and the related Operating Procedures of the Euroclear System, and applicable Belgian law (collectively,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 Distributions with respect to the Exchange Notes held beneficially through Euroclear will be credited to the cash accounts of Euroclear Participants in accordance with the Terms and Conditions, to the extent received by the U.S. Depositary for Euroclear.</w:t>
      </w:r>
    </w:p>
    <w:p>
      <w:pPr>
        <w:spacing w:after="0" w:line="19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So long as the Exchange Notes are held in global form, DTC or the nominee, as the case may be, will be considered the sole owner or holder of the Exchange Notes represented by the global Exchange Note for all purposes under the Indenture and the Exchange Notes. No beneficial owner of an interest in a global Exchange Note will be able to transfer that interest, except in accordance with DTC’s applicable procedures, in addition to those provided for under the Indenture.</w:t>
      </w:r>
    </w:p>
    <w:p>
      <w:pPr>
        <w:spacing w:after="0" w:line="180"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Union Pacific has been advised by DTC that upon the issuance of global Exchange Notes representing book-entry notes, and the deposit of those global Exchange Notes with DTC, DTC will immediately credit, on its book-entry registration and transfer system, the respective principal amounts of the book-entry notes represented by those global Exchange Notes to the accounts of participants.</w:t>
      </w:r>
    </w:p>
    <w:p>
      <w:pPr>
        <w:spacing w:after="0" w:line="176"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Payments of principal of and any premium and interest on book-entry notes will be made to DTC or its nominee, as the case may be, as the registered owner of those Exchange Notes. Those payments to DTC or its nominee, as the case may be, will be made in immediately available funds at the offices of The Bank of New York, as paying agent, in the Borough of Manhattan, The City of New York, provided that, in the case of payments of principal and any premium, the global Exchange Notes are presented to the paying agent in time for the paying agent to make those payments in immediately available funds in accordance with its normal procedures. None of Union Pacific, the trustee or any agent of Union Pacific or the trustee will have any responsibility or liability for any aspect of DTC’s records or any participant’s records relating to or payments made on account of book-entry notes or for maintaining, supervising or reviewing any of DTC’s records or any participant’s records relating to book-entry notes.</w:t>
      </w:r>
    </w:p>
    <w:p>
      <w:pPr>
        <w:spacing w:after="0" w:line="189"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Union Pacific expects that DTC or its nominee, upon receipt of any payment of principal of or any premium or interest in respect of a global Exchange Note, will immediately credit, on its book-entry registration and transfer system, accounts of participants with payments in amounts proportionate to their respective beneficial interests in the principal amount of the global Exchange Notes, as shown on the records of DTC or its nominee.</w:t>
      </w:r>
    </w:p>
    <w:p>
      <w:pPr>
        <w:spacing w:after="0" w:line="18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Union Pacific also expects that payments by participants to owners of beneficial interests in book-entry notes held through those participants will be governed by standing instructions and customary practices, as is now the case with securities held for the accounts of customers registered in “street name”, and will be the responsibility of those participants.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Union Pacific expects that DTC will take any action permitted to be taken by a holder of Exchange Notes (including the presentation of Exchange Notes for exchange as described below) only at the direction of one or more participants to whose account or accounts the depositary interests in a global Exchange Note are credited and only in respect of the portion of the aggregate principal amount of the Exchange Notes as to which that participant or participants has or have given that direction. However, if there is an event of default under the Exchange Notes, DTC will exchange the global Exchange Note for definitive Exchange Notes in registered form, which it will distribute to its participants.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5" w:right="49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Union Pacific understands that DTC is a limited purpose trust company organized under the laws of the State of New York, a “banking organization” within the meaning of New York Banking Law, a member of the Federal Reserve System, a “clearing corporation” within the meaning of the Uniform Commercial Code, and a “Clearing Agency” registered pursuant to the provisions of Section 17A of the Exchange Act. DTC was created to hold securities of its participants and to facilitate the clearance and settlement of securities transactions among participants through electronic book-entry changes in accounts of its participants and certain other organizations, thereby eliminating the need for physical movement of securities certificates. DTC’s participants include securities brokers and dealers, banks, trust companies, clearing corporations, and certain other organizations, some of whom (or their representatives) own interests in DTC. Indirect access to DTC’s book-entry system is also available to others, such as banks, brokers, dealers and trust companies that clear through or maintain a custodial relationship with a participant, either directly or indirectly (“indirect participants”).</w:t>
      </w:r>
    </w:p>
    <w:p>
      <w:pPr>
        <w:spacing w:after="0" w:line="18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Although DTC is expected to follow the foregoing procedures in order to facilitate transfers of interests in a global Exchange Note among participants of DTC, it is under no obligation to perform or continue to perform those procedures and those procedures may be discontinued at any time. Neither Union Pacific nor the trustee will have any responsibility for the performance by DTC or its respective participants or indirect participants of its respective obligations under the rules and procedures governing their operations.</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global Exchange Notes representing book-entry notes may not be transferred except as a whole by a nominee of DTC to DTC or to another nominee of DTC, or by DTC or the nominee to a successor of DTC or a nominee of the successor.</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global Exchange Notes representing the book-entry notes are exchangeable for definitive Exchange Notes in registered form, of like tenor and of an equal aggregate principal amount, only if:</w:t>
      </w:r>
    </w:p>
    <w:p>
      <w:pPr>
        <w:spacing w:after="0" w:line="67" w:lineRule="exact"/>
        <w:rPr>
          <w:sz w:val="20"/>
          <w:szCs w:val="20"/>
          <w:color w:val="auto"/>
        </w:rPr>
      </w:pPr>
    </w:p>
    <w:p>
      <w:pPr>
        <w:ind w:left="1080" w:right="20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Union Pacific that it is unwilling or unable to continue as a depositary for the global Exchange Note, or if at any time DTC ceases to be a Clearing Agency registered under the Exchange Act, and a successor depositary is not appointed by Union Pacific within 90 days after it receives such notice or becomes aware of such cessation; or</w:t>
      </w:r>
    </w:p>
    <w:p>
      <w:pPr>
        <w:spacing w:after="0" w:line="81"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Union Pacific in its sole discretion and subject to DTC’s procedures determines that the book-entry notes will be exchangeable for definitive Exchange Notes in registered form.</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global Exchange Note representing book-entry notes that is exchangeable pursuant to the preceding sentence will be exchangeable in whole for definitive Exchange Notes in registered form, of like tenor and of an equal aggregate principal amount, in denominations of U.S. $1,000 and integral multiples of U.S. $1,000 in excess thereof. Upon the exchange of a global Exchange Note for definitive Exchange Notes, that global Exchange Note will be canceled by the trustee and the definitive Exchange Notes will be registered in the names and in the authorized denominations as DTC, pursuant to instructions from its participants, any indirect participants or otherwise, instructs the trustee. The trustee will deliver those Exchange Notes to the persons in whose names those Exchange Notes are registered and will recognize those persons as the holders of those Exchange Notes.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Except as provided above, owners of book-entry notes will not be entitled to receive physical delivery of Exchange Notes in definitive form and will not be considered the holders of those Exchange Notes for any purpose under the Indenture, and no global Exchange Note representing book-entry notes will be exchangeable, except for another global Exchange Note of like denomination and tenor to be registered in the name of DTC or its nominee. Accordingly, each person owning a book-entry note must rely on the procedures of DTC and, if that person is not a participant, on the procedures of the participant through which that person owns its interest, to exercise any rights of a holder under that global Exchange Note or the Indenture. The Indenture provides that DTC, as a holder, may appoint agents and otherwise authorize participants to give or take any request, demand, authorization, direction, notice, consent, waiver or other action that a holder is entitled to give or take under the Indenture. Union Pacific understands that under existing industry practices, if Union Pacific requests any action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of holders or an owner of a book-entry note desires to give or take any action a holder is entitled to give or take under the Indenture, DTC or its nominee would authorize the participants owning the relevant book-entry notes to give or take that action, and those participants would authorize beneficial owners owning through those participants to give or take that action or would otherwise act upon the instructions of beneficial owners owning through them.</w:t>
      </w:r>
    </w:p>
    <w:p>
      <w:pPr>
        <w:spacing w:after="0" w:line="2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Clearance and Settlement Procedures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Transfers between participants in DTC will be effected in the ordinary way in accordance with DTC’s rules and will be settled in same-day funds. Secondary market trading between Clearstream Luxembourg Participants and/or Euroclear Participants will be effected in the ordinary way, in accordance with the applicable rules and operating procedures of Clearstream Luxembourg and Euroclear, and will be settled using the procedures applicable to conventional eurobonds in immediately available funds.</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participants in DTC, on the one hand, and directly or indirectly through Clearstream Luxembourg Participants or Euroclear Participants, on the other, will be effected in DTC in accordance with DTC’s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Exchange Notes in DTC, and making or receiving payment in accordance with normal procedures for same-day funds settlement applicable to DTC. Clearstream Luxembourg Participants and Euroclear Participants may not deliver instructions directly to their respective U.S. Depositaries.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of time-zone differences, credits of book-entry notes received in Clearstream Luxembourg or Euroclear as a result of a transaction with a DTC participant will be made during subsequent securities settlement processing and dated the business day following DTC settlement date. Such credits or any transactions in such Exchange Notes settled during such processing will be reported to the relevant Euroclear or Clearstream Luxembourg Participants on such business day. Cash received in Clearstream Luxembourg or Euroclear as a result of sales of Exchange Notes by or through a Clearstream Luxembourg Participant or a Euroclear Participant to a DTC participant will be received on the DTC settlement date but will be available in the relevant Clearstream Luxembourg or Euroclear cash account only as of the business day following settlement in DTC.</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Although DTC, Clearstream Luxembourg and Euroclear have agreed to the foregoing procedures in order to facilitate transfers of Exchange Notes among participants of DTC, Clearstream Luxembourg and Euroclear, they are under no obligation to perform or continue to perform such procedures and such procedures may be discontinued at any time.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consequences of the Exchange Offer to holders of Original Notes, but is not a complete analysis of all potential tax effects. The summary below is based upon the Internal Revenue Code of 1986, as amended (the “Code”), regulations of the Treasury Department, administrative rulings and pronouncements of the Internal Revenue Service and judicial decisions, all of which are subject to change, possibly with retroactive effect. This summary does not address all of the U.S. federal income tax consequences that may be applicable to particular holders, including dealers in securities, financial institutions, insurance companies and tax-exempt organizations. In addition, this summary does not consider the effect of any foreign, state, local, gift, estate or other tax laws that may be applicable to a particular holder. This summary applies only to a holder that holds such Original Notes as a capital asset within the meaning of Section 1221 of the Code.</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An exchange of Original Notes for Exchange Notes pursuant to the Exchange Offer will not be treated as a taxable exchange or other taxable event for U.S. federal income tax purposes. Accordingly, there will be no U.S. Federal income tax consequences to holders who exchange their Original Notes for Exchange Notes in connection with the Exchange Offer and any such holder will have the same adjusted tax basis and holding period in the Exchange Notes as it had in the Original Notes immediately before the exchange.</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foregoing discussion of certain U.S. federal income tax considerations does not consider the facts and circumstances of any particular holder’s situation or status. Accordingly, each holder of Original Notes considering the Exchange Offer should consult its own tax advisor regarding the tax consequences of the Exchange Offer to it, including those under state, foreign and other tax laws.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pursuant to the Exchange Offer must acknowledge that it will deliver a prospectus in connection with any resale of the Exchange Notes. This prospectus, as it may be amended or supplemented from time to time, may be used by a broker-dealer in connection with resales of Exchange Notes received in exchange for Original Notes where such Original Notes were acquired as a result of market-making activities or other trading activities. The Company has agreed that, for a period of 180 days after the Expiration Date, it will make this prospectus, as amended or supplemented, available to any broker-dealer for use in connection with any such resale. In addition, during this period, all dealers effecting transactions in the Exchange Notes may be required to deliver a prospectus.</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 will not receive any proceeds from any sale of Exchange Notes by broker-dealers. Exchange Notes received by broker-dealers for their own account pursuant to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 and any profit on any such resale of Exchange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9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a period of 180 days after the Expiration Date the Company will promptly send additional copies of this prospectus and any amendment or supplement to this prospectus to any broker-dealer that requests such documents in the letter of transmittal. The Company has agreed to pay all expenses incident to the Exchange Offer (including the expenses of one counsel for the holders of the Notes) other than commissions or concessions of any brokers or dealers and will indemnify the holders of the Notes (including any broker-dealers) against certain liabilities, including liabilities under the Securities Act.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Exchange Notes will be passed upon for us by John A. Menicucci, Jr., Esquire, Assistant Secretary of the Company and Senior Counsel of Union Pacific Railroad Company, or another senior corporate counsel designated by us and certain other matters in connection with the Exchange Notes will be passed upon for us by Chapman and Cutler LLP, Chicago, Illinois.</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and the related financial statement schedule, incorporated in this prospectus by reference from the Company’s Annual Report on Form 10-K for the year ended December 31, 2020, and the effectiveness of Union Pacific Corporation’s internal control over financial reporting have been audited by Deloitte &amp; Touche LLP, an independent registered public accounting firm, as stated in their reports, which are incorporated herein by reference. Such financial statements and the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60"/>
          </w:cols>
          <w:pgMar w:left="320" w:top="455" w:right="519" w:bottom="1440" w:gutter="0" w:footer="0" w:header="0"/>
        </w:sectPr>
      </w:pPr>
    </w:p>
    <w:bookmarkStart w:id="38" w:name="page39"/>
    <w:bookmarkEnd w:id="3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232410</wp:posOffset>
            </wp:positionV>
            <wp:extent cx="699516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292735</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43"/>
          <w:szCs w:val="43"/>
          <w:b w:val="1"/>
          <w:bCs w:val="1"/>
          <w:color w:val="auto"/>
        </w:rPr>
        <w:t>UNION PACIFIC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Offer to Exchange up to $1,047,453,000 Principal Amount of 2.973% Notes due 2062</w:t>
      </w:r>
    </w:p>
    <w:p>
      <w:pPr>
        <w:spacing w:after="0" w:line="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for a Like Principal Amount of 2.973% Notes due 2062</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which have been registered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2664460</wp:posOffset>
            </wp:positionV>
            <wp:extent cx="1474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1061720</wp:posOffset>
            </wp:positionV>
            <wp:extent cx="1928495" cy="4718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92849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[___________],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1082675</wp:posOffset>
            </wp:positionV>
            <wp:extent cx="6995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1134110</wp:posOffset>
            </wp:positionV>
            <wp:extent cx="699516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i w:val="1"/>
          <w:iCs w:val="1"/>
          <w:color w:val="auto"/>
        </w:rPr>
        <w:t>Item 20.</w:t>
      </w:r>
      <w:r>
        <w:rPr>
          <w:sz w:val="20"/>
          <w:szCs w:val="20"/>
          <w:color w:val="auto"/>
        </w:rPr>
        <w:tab/>
      </w:r>
      <w:r>
        <w:rPr>
          <w:rFonts w:ascii="Times New Roman" w:cs="Times New Roman" w:eastAsia="Times New Roman" w:hAnsi="Times New Roman"/>
          <w:sz w:val="18"/>
          <w:szCs w:val="18"/>
          <w:b w:val="1"/>
          <w:bCs w:val="1"/>
          <w:i w:val="1"/>
          <w:iCs w:val="1"/>
          <w:color w:val="auto"/>
        </w:rPr>
        <w:t>Indemnification of Directors and Officers.</w:t>
      </w:r>
    </w:p>
    <w:p>
      <w:pPr>
        <w:spacing w:after="0" w:line="119"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16-10a-901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of the Utah Revised Business Corporation Act grants to a corporation the power to indemnify a person made a party to a lawsuit or other proceeding because such person is or was a director or officer. A corporation is further empowered to purchase insurance on behalf of any person who is or was a director or officer against any liability asserted against him or her and incurred by him or her in such capacity or arising out of his or her status as such capacity. The Company’s by-laws provide for mandatory indemnification of its directors, officers and employees in certain circumstances. The Company maintains insurance on behalf of directors and officers against liability asserted against them arising out of their status as such.</w:t>
      </w:r>
    </w:p>
    <w:p>
      <w:pPr>
        <w:spacing w:after="0" w:line="18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Company’s restated articles of incorporation, incorporated herein as Exhibit 3.1 to this registration statement, eliminate in certain circumstances the personal liability of directors of the Company for monetary damages for a breach of their fiduciary duty as directors. This provision does not eliminate the liability of a director for (i) the amount of a financial benefit received by a director to which he is not entitled, (ii) an intentional infliction of harm on the corporation or the shareholders, (iii) a violation of Section 16-10a-842 of the Utah Revised Business Corporation Act (relating to the liability of directors for unlawful distributions) or (iv) an intentional violation of criminal law.</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21.</w:t>
            </w:r>
          </w:p>
        </w:tc>
        <w:tc>
          <w:tcPr>
            <w:tcW w:w="340" w:type="dxa"/>
            <w:vAlign w:val="bottom"/>
          </w:tcPr>
          <w:p>
            <w:pPr>
              <w:spacing w:after="0"/>
              <w:rPr>
                <w:sz w:val="20"/>
                <w:szCs w:val="20"/>
                <w:color w:val="auto"/>
              </w:rPr>
            </w:pPr>
          </w:p>
        </w:tc>
        <w:tc>
          <w:tcPr>
            <w:tcW w:w="9980" w:type="dxa"/>
            <w:vAlign w:val="bottom"/>
            <w:gridSpan w:val="15"/>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0" w:type="dxa"/>
            <w:vAlign w:val="bottom"/>
          </w:tcPr>
          <w:p>
            <w:pPr>
              <w:spacing w:after="0"/>
              <w:rPr>
                <w:sz w:val="1"/>
                <w:szCs w:val="1"/>
                <w:color w:val="auto"/>
              </w:rPr>
            </w:pPr>
          </w:p>
        </w:tc>
      </w:tr>
      <w:tr>
        <w:trPr>
          <w:trHeight w:val="367"/>
        </w:trPr>
        <w:tc>
          <w:tcPr>
            <w:tcW w:w="6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60" w:type="dxa"/>
            <w:vAlign w:val="bottom"/>
            <w:gridSpan w:val="9"/>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60" w:type="dxa"/>
            <w:vAlign w:val="bottom"/>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6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92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Restated Articles of Incorporation of Union Pacific Corporation, as amended and restated through June 27, 2011, and as further</w:t>
              </w:r>
            </w:hyperlink>
          </w:p>
        </w:tc>
        <w:tc>
          <w:tcPr>
            <w:tcW w:w="640" w:type="dxa"/>
            <w:vAlign w:val="bottom"/>
            <w:gridSpan w:val="6"/>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amended May 15, 2014, incorporated by reference to Exhibit 3(a) to the Company’s Quarterly Report on Form 10-Q for the quarter</w:t>
              </w:r>
            </w:hyperlink>
          </w:p>
        </w:tc>
        <w:tc>
          <w:tcPr>
            <w:tcW w:w="4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gridSpan w:val="14"/>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ended June 30, 2014.</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7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By-laws of Union Pacific Corporation, as amended effective as of November 19, 2015, incorporated by reference to Exhibit 3.2 to the</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Company’s Current Report on Form 8-K, dated November 19, 2015.</w:t>
              </w:r>
            </w:hyperlink>
          </w:p>
        </w:tc>
        <w:tc>
          <w:tcPr>
            <w:tcW w:w="49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6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Indenture, dated as of April 1, 1999, between Union Pacific Corporation and The Bank of New York Mellon Trust Company, N.A., as</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gridSpan w:val="14"/>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successor to The Bank of New York Mellon (formerly known as The Bank of New York), as successor to JPMorgan Chase Bank, N.A.</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(formerly The Chase Manhattan Bank), Trustee, incorporated by reference to Exhibit 4.2 to the Company’s Registration Statement on</w:t>
              </w:r>
            </w:hyperlink>
          </w:p>
        </w:tc>
        <w:tc>
          <w:tcPr>
            <w:tcW w:w="80" w:type="dxa"/>
            <w:vAlign w:val="bottom"/>
            <w:tcBorders>
              <w:top w:val="single" w:sz="8" w:color="0000EE"/>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Form S-3 (File No. 333-75989), dated April 9, 1999.</w:t>
              </w:r>
            </w:hyperlink>
          </w:p>
        </w:tc>
        <w:tc>
          <w:tcPr>
            <w:tcW w:w="60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4.2</w:t>
            </w:r>
          </w:p>
        </w:tc>
        <w:tc>
          <w:tcPr>
            <w:tcW w:w="10320" w:type="dxa"/>
            <w:vAlign w:val="bottom"/>
            <w:gridSpan w:val="16"/>
          </w:tcPr>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color w:val="0000EE"/>
                </w:rPr>
                <w:t>Form of Debt Security, incorporated by reference to Exhibit 4.3 to the Company’s Registration Statement on Form S-3 (File</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No. 33-59323), dated May 12, 1995.</w:t>
              </w:r>
            </w:hyperlink>
          </w:p>
        </w:tc>
        <w:tc>
          <w:tcPr>
            <w:tcW w:w="6280" w:type="dxa"/>
            <w:vAlign w:val="bottom"/>
            <w:tcBorders>
              <w:top w:val="single" w:sz="8" w:color="0000EE"/>
            </w:tcBorders>
            <w:gridSpan w:val="3"/>
          </w:tcPr>
          <w:p>
            <w:pPr>
              <w:spacing w:after="0"/>
              <w:rPr>
                <w:sz w:val="17"/>
                <w:szCs w:val="17"/>
                <w:color w:val="auto"/>
              </w:rPr>
            </w:pPr>
          </w:p>
        </w:tc>
        <w:tc>
          <w:tcPr>
            <w:tcW w:w="9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5.1*</w:t>
            </w:r>
          </w:p>
        </w:tc>
        <w:tc>
          <w:tcPr>
            <w:tcW w:w="10320" w:type="dxa"/>
            <w:vAlign w:val="bottom"/>
            <w:gridSpan w:val="16"/>
          </w:tcPr>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45">
              <w:r>
                <w:rPr>
                  <w:rFonts w:ascii="Times New Roman" w:cs="Times New Roman" w:eastAsia="Times New Roman" w:hAnsi="Times New Roman"/>
                  <w:sz w:val="18"/>
                  <w:szCs w:val="18"/>
                  <w:color w:val="0000EE"/>
                </w:rPr>
                <w:t>Opinion and consent of John A. Menicucci, Jr., Esquire, Assistant Secretary of the Company and Senior Counsel of Union Pacific</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Railroad Company</w:t>
              </w:r>
            </w:hyperlink>
          </w:p>
        </w:tc>
        <w:tc>
          <w:tcPr>
            <w:tcW w:w="5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93"/>
              </w:rPr>
              <w:t>21.1*</w:t>
            </w:r>
          </w:p>
        </w:tc>
        <w:tc>
          <w:tcPr>
            <w:tcW w:w="10320" w:type="dxa"/>
            <w:vAlign w:val="bottom"/>
            <w:gridSpan w:val="16"/>
          </w:tcPr>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47">
              <w:r>
                <w:rPr>
                  <w:rFonts w:ascii="Times New Roman" w:cs="Times New Roman" w:eastAsia="Times New Roman" w:hAnsi="Times New Roman"/>
                  <w:sz w:val="18"/>
                  <w:szCs w:val="18"/>
                  <w:u w:val="single" w:color="auto"/>
                  <w:color w:val="0000EE"/>
                </w:rPr>
                <w:t>Subsidiaries of Union Pacific Corporation</w:t>
              </w:r>
            </w:hyperlink>
          </w:p>
        </w:tc>
        <w:tc>
          <w:tcPr>
            <w:tcW w:w="0" w:type="dxa"/>
            <w:vAlign w:val="bottom"/>
          </w:tcPr>
          <w:p>
            <w:pPr>
              <w:spacing w:after="0"/>
              <w:rPr>
                <w:sz w:val="1"/>
                <w:szCs w:val="1"/>
                <w:color w:val="auto"/>
              </w:rPr>
            </w:pPr>
          </w:p>
        </w:tc>
      </w:tr>
      <w:tr>
        <w:trPr>
          <w:trHeight w:val="324"/>
        </w:trPr>
        <w:tc>
          <w:tcPr>
            <w:tcW w:w="6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93"/>
              </w:rPr>
              <w:t>23.1*</w:t>
            </w:r>
          </w:p>
        </w:tc>
        <w:tc>
          <w:tcPr>
            <w:tcW w:w="10320" w:type="dxa"/>
            <w:vAlign w:val="bottom"/>
            <w:gridSpan w:val="16"/>
          </w:tcPr>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48">
              <w:r>
                <w:rPr>
                  <w:rFonts w:ascii="Times New Roman" w:cs="Times New Roman" w:eastAsia="Times New Roman" w:hAnsi="Times New Roman"/>
                  <w:sz w:val="18"/>
                  <w:szCs w:val="18"/>
                  <w:u w:val="single" w:color="auto"/>
                  <w:color w:val="0000EE"/>
                </w:rPr>
                <w:t>Consent of Deloitte &amp; Touche LLP.</w:t>
              </w:r>
            </w:hyperlink>
          </w:p>
        </w:tc>
        <w:tc>
          <w:tcPr>
            <w:tcW w:w="0" w:type="dxa"/>
            <w:vAlign w:val="bottom"/>
          </w:tcPr>
          <w:p>
            <w:pPr>
              <w:spacing w:after="0"/>
              <w:rPr>
                <w:sz w:val="1"/>
                <w:szCs w:val="1"/>
                <w:color w:val="auto"/>
              </w:rPr>
            </w:pPr>
          </w:p>
        </w:tc>
      </w:tr>
      <w:tr>
        <w:trPr>
          <w:trHeight w:val="283"/>
        </w:trPr>
        <w:tc>
          <w:tcPr>
            <w:tcW w:w="6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93"/>
              </w:rPr>
              <w:t>23.2*</w:t>
            </w:r>
          </w:p>
        </w:tc>
        <w:tc>
          <w:tcPr>
            <w:tcW w:w="10320" w:type="dxa"/>
            <w:vAlign w:val="bottom"/>
            <w:gridSpan w:val="16"/>
          </w:tcPr>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45">
              <w:r>
                <w:rPr>
                  <w:rFonts w:ascii="Times New Roman" w:cs="Times New Roman" w:eastAsia="Times New Roman" w:hAnsi="Times New Roman"/>
                  <w:sz w:val="18"/>
                  <w:szCs w:val="18"/>
                  <w:color w:val="0000EE"/>
                </w:rPr>
                <w:t>Consent of John A. Menicucci, Jr., Esquire, Assistant Secretary of the Company and Senior Counsel of Union Pacific Railroad Company</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(included in Exhibit 5.1).</w:t>
              </w:r>
            </w:hyperlink>
          </w:p>
        </w:tc>
        <w:tc>
          <w:tcPr>
            <w:tcW w:w="8040" w:type="dxa"/>
            <w:vAlign w:val="bottom"/>
            <w:tcBorders>
              <w:top w:val="single" w:sz="8" w:color="0000EE"/>
            </w:tcBorders>
            <w:gridSpan w:val="11"/>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93"/>
              </w:rPr>
              <w:t>25.1*</w:t>
            </w:r>
          </w:p>
        </w:tc>
        <w:tc>
          <w:tcPr>
            <w:tcW w:w="10320" w:type="dxa"/>
            <w:vAlign w:val="bottom"/>
            <w:gridSpan w:val="16"/>
          </w:tcPr>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49">
              <w:r>
                <w:rPr>
                  <w:rFonts w:ascii="Times New Roman" w:cs="Times New Roman" w:eastAsia="Times New Roman" w:hAnsi="Times New Roman"/>
                  <w:sz w:val="18"/>
                  <w:szCs w:val="18"/>
                  <w:u w:val="single" w:color="auto"/>
                  <w:color w:val="0000EE"/>
                </w:rPr>
                <w:t>Statement of Eligibility on Form T-1 of The Bank of New York Mellon Trust Company, N.A. to act as trustee under the Indenture.</w:t>
              </w:r>
            </w:hyperlink>
          </w:p>
        </w:tc>
        <w:tc>
          <w:tcPr>
            <w:tcW w:w="0" w:type="dxa"/>
            <w:vAlign w:val="bottom"/>
          </w:tcPr>
          <w:p>
            <w:pPr>
              <w:spacing w:after="0"/>
              <w:rPr>
                <w:sz w:val="1"/>
                <w:szCs w:val="1"/>
                <w:color w:val="auto"/>
              </w:rPr>
            </w:pPr>
          </w:p>
        </w:tc>
      </w:tr>
      <w:tr>
        <w:trPr>
          <w:trHeight w:val="324"/>
        </w:trPr>
        <w:tc>
          <w:tcPr>
            <w:tcW w:w="6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93"/>
              </w:rPr>
              <w:t>99.1*</w:t>
            </w:r>
          </w:p>
        </w:tc>
        <w:tc>
          <w:tcPr>
            <w:tcW w:w="10320" w:type="dxa"/>
            <w:vAlign w:val="bottom"/>
            <w:gridSpan w:val="16"/>
          </w:tcPr>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55">
              <w:r>
                <w:rPr>
                  <w:rFonts w:ascii="Times New Roman" w:cs="Times New Roman" w:eastAsia="Times New Roman" w:hAnsi="Times New Roman"/>
                  <w:sz w:val="18"/>
                  <w:szCs w:val="18"/>
                  <w:u w:val="single" w:color="auto"/>
                  <w:color w:val="0000EE"/>
                </w:rPr>
                <w:t>Form of Letter of Transmittal.</w:t>
              </w:r>
            </w:hyperlink>
          </w:p>
        </w:tc>
        <w:tc>
          <w:tcPr>
            <w:tcW w:w="0" w:type="dxa"/>
            <w:vAlign w:val="bottom"/>
          </w:tcPr>
          <w:p>
            <w:pPr>
              <w:spacing w:after="0"/>
              <w:rPr>
                <w:sz w:val="1"/>
                <w:szCs w:val="1"/>
                <w:color w:val="auto"/>
              </w:rPr>
            </w:pPr>
          </w:p>
        </w:tc>
      </w:tr>
      <w:tr>
        <w:trPr>
          <w:trHeight w:val="324"/>
        </w:trPr>
        <w:tc>
          <w:tcPr>
            <w:tcW w:w="6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93"/>
              </w:rPr>
              <w:t>99.2*</w:t>
            </w:r>
          </w:p>
        </w:tc>
        <w:tc>
          <w:tcPr>
            <w:tcW w:w="10320" w:type="dxa"/>
            <w:vAlign w:val="bottom"/>
            <w:gridSpan w:val="16"/>
          </w:tcPr>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73">
              <w:r>
                <w:rPr>
                  <w:rFonts w:ascii="Times New Roman" w:cs="Times New Roman" w:eastAsia="Times New Roman" w:hAnsi="Times New Roman"/>
                  <w:sz w:val="18"/>
                  <w:szCs w:val="18"/>
                  <w:u w:val="single" w:color="auto"/>
                  <w:color w:val="0000EE"/>
                </w:rPr>
                <w:t>Form of Letter to Clients.</w:t>
              </w:r>
            </w:hyperlink>
          </w:p>
        </w:tc>
        <w:tc>
          <w:tcPr>
            <w:tcW w:w="0" w:type="dxa"/>
            <w:vAlign w:val="bottom"/>
          </w:tcPr>
          <w:p>
            <w:pPr>
              <w:spacing w:after="0"/>
              <w:rPr>
                <w:sz w:val="1"/>
                <w:szCs w:val="1"/>
                <w:color w:val="auto"/>
              </w:rPr>
            </w:pPr>
          </w:p>
        </w:tc>
      </w:tr>
      <w:tr>
        <w:trPr>
          <w:trHeight w:val="364"/>
        </w:trPr>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60" w:type="dxa"/>
            <w:vAlign w:val="bottom"/>
            <w:gridSpan w:val="9"/>
          </w:tcPr>
          <w:p>
            <w:pPr>
              <w:ind w:left="440"/>
              <w:spacing w:after="0"/>
              <w:rPr>
                <w:sz w:val="20"/>
                <w:szCs w:val="20"/>
                <w:color w:val="auto"/>
              </w:rPr>
            </w:pPr>
            <w:r>
              <w:rPr>
                <w:rFonts w:ascii="Times New Roman" w:cs="Times New Roman" w:eastAsia="Times New Roman" w:hAnsi="Times New Roman"/>
                <w:sz w:val="18"/>
                <w:szCs w:val="18"/>
                <w:color w:val="auto"/>
              </w:rPr>
              <w:t>II-1</w:t>
            </w: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0" w:type="dxa"/>
            <w:vAlign w:val="bottom"/>
            <w:vMerge w:val="restart"/>
          </w:tcPr>
          <w:p>
            <w:pPr>
              <w:ind w:left="47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9200" w:type="dxa"/>
            <w:vAlign w:val="bottom"/>
          </w:tcPr>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75">
              <w:r>
                <w:rPr>
                  <w:rFonts w:ascii="Times New Roman" w:cs="Times New Roman" w:eastAsia="Times New Roman" w:hAnsi="Times New Roman"/>
                  <w:sz w:val="18"/>
                  <w:szCs w:val="18"/>
                  <w:u w:val="single" w:color="auto"/>
                  <w:color w:val="0000EE"/>
                </w:rPr>
                <w:t>Form of Letter to Brokers.</w:t>
              </w:r>
            </w:hyperlink>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9200" w:type="dxa"/>
            <w:vAlign w:val="bottom"/>
          </w:tcPr>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55">
              <w:r>
                <w:rPr>
                  <w:rFonts w:ascii="Times New Roman" w:cs="Times New Roman" w:eastAsia="Times New Roman" w:hAnsi="Times New Roman"/>
                  <w:sz w:val="18"/>
                  <w:szCs w:val="18"/>
                  <w:u w:val="single" w:color="auto"/>
                  <w:color w:val="0000EE"/>
                </w:rPr>
                <w:t>Form of Guidelines for Certificate of Taxpayer Identification Number on Substitute Form W-9 (included in Exhibit 99.1).</w:t>
              </w:r>
            </w:hyperlink>
          </w:p>
        </w:tc>
        <w:tc>
          <w:tcPr>
            <w:tcW w:w="0" w:type="dxa"/>
            <w:vAlign w:val="bottom"/>
          </w:tcPr>
          <w:p>
            <w:pPr>
              <w:spacing w:after="0"/>
              <w:rPr>
                <w:sz w:val="1"/>
                <w:szCs w:val="1"/>
                <w:color w:val="auto"/>
              </w:rPr>
            </w:pPr>
          </w:p>
        </w:tc>
      </w:tr>
      <w:tr>
        <w:trPr>
          <w:trHeight w:val="459"/>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0" w:type="dxa"/>
            <w:vAlign w:val="bottom"/>
          </w:tcPr>
          <w:p>
            <w:pPr>
              <w:spacing w:after="0"/>
              <w:rPr>
                <w:sz w:val="1"/>
                <w:szCs w:val="1"/>
                <w:color w:val="auto"/>
              </w:rPr>
            </w:pPr>
          </w:p>
        </w:tc>
      </w:tr>
      <w:tr>
        <w:trPr>
          <w:trHeight w:val="580"/>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22.</w:t>
            </w:r>
          </w:p>
        </w:tc>
        <w:tc>
          <w:tcPr>
            <w:tcW w:w="92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Undertakings.</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940" w:hanging="384"/>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360" w:hanging="381"/>
        <w:spacing w:after="0"/>
        <w:tabs>
          <w:tab w:leader="none" w:pos="13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860" w:hanging="352"/>
        <w:spacing w:after="0"/>
        <w:tabs>
          <w:tab w:leader="none" w:pos="186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17" w:lineRule="exact"/>
        <w:rPr>
          <w:rFonts w:ascii="Times New Roman" w:cs="Times New Roman" w:eastAsia="Times New Roman" w:hAnsi="Times New Roman"/>
          <w:sz w:val="18"/>
          <w:szCs w:val="18"/>
          <w:color w:val="auto"/>
        </w:rPr>
      </w:pPr>
    </w:p>
    <w:p>
      <w:pPr>
        <w:ind w:left="1100" w:firstLine="408"/>
        <w:spacing w:after="0" w:line="255" w:lineRule="auto"/>
        <w:tabs>
          <w:tab w:leader="none" w:pos="1897"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80" w:lineRule="exact"/>
        <w:rPr>
          <w:rFonts w:ascii="Times New Roman" w:cs="Times New Roman" w:eastAsia="Times New Roman" w:hAnsi="Times New Roman"/>
          <w:sz w:val="18"/>
          <w:szCs w:val="18"/>
          <w:color w:val="auto"/>
        </w:rPr>
      </w:pPr>
    </w:p>
    <w:p>
      <w:pPr>
        <w:ind w:left="1100" w:right="600" w:firstLine="408"/>
        <w:spacing w:after="0" w:line="282" w:lineRule="auto"/>
        <w:tabs>
          <w:tab w:leader="none" w:pos="1947"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3" w:lineRule="exact"/>
        <w:rPr>
          <w:rFonts w:ascii="Times New Roman" w:cs="Times New Roman" w:eastAsia="Times New Roman" w:hAnsi="Times New Roman"/>
          <w:sz w:val="18"/>
          <w:szCs w:val="18"/>
          <w:color w:val="auto"/>
        </w:rPr>
      </w:pPr>
    </w:p>
    <w:p>
      <w:pPr>
        <w:ind w:left="560" w:right="20" w:firstLine="419"/>
        <w:spacing w:after="0" w:line="266" w:lineRule="auto"/>
        <w:tabs>
          <w:tab w:leader="none" w:pos="136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67" w:lineRule="exact"/>
        <w:rPr>
          <w:rFonts w:ascii="Times New Roman" w:cs="Times New Roman" w:eastAsia="Times New Roman" w:hAnsi="Times New Roman"/>
          <w:sz w:val="18"/>
          <w:szCs w:val="18"/>
          <w:color w:val="auto"/>
        </w:rPr>
      </w:pPr>
    </w:p>
    <w:p>
      <w:pPr>
        <w:ind w:left="560" w:right="20" w:firstLine="419"/>
        <w:spacing w:after="0" w:line="282" w:lineRule="auto"/>
        <w:tabs>
          <w:tab w:leader="none" w:pos="136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1360" w:hanging="381"/>
        <w:spacing w:after="0"/>
        <w:tabs>
          <w:tab w:leader="none" w:pos="13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liability under the Securities Act of 1933 to any purchaser:</w:t>
      </w:r>
    </w:p>
    <w:p>
      <w:pPr>
        <w:spacing w:after="0" w:line="117" w:lineRule="exact"/>
        <w:rPr>
          <w:rFonts w:ascii="Times New Roman" w:cs="Times New Roman" w:eastAsia="Times New Roman" w:hAnsi="Times New Roman"/>
          <w:sz w:val="18"/>
          <w:szCs w:val="18"/>
          <w:color w:val="auto"/>
        </w:rPr>
      </w:pPr>
    </w:p>
    <w:p>
      <w:pPr>
        <w:ind w:left="1100" w:right="60" w:firstLine="408"/>
        <w:spacing w:after="0" w:line="255" w:lineRule="auto"/>
        <w:tabs>
          <w:tab w:leader="none" w:pos="1851"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filed pursuant to Rule 424(b) as part of the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0" w:lineRule="exact"/>
        <w:rPr>
          <w:rFonts w:ascii="Times New Roman" w:cs="Times New Roman" w:eastAsia="Times New Roman" w:hAnsi="Times New Roman"/>
          <w:sz w:val="18"/>
          <w:szCs w:val="18"/>
          <w:color w:val="auto"/>
        </w:rPr>
      </w:pPr>
    </w:p>
    <w:p>
      <w:pPr>
        <w:ind w:left="560" w:right="760" w:firstLine="419"/>
        <w:spacing w:after="0" w:line="282" w:lineRule="auto"/>
        <w:tabs>
          <w:tab w:leader="none" w:pos="136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w:t>
      </w:r>
    </w:p>
    <w:p>
      <w:pPr>
        <w:spacing w:after="0" w:line="162" w:lineRule="exact"/>
        <w:rPr>
          <w:sz w:val="20"/>
          <w:szCs w:val="20"/>
          <w:color w:val="auto"/>
        </w:rPr>
      </w:pPr>
    </w:p>
    <w:p>
      <w:pPr>
        <w:ind w:left="560" w:right="420" w:firstLine="423"/>
        <w:spacing w:after="0" w:line="282"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60"/>
          </w:cols>
          <w:pgMar w:left="320" w:top="455" w:right="51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860"/>
        <w:spacing w:after="0" w:line="282" w:lineRule="auto"/>
        <w:rPr>
          <w:sz w:val="20"/>
          <w:szCs w:val="20"/>
          <w:color w:val="auto"/>
        </w:rPr>
      </w:pPr>
      <w:r>
        <w:rPr>
          <w:rFonts w:ascii="Times New Roman" w:cs="Times New Roman" w:eastAsia="Times New Roman" w:hAnsi="Times New Roman"/>
          <w:sz w:val="18"/>
          <w:szCs w:val="18"/>
          <w:color w:val="auto"/>
        </w:rPr>
        <w:t>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54" w:lineRule="exact"/>
        <w:rPr>
          <w:sz w:val="20"/>
          <w:szCs w:val="20"/>
          <w:color w:val="auto"/>
        </w:rPr>
      </w:pPr>
    </w:p>
    <w:p>
      <w:pPr>
        <w:ind w:left="1320" w:hanging="341"/>
        <w:spacing w:after="0"/>
        <w:tabs>
          <w:tab w:leader="none" w:pos="132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 424;</w:t>
      </w:r>
    </w:p>
    <w:p>
      <w:pPr>
        <w:spacing w:after="0" w:line="128" w:lineRule="exact"/>
        <w:rPr>
          <w:rFonts w:ascii="Times New Roman" w:cs="Times New Roman" w:eastAsia="Times New Roman" w:hAnsi="Times New Roman"/>
          <w:sz w:val="17"/>
          <w:szCs w:val="17"/>
          <w:color w:val="auto"/>
        </w:rPr>
      </w:pPr>
    </w:p>
    <w:p>
      <w:pPr>
        <w:ind w:left="560" w:right="100" w:firstLine="419"/>
        <w:spacing w:after="0" w:line="282" w:lineRule="auto"/>
        <w:tabs>
          <w:tab w:leader="none" w:pos="137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560" w:right="600" w:firstLine="419"/>
        <w:spacing w:after="0" w:line="282" w:lineRule="auto"/>
        <w:tabs>
          <w:tab w:leader="none" w:pos="142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1400" w:hanging="421"/>
        <w:spacing w:after="0"/>
        <w:tabs>
          <w:tab w:leader="none" w:pos="14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120" w:right="80" w:firstLine="436"/>
        <w:spacing w:after="0" w:line="258" w:lineRule="auto"/>
        <w:tabs>
          <w:tab w:leader="none" w:pos="94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the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left="120" w:firstLine="436"/>
        <w:spacing w:after="0" w:line="254"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described in Item 20,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jc w:val="both"/>
        <w:ind w:left="120" w:right="280" w:firstLine="436"/>
        <w:spacing w:after="0" w:line="261" w:lineRule="auto"/>
        <w:tabs>
          <w:tab w:leader="none" w:pos="94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9" w:lineRule="exact"/>
        <w:rPr>
          <w:rFonts w:ascii="Times New Roman" w:cs="Times New Roman" w:eastAsia="Times New Roman" w:hAnsi="Times New Roman"/>
          <w:sz w:val="18"/>
          <w:szCs w:val="18"/>
          <w:color w:val="auto"/>
        </w:rPr>
      </w:pPr>
    </w:p>
    <w:p>
      <w:pPr>
        <w:ind w:left="120" w:right="260" w:firstLine="436"/>
        <w:spacing w:after="0" w:line="312" w:lineRule="auto"/>
        <w:tabs>
          <w:tab w:leader="none" w:pos="937"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Union Pacific Corporation has duly caused this Registration Statement on Form S-4 to be signed on its behalf by the undersigned, thereunto duly authorized, in the City of Omaha, State of Nebraska, on the 10th day of February, 2021.</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UNION PACIFIC CORPORATION</w:t>
      </w:r>
    </w:p>
    <w:p>
      <w:pPr>
        <w:spacing w:after="0" w:line="225" w:lineRule="exact"/>
        <w:rPr>
          <w:sz w:val="20"/>
          <w:szCs w:val="20"/>
          <w:color w:val="auto"/>
        </w:rPr>
      </w:pPr>
    </w:p>
    <w:p>
      <w:pPr>
        <w:ind w:left="6740"/>
        <w:spacing w:after="0"/>
        <w:tabs>
          <w:tab w:leader="none" w:pos="7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L. Hamann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6"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Name: Jennifer L. Hamann</w:t>
      </w:r>
    </w:p>
    <w:p>
      <w:pPr>
        <w:spacing w:after="0" w:line="27" w:lineRule="exact"/>
        <w:rPr>
          <w:sz w:val="20"/>
          <w:szCs w:val="20"/>
          <w:color w:val="auto"/>
        </w:rPr>
      </w:pPr>
    </w:p>
    <w:p>
      <w:pPr>
        <w:ind w:left="7260"/>
        <w:spacing w:after="0"/>
        <w:tabs>
          <w:tab w:leader="none" w:pos="7820" w:val="left"/>
        </w:tabs>
        <w:rPr>
          <w:sz w:val="20"/>
          <w:szCs w:val="20"/>
          <w:color w:val="auto"/>
        </w:rPr>
      </w:pPr>
      <w:r>
        <w:rPr>
          <w:rFonts w:ascii="Times New Roman" w:cs="Times New Roman" w:eastAsia="Times New Roman" w:hAnsi="Times New Roman"/>
          <w:sz w:val="18"/>
          <w:szCs w:val="18"/>
          <w:color w:val="auto"/>
        </w:rPr>
        <w:t>Title:</w:t>
        <w:tab/>
        <w:t>Executive Vice President and</w:t>
      </w:r>
    </w:p>
    <w:p>
      <w:pPr>
        <w:spacing w:after="0" w:line="9"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the 10th day of February, 2021.</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5040" w:type="dxa"/>
            <w:vAlign w:val="bottom"/>
          </w:tcPr>
          <w:p>
            <w:pPr>
              <w:ind w:left="218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IGNATURE</w:t>
            </w:r>
          </w:p>
        </w:tc>
        <w:tc>
          <w:tcPr>
            <w:tcW w:w="4060" w:type="dxa"/>
            <w:vAlign w:val="bottom"/>
          </w:tcPr>
          <w:p>
            <w:pPr>
              <w:ind w:left="2920"/>
              <w:spacing w:after="0"/>
              <w:rPr>
                <w:sz w:val="20"/>
                <w:szCs w:val="20"/>
                <w:color w:val="auto"/>
              </w:rPr>
            </w:pPr>
            <w:r>
              <w:rPr>
                <w:rFonts w:ascii="Times New Roman" w:cs="Times New Roman" w:eastAsia="Times New Roman" w:hAnsi="Times New Roman"/>
                <w:sz w:val="14"/>
                <w:szCs w:val="14"/>
                <w:color w:val="auto"/>
              </w:rPr>
              <w:t>T</w:t>
            </w:r>
            <w:r>
              <w:rPr>
                <w:rFonts w:ascii="Times New Roman" w:cs="Times New Roman" w:eastAsia="Times New Roman" w:hAnsi="Times New Roman"/>
                <w:sz w:val="11"/>
                <w:szCs w:val="11"/>
                <w:color w:val="auto"/>
              </w:rPr>
              <w:t>ITLE</w:t>
            </w:r>
          </w:p>
        </w:tc>
      </w:tr>
      <w:tr>
        <w:trPr>
          <w:trHeight w:val="415"/>
        </w:trPr>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Lance M. Fritz</w:t>
            </w: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28"/>
        </w:trPr>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Lance M. Fritz</w:t>
            </w: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Jennifer L. Hamann</w:t>
            </w: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28"/>
        </w:trPr>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Jennifer Hamann</w:t>
            </w: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27"/>
        </w:trPr>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Todd M. Rynaski</w:t>
            </w: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Vice President and Controller (Principal Accounting</w:t>
            </w:r>
          </w:p>
        </w:tc>
      </w:tr>
      <w:tr>
        <w:trPr>
          <w:trHeight w:val="228"/>
        </w:trPr>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Todd M. Rynaski</w:t>
            </w: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Officer)</w:t>
            </w:r>
          </w:p>
        </w:tc>
      </w:tr>
      <w:tr>
        <w:trPr>
          <w:trHeight w:val="427"/>
        </w:trPr>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Andrew H. Card, Jr.</w:t>
            </w: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Andrew H. Card, Jr.</w:t>
            </w:r>
          </w:p>
        </w:tc>
        <w:tc>
          <w:tcPr>
            <w:tcW w:w="40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William J. DeLaney</w:t>
            </w: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William J. DeLaney</w:t>
            </w:r>
          </w:p>
        </w:tc>
        <w:tc>
          <w:tcPr>
            <w:tcW w:w="40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David B. Dillon</w:t>
            </w: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David B. Dillon</w:t>
            </w:r>
          </w:p>
        </w:tc>
        <w:tc>
          <w:tcPr>
            <w:tcW w:w="40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Deborah C. Hopkins</w:t>
            </w: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Deborah C. Hopkins</w:t>
            </w:r>
          </w:p>
        </w:tc>
        <w:tc>
          <w:tcPr>
            <w:tcW w:w="40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Jane H. Lute</w:t>
            </w: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Jane H. Lute</w:t>
            </w:r>
          </w:p>
        </w:tc>
        <w:tc>
          <w:tcPr>
            <w:tcW w:w="40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Michael R. McCarthy</w:t>
            </w: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Michael R. McCarthy</w:t>
            </w:r>
          </w:p>
        </w:tc>
        <w:tc>
          <w:tcPr>
            <w:tcW w:w="40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Thomas F. McLarty III</w:t>
            </w: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Thomas F. McLarty III</w:t>
            </w:r>
          </w:p>
        </w:tc>
        <w:tc>
          <w:tcPr>
            <w:tcW w:w="40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Bhavesh V. Patel</w:t>
            </w: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Bhavesh V. Patel</w:t>
            </w:r>
          </w:p>
        </w:tc>
        <w:tc>
          <w:tcPr>
            <w:tcW w:w="4060" w:type="dxa"/>
            <w:vAlign w:val="bottom"/>
          </w:tcPr>
          <w:p>
            <w:pPr>
              <w:spacing w:after="0"/>
              <w:rPr>
                <w:sz w:val="19"/>
                <w:szCs w:val="19"/>
                <w:color w:val="auto"/>
              </w:rPr>
            </w:pPr>
          </w:p>
        </w:tc>
      </w:tr>
    </w:tbl>
    <w:p>
      <w:pPr>
        <w:sectPr>
          <w:pgSz w:w="11900" w:h="16838" w:orient="portrait"/>
          <w:cols w:equalWidth="0" w:num="1">
            <w:col w:w="11060"/>
          </w:cols>
          <w:pgMar w:left="320" w:top="455" w:right="51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5040" w:type="dxa"/>
            <w:vAlign w:val="bottom"/>
          </w:tcPr>
          <w:p>
            <w:pPr>
              <w:ind w:left="218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IGNATURE</w:t>
            </w:r>
          </w:p>
        </w:tc>
        <w:tc>
          <w:tcPr>
            <w:tcW w:w="3280" w:type="dxa"/>
            <w:vAlign w:val="bottom"/>
          </w:tcPr>
          <w:p>
            <w:pPr>
              <w:ind w:left="2920"/>
              <w:spacing w:after="0"/>
              <w:rPr>
                <w:sz w:val="20"/>
                <w:szCs w:val="20"/>
                <w:color w:val="auto"/>
              </w:rPr>
            </w:pPr>
            <w:r>
              <w:rPr>
                <w:rFonts w:ascii="Times New Roman" w:cs="Times New Roman" w:eastAsia="Times New Roman" w:hAnsi="Times New Roman"/>
                <w:sz w:val="14"/>
                <w:szCs w:val="14"/>
                <w:color w:val="auto"/>
              </w:rPr>
              <w:t>T</w:t>
            </w:r>
            <w:r>
              <w:rPr>
                <w:rFonts w:ascii="Times New Roman" w:cs="Times New Roman" w:eastAsia="Times New Roman" w:hAnsi="Times New Roman"/>
                <w:sz w:val="11"/>
                <w:szCs w:val="11"/>
                <w:color w:val="auto"/>
              </w:rPr>
              <w:t>ITLE</w:t>
            </w:r>
          </w:p>
        </w:tc>
      </w:tr>
      <w:tr>
        <w:trPr>
          <w:trHeight w:val="415"/>
        </w:trPr>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Jose H. Villarreal</w:t>
            </w:r>
          </w:p>
        </w:tc>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Jose H. Villarreal</w:t>
            </w:r>
          </w:p>
        </w:tc>
        <w:tc>
          <w:tcPr>
            <w:tcW w:w="328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Christopher J. Williams</w:t>
            </w:r>
          </w:p>
        </w:tc>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Christopher J. Williams</w:t>
            </w:r>
          </w:p>
        </w:tc>
        <w:tc>
          <w:tcPr>
            <w:tcW w:w="3280" w:type="dxa"/>
            <w:vAlign w:val="bottom"/>
          </w:tcPr>
          <w:p>
            <w:pPr>
              <w:spacing w:after="0"/>
              <w:rPr>
                <w:sz w:val="19"/>
                <w:szCs w:val="19"/>
                <w:color w:val="auto"/>
              </w:rPr>
            </w:pPr>
          </w:p>
        </w:tc>
      </w:tr>
    </w:tbl>
    <w:p>
      <w:pPr>
        <w:sectPr>
          <w:pgSz w:w="11900" w:h="16838" w:orient="portrait"/>
          <w:cols w:equalWidth="0" w:num="1">
            <w:col w:w="10139"/>
          </w:cols>
          <w:pgMar w:left="320" w:top="455" w:right="1440"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4"/>
          <w:szCs w:val="14"/>
          <w:b w:val="1"/>
          <w:bCs w:val="1"/>
          <w:color w:val="auto"/>
        </w:rPr>
        <w:t>NION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ACIFIC</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ETTERHEAD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February 10, 2021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Union Pacific Corporation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1400 Douglas Street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Omaha, Nebraska 68179</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5"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 am Assistant Secretary of Union Pacific Corporation, a Utah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and Senior Counsel for the Union Pacific Railroad Company, and I am rendering this opinion in connection with the filing by the Company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xml:space="preserve">) of a registration statement on Form S-4 (as amended,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xml:space="preserve">)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relating to the issuance and exchange of up to $1,047,453,000 aggregate principal amount of new 2.973% Notes due 2062 (the </w:t>
      </w:r>
      <w:r>
        <w:rPr>
          <w:rFonts w:ascii="Times New Roman" w:cs="Times New Roman" w:eastAsia="Times New Roman" w:hAnsi="Times New Roman"/>
          <w:sz w:val="18"/>
          <w:szCs w:val="18"/>
          <w:i w:val="1"/>
          <w:iCs w:val="1"/>
          <w:color w:val="auto"/>
        </w:rPr>
        <w:t>“Exchange Notes”</w:t>
      </w:r>
      <w:r>
        <w:rPr>
          <w:rFonts w:ascii="Times New Roman" w:cs="Times New Roman" w:eastAsia="Times New Roman" w:hAnsi="Times New Roman"/>
          <w:sz w:val="18"/>
          <w:szCs w:val="18"/>
          <w:color w:val="auto"/>
        </w:rPr>
        <w:t xml:space="preserve">) for a like aggregate principal amount of outstanding 2.973% Notes due 2062, which have certain transfer restrictions (the </w:t>
      </w:r>
      <w:r>
        <w:rPr>
          <w:rFonts w:ascii="Times New Roman" w:cs="Times New Roman" w:eastAsia="Times New Roman" w:hAnsi="Times New Roman"/>
          <w:sz w:val="18"/>
          <w:szCs w:val="18"/>
          <w:i w:val="1"/>
          <w:iCs w:val="1"/>
          <w:color w:val="auto"/>
        </w:rPr>
        <w:t>“Original Notes”</w:t>
      </w:r>
      <w:r>
        <w:rPr>
          <w:rFonts w:ascii="Times New Roman" w:cs="Times New Roman" w:eastAsia="Times New Roman" w:hAnsi="Times New Roman"/>
          <w:sz w:val="18"/>
          <w:szCs w:val="18"/>
          <w:color w:val="auto"/>
        </w:rPr>
        <w:t xml:space="preserve">). The Exchange Notes are to be issued pursuant to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April 1, 1999 between the Company and The Bank of New York Mellon Trust Company, N.A., as successor to The Bank of New York Mellon (formerly known as The Bank of New York), as successor to JPMorgan Chase Bank, N.A. (formerly known as The Chase Manhattan Bank), as trustee.</w:t>
      </w:r>
    </w:p>
    <w:p>
      <w:pPr>
        <w:spacing w:after="0" w:line="187" w:lineRule="exact"/>
        <w:rPr>
          <w:sz w:val="20"/>
          <w:szCs w:val="20"/>
          <w:color w:val="auto"/>
        </w:rPr>
      </w:pPr>
    </w:p>
    <w:p>
      <w:pPr>
        <w:ind w:left="4" w:right="2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this opinion, I, or attorneys under my supervision, have examined originals or copies, certified or otherwise identified to my satisfaction, of such documents and proceedings as I have considered necessary for the purposes of this opinion. I, or attorneys under my supervision, have also examined and am familiar with the proceedings taken by the Company to authorize the issuance and exchange of the Exchange Notes for a like aggregate principal amount of outstanding Original Notes. In addition, I have examined a copy of the Registration Statement, including the prospectus forming a part thereof and the exhibits thereto (the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rendering this opinion I have assumed, without independent investigation: (i) the authenticity of all documents submitted to me as originals;</w:t>
      </w:r>
    </w:p>
    <w:p>
      <w:pPr>
        <w:spacing w:after="0" w:line="27" w:lineRule="exact"/>
        <w:rPr>
          <w:sz w:val="20"/>
          <w:szCs w:val="20"/>
          <w:color w:val="auto"/>
        </w:rPr>
      </w:pPr>
    </w:p>
    <w:p>
      <w:pPr>
        <w:jc w:val="both"/>
        <w:ind w:left="4" w:right="140" w:hanging="4"/>
        <w:spacing w:after="0" w:line="255" w:lineRule="auto"/>
        <w:tabs>
          <w:tab w:leader="none" w:pos="26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conformity to original documents of all documents submitted as certified or photostatic copies; and (iii) the genuineness of all signatures. As to questions of material fact relating to the opinions expressed herein, I have relied upon such certificates of public officials, corporate agents and officers of the Company and such other certificates as I have deemed relevant.</w:t>
      </w:r>
    </w:p>
    <w:p>
      <w:pPr>
        <w:spacing w:after="0" w:line="186"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Based upon and subject to the foregoing and other qualifications and limitations set forth herein, I am of the opinion that when the Registration Statement has become effective under the Securities Act, the Exchange Notes have been duly executed, delivered and authenticated in accordance with the terms of the Indenture and the Original Notes have been duly received by the Company, all in the manner contemplated by the said Registration Statement, the Exchange Notes will be legally issued and binding obligations of the Company enforceable against the Company in accordance with their terms, except as enforcement thereof may be limited by bankruptcy, insolvency, reorganization, moratorium, fraudulent conveyance or similar laws relating to or affecting creditors’ rights generally and by general principles of equity including, without limitation, concepts of materiality, reasonableness, good faith and fair dealing and the possible unavailability of specific performance or injunctive relief, regardless of whether considered in a proceeding in equity or at law and will be entitled to the benefits of the Indenture.</w:t>
      </w:r>
    </w:p>
    <w:p>
      <w:pPr>
        <w:sectPr>
          <w:pgSz w:w="11900" w:h="16838" w:orient="portrait"/>
          <w:cols w:equalWidth="0" w:num="1">
            <w:col w:w="11024"/>
          </w:cols>
          <w:pgMar w:left="436" w:top="117"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February 10,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- 2 -</w:t>
      </w:r>
    </w:p>
    <w:p>
      <w:pPr>
        <w:spacing w:after="0" w:line="13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My opinion is limited in all respects to the corporate laws of the State of Utah, the laws of the State of Nebraska and the laws of the United States of America, and I express no opinion with respect to the laws of any other jurisdiction. To the extent that this opinion relates to matters under the laws of the State of New York, I have assumed that the laws of the State of New York are substantially similar to those of the State of Nebraska for similar matters in this opinion. Please note that I am opining only as to the matters expressly set forth herein, and no opinion should be inferred as to any other matters. This opinion is provided as of the date hereof and is based upon currently existing statutes, rules, regulations and judicial decisions, and I disclaim any obligation to advise you of any change in any of these sources of law or subsequent legal or factual developments that might affect any matters or opinions set forth herein.</w:t>
      </w:r>
    </w:p>
    <w:p>
      <w:pPr>
        <w:spacing w:after="0" w:line="18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In addition, I hereby consent to the filing of this opinion as Exhibit 5.1 to the Registration Statement and to the use of my name under the heading “Legal Matters” in the Prospectus. In rendering this opinion and giving this consent, I do not admit that I am an “expert” within the meaning of Section 7 of the Securities Act and the rules and regulations of the SEC thereunder.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John A. Menicucci,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John A. Menicucci, Jr.</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Union Pacific Corporation</w:t>
      </w:r>
    </w:p>
    <w:p>
      <w:pPr>
        <w:sectPr>
          <w:pgSz w:w="11900" w:h="16838" w:orient="portrait"/>
          <w:cols w:equalWidth="0" w:num="1">
            <w:col w:w="11000"/>
          </w:cols>
          <w:pgMar w:left="440" w:top="270" w:right="4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SIGNIFICANT SUBSIDIARIES OF UNION PACIFIC CORPORATION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Corporation</w:t>
            </w:r>
          </w:p>
        </w:tc>
        <w:tc>
          <w:tcPr>
            <w:tcW w:w="3800" w:type="dxa"/>
            <w:vAlign w:val="bottom"/>
          </w:tcPr>
          <w:p>
            <w:pPr>
              <w:spacing w:after="0"/>
              <w:rPr>
                <w:sz w:val="16"/>
                <w:szCs w:val="16"/>
                <w:color w:val="auto"/>
              </w:rPr>
            </w:pPr>
          </w:p>
        </w:tc>
        <w:tc>
          <w:tcPr>
            <w:tcW w:w="41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r>
      <w:tr>
        <w:trPr>
          <w:trHeight w:val="203"/>
        </w:trPr>
        <w:tc>
          <w:tcPr>
            <w:tcW w:w="51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Union Pacific Railroad Company</w:t>
            </w:r>
          </w:p>
        </w:tc>
        <w:tc>
          <w:tcPr>
            <w:tcW w:w="27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Delaware</w:t>
            </w:r>
          </w:p>
        </w:tc>
        <w:tc>
          <w:tcPr>
            <w:tcW w:w="60" w:type="dxa"/>
            <w:vAlign w:val="bottom"/>
            <w:tcBorders>
              <w:top w:val="single" w:sz="8" w:color="CCEEFF"/>
            </w:tcBorders>
            <w:shd w:val="clear" w:color="auto" w:fill="CCEEFF"/>
          </w:tcPr>
          <w:p>
            <w:pPr>
              <w:spacing w:after="0"/>
              <w:rPr>
                <w:sz w:val="17"/>
                <w:szCs w:val="17"/>
                <w:color w:val="auto"/>
              </w:rPr>
            </w:pPr>
          </w:p>
        </w:tc>
      </w:tr>
    </w:tbl>
    <w:p>
      <w:pPr>
        <w:sectPr>
          <w:pgSz w:w="11900" w:h="16838" w:orient="portrait"/>
          <w:cols w:equalWidth="0" w:num="1">
            <w:col w:w="10140"/>
          </w:cols>
          <w:pgMar w:left="1320" w:top="117" w:right="4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S-4 of our reports dated February 5, 2021 relating to the financial statements of Union Pacific Corporation and Subsidiary Companies (the Corporation), and the effectiveness of the Corporation’s internal control over financial reporting, appearing in the Annual Report on Form 10-K of Union Pacific Corporation for the year ended December 31, 2020.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Omaha, Nebraska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10, 2021</w:t>
      </w:r>
    </w:p>
    <w:p>
      <w:pPr>
        <w:sectPr>
          <w:pgSz w:w="11900" w:h="16838" w:orient="portrait"/>
          <w:cols w:equalWidth="0" w:num="1">
            <w:col w:w="11020"/>
          </w:cols>
          <w:pgMar w:left="440" w:top="121" w:right="4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6995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225425</wp:posOffset>
            </wp:positionV>
            <wp:extent cx="6995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STATEMENT OF ELIGIBILITY</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UNDER THE TRUST INDENTURE ACT OF 1939 OF A</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CORPORATION DESIGNATED TO ACT AS TRUSTEE</w:t>
      </w:r>
    </w:p>
    <w:p>
      <w:pPr>
        <w:spacing w:after="0" w:line="205" w:lineRule="exact"/>
        <w:rPr>
          <w:sz w:val="20"/>
          <w:szCs w:val="20"/>
          <w:color w:val="auto"/>
        </w:rPr>
      </w:pPr>
    </w:p>
    <w:p>
      <w:pPr>
        <w:ind w:left="424" w:right="1220" w:hanging="424"/>
        <w:spacing w:after="0" w:line="262" w:lineRule="auto"/>
        <w:tabs>
          <w:tab w:leader="none" w:pos="424" w:val="left"/>
        </w:tabs>
        <w:numPr>
          <w:ilvl w:val="0"/>
          <w:numId w:val="30"/>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200660</wp:posOffset>
            </wp:positionV>
            <wp:extent cx="1474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THE BANK OF NEW YORK MELLON</w:t>
      </w:r>
    </w:p>
    <w:p>
      <w:pPr>
        <w:spacing w:after="0" w:line="6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TRUST COMPANY, N.A.</w:t>
      </w: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3980" w:type="dxa"/>
            <w:vAlign w:val="bottom"/>
          </w:tcPr>
          <w:p>
            <w:pPr>
              <w:spacing w:after="0"/>
              <w:rPr>
                <w:sz w:val="18"/>
                <w:szCs w:val="18"/>
                <w:color w:val="auto"/>
              </w:rPr>
            </w:pPr>
          </w:p>
        </w:tc>
        <w:tc>
          <w:tcPr>
            <w:tcW w:w="7040" w:type="dxa"/>
            <w:vAlign w:val="bottom"/>
            <w:gridSpan w:val="3"/>
          </w:tcPr>
          <w:p>
            <w:pPr>
              <w:jc w:val="center"/>
              <w:ind w:left="1594"/>
              <w:spacing w:after="0"/>
              <w:rPr>
                <w:sz w:val="20"/>
                <w:szCs w:val="20"/>
                <w:color w:val="auto"/>
              </w:rPr>
            </w:pPr>
            <w:r>
              <w:rPr>
                <w:rFonts w:ascii="Times New Roman" w:cs="Times New Roman" w:eastAsia="Times New Roman" w:hAnsi="Times New Roman"/>
                <w:sz w:val="18"/>
                <w:szCs w:val="18"/>
                <w:b w:val="1"/>
                <w:bCs w:val="1"/>
                <w:color w:val="auto"/>
              </w:rPr>
              <w:t>95-3571558</w:t>
            </w:r>
          </w:p>
        </w:tc>
      </w:tr>
      <w:tr>
        <w:trPr>
          <w:trHeight w:val="149"/>
        </w:trPr>
        <w:tc>
          <w:tcPr>
            <w:tcW w:w="3980" w:type="dxa"/>
            <w:vAlign w:val="bottom"/>
          </w:tcPr>
          <w:p>
            <w:pPr>
              <w:jc w:val="center"/>
              <w:ind w:left="1479"/>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360" w:type="dxa"/>
            <w:vAlign w:val="bottom"/>
          </w:tcPr>
          <w:p>
            <w:pPr>
              <w:jc w:val="center"/>
              <w:ind w:right="9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80" w:type="dxa"/>
            <w:vAlign w:val="bottom"/>
          </w:tcPr>
          <w:p>
            <w:pPr>
              <w:jc w:val="center"/>
              <w:ind w:left="1479"/>
              <w:spacing w:after="0"/>
              <w:rPr>
                <w:sz w:val="20"/>
                <w:szCs w:val="20"/>
                <w:color w:val="auto"/>
              </w:rPr>
            </w:pPr>
            <w:r>
              <w:rPr>
                <w:rFonts w:ascii="Times New Roman" w:cs="Times New Roman" w:eastAsia="Times New Roman" w:hAnsi="Times New Roman"/>
                <w:sz w:val="14"/>
                <w:szCs w:val="14"/>
                <w:b w:val="1"/>
                <w:bCs w:val="1"/>
                <w:color w:val="auto"/>
              </w:rPr>
              <w:t>if not a U.S. national bank)</w:t>
            </w:r>
          </w:p>
        </w:tc>
        <w:tc>
          <w:tcPr>
            <w:tcW w:w="3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360" w:type="dxa"/>
            <w:vAlign w:val="bottom"/>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3980" w:type="dxa"/>
            <w:vAlign w:val="bottom"/>
          </w:tcPr>
          <w:p>
            <w:pPr>
              <w:jc w:val="center"/>
              <w:ind w:left="1499"/>
              <w:spacing w:after="0"/>
              <w:rPr>
                <w:sz w:val="20"/>
                <w:szCs w:val="20"/>
                <w:color w:val="auto"/>
              </w:rPr>
            </w:pPr>
            <w:r>
              <w:rPr>
                <w:rFonts w:ascii="Times New Roman" w:cs="Times New Roman" w:eastAsia="Times New Roman" w:hAnsi="Times New Roman"/>
                <w:sz w:val="18"/>
                <w:szCs w:val="18"/>
                <w:b w:val="1"/>
                <w:bCs w:val="1"/>
                <w:color w:val="auto"/>
                <w:w w:val="99"/>
              </w:rPr>
              <w:t>400 South Hope Street</w:t>
            </w: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16"/>
        </w:trPr>
        <w:tc>
          <w:tcPr>
            <w:tcW w:w="3980" w:type="dxa"/>
            <w:vAlign w:val="bottom"/>
          </w:tcPr>
          <w:p>
            <w:pPr>
              <w:jc w:val="center"/>
              <w:ind w:left="1479"/>
              <w:spacing w:after="0"/>
              <w:rPr>
                <w:sz w:val="20"/>
                <w:szCs w:val="20"/>
                <w:color w:val="auto"/>
              </w:rPr>
            </w:pPr>
            <w:r>
              <w:rPr>
                <w:rFonts w:ascii="Times New Roman" w:cs="Times New Roman" w:eastAsia="Times New Roman" w:hAnsi="Times New Roman"/>
                <w:sz w:val="18"/>
                <w:szCs w:val="18"/>
                <w:b w:val="1"/>
                <w:bCs w:val="1"/>
                <w:color w:val="auto"/>
                <w:w w:val="99"/>
              </w:rPr>
              <w:t>Suite 500</w:t>
            </w:r>
          </w:p>
        </w:tc>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27"/>
        </w:trPr>
        <w:tc>
          <w:tcPr>
            <w:tcW w:w="3980" w:type="dxa"/>
            <w:vAlign w:val="bottom"/>
          </w:tcPr>
          <w:p>
            <w:pPr>
              <w:jc w:val="center"/>
              <w:ind w:left="1499"/>
              <w:spacing w:after="0"/>
              <w:rPr>
                <w:sz w:val="20"/>
                <w:szCs w:val="20"/>
                <w:color w:val="auto"/>
              </w:rPr>
            </w:pPr>
            <w:r>
              <w:rPr>
                <w:rFonts w:ascii="Times New Roman" w:cs="Times New Roman" w:eastAsia="Times New Roman" w:hAnsi="Times New Roman"/>
                <w:sz w:val="18"/>
                <w:szCs w:val="18"/>
                <w:b w:val="1"/>
                <w:bCs w:val="1"/>
                <w:color w:val="auto"/>
                <w:w w:val="99"/>
              </w:rPr>
              <w:t>Los Angeles, California</w:t>
            </w:r>
          </w:p>
        </w:tc>
        <w:tc>
          <w:tcPr>
            <w:tcW w:w="7040" w:type="dxa"/>
            <w:vAlign w:val="bottom"/>
            <w:gridSpan w:val="3"/>
          </w:tcPr>
          <w:p>
            <w:pPr>
              <w:jc w:val="center"/>
              <w:ind w:left="1594"/>
              <w:spacing w:after="0"/>
              <w:rPr>
                <w:sz w:val="20"/>
                <w:szCs w:val="20"/>
                <w:color w:val="auto"/>
              </w:rPr>
            </w:pPr>
            <w:r>
              <w:rPr>
                <w:rFonts w:ascii="Times New Roman" w:cs="Times New Roman" w:eastAsia="Times New Roman" w:hAnsi="Times New Roman"/>
                <w:sz w:val="18"/>
                <w:szCs w:val="18"/>
                <w:b w:val="1"/>
                <w:bCs w:val="1"/>
                <w:color w:val="auto"/>
                <w:w w:val="97"/>
              </w:rPr>
              <w:t>90071</w:t>
            </w:r>
          </w:p>
        </w:tc>
      </w:tr>
      <w:tr>
        <w:trPr>
          <w:trHeight w:val="190"/>
        </w:trPr>
        <w:tc>
          <w:tcPr>
            <w:tcW w:w="3980" w:type="dxa"/>
            <w:vAlign w:val="bottom"/>
          </w:tcPr>
          <w:p>
            <w:pPr>
              <w:jc w:val="center"/>
              <w:ind w:left="14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360" w:type="dxa"/>
            <w:vAlign w:val="bottom"/>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1"/>
        </w:trPr>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401"/>
        </w:trPr>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80" w:type="dxa"/>
            <w:vAlign w:val="bottom"/>
            <w:gridSpan w:val="2"/>
          </w:tcPr>
          <w:p>
            <w:pPr>
              <w:jc w:val="center"/>
              <w:ind w:right="4288"/>
              <w:spacing w:after="0"/>
              <w:rPr>
                <w:sz w:val="20"/>
                <w:szCs w:val="20"/>
                <w:color w:val="auto"/>
              </w:rPr>
            </w:pPr>
            <w:r>
              <w:rPr>
                <w:rFonts w:ascii="Times New Roman" w:cs="Times New Roman" w:eastAsia="Times New Roman" w:hAnsi="Times New Roman"/>
                <w:sz w:val="18"/>
                <w:szCs w:val="18"/>
                <w:b w:val="1"/>
                <w:bCs w:val="1"/>
                <w:color w:val="auto"/>
                <w:w w:val="99"/>
              </w:rPr>
              <w:t>Union Pacific Corporation</w:t>
            </w:r>
          </w:p>
        </w:tc>
      </w:tr>
      <w:tr>
        <w:trPr>
          <w:trHeight w:val="190"/>
        </w:trPr>
        <w:tc>
          <w:tcPr>
            <w:tcW w:w="3980" w:type="dxa"/>
            <w:vAlign w:val="bottom"/>
          </w:tcPr>
          <w:p>
            <w:pPr>
              <w:spacing w:after="0"/>
              <w:rPr>
                <w:sz w:val="16"/>
                <w:szCs w:val="16"/>
                <w:color w:val="auto"/>
              </w:rPr>
            </w:pPr>
          </w:p>
        </w:tc>
        <w:tc>
          <w:tcPr>
            <w:tcW w:w="7040" w:type="dxa"/>
            <w:vAlign w:val="bottom"/>
            <w:gridSpan w:val="3"/>
          </w:tcPr>
          <w:p>
            <w:pPr>
              <w:jc w:val="center"/>
              <w:ind w:right="3908"/>
              <w:spacing w:after="0"/>
              <w:rPr>
                <w:sz w:val="20"/>
                <w:szCs w:val="20"/>
                <w:color w:val="auto"/>
              </w:rPr>
            </w:pPr>
            <w:r>
              <w:rPr>
                <w:rFonts w:ascii="Times New Roman" w:cs="Times New Roman" w:eastAsia="Times New Roman" w:hAnsi="Times New Roman"/>
                <w:sz w:val="14"/>
                <w:szCs w:val="14"/>
                <w:b w:val="1"/>
                <w:bCs w:val="1"/>
                <w:color w:val="auto"/>
              </w:rPr>
              <w:t>(Exact name of obligor as specified in its charter)</w:t>
            </w:r>
          </w:p>
        </w:tc>
      </w:tr>
      <w:tr>
        <w:trPr>
          <w:trHeight w:val="334"/>
        </w:trPr>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468"/>
        </w:trPr>
        <w:tc>
          <w:tcPr>
            <w:tcW w:w="3980" w:type="dxa"/>
            <w:vAlign w:val="bottom"/>
          </w:tcPr>
          <w:p>
            <w:pPr>
              <w:jc w:val="center"/>
              <w:ind w:left="1479"/>
              <w:spacing w:after="0"/>
              <w:rPr>
                <w:sz w:val="20"/>
                <w:szCs w:val="20"/>
                <w:color w:val="auto"/>
              </w:rPr>
            </w:pPr>
            <w:r>
              <w:rPr>
                <w:rFonts w:ascii="Times New Roman" w:cs="Times New Roman" w:eastAsia="Times New Roman" w:hAnsi="Times New Roman"/>
                <w:sz w:val="18"/>
                <w:szCs w:val="18"/>
                <w:b w:val="1"/>
                <w:bCs w:val="1"/>
                <w:color w:val="auto"/>
                <w:w w:val="99"/>
              </w:rPr>
              <w:t>Utah</w:t>
            </w:r>
          </w:p>
        </w:tc>
        <w:tc>
          <w:tcPr>
            <w:tcW w:w="7040" w:type="dxa"/>
            <w:vAlign w:val="bottom"/>
            <w:gridSpan w:val="3"/>
          </w:tcPr>
          <w:p>
            <w:pPr>
              <w:jc w:val="center"/>
              <w:ind w:left="1594"/>
              <w:spacing w:after="0"/>
              <w:rPr>
                <w:sz w:val="20"/>
                <w:szCs w:val="20"/>
                <w:color w:val="auto"/>
              </w:rPr>
            </w:pPr>
            <w:r>
              <w:rPr>
                <w:rFonts w:ascii="Times New Roman" w:cs="Times New Roman" w:eastAsia="Times New Roman" w:hAnsi="Times New Roman"/>
                <w:sz w:val="18"/>
                <w:szCs w:val="18"/>
                <w:b w:val="1"/>
                <w:bCs w:val="1"/>
                <w:color w:val="auto"/>
              </w:rPr>
              <w:t>13-2626465</w:t>
            </w:r>
          </w:p>
        </w:tc>
      </w:tr>
      <w:tr>
        <w:trPr>
          <w:trHeight w:val="149"/>
        </w:trPr>
        <w:tc>
          <w:tcPr>
            <w:tcW w:w="3980" w:type="dxa"/>
            <w:vAlign w:val="bottom"/>
          </w:tcPr>
          <w:p>
            <w:pPr>
              <w:jc w:val="center"/>
              <w:ind w:left="14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360" w:type="dxa"/>
            <w:vAlign w:val="bottom"/>
          </w:tcPr>
          <w:p>
            <w:pPr>
              <w:jc w:val="center"/>
              <w:ind w:right="9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80" w:type="dxa"/>
            <w:vAlign w:val="bottom"/>
          </w:tcPr>
          <w:p>
            <w:pPr>
              <w:jc w:val="center"/>
              <w:ind w:left="14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360" w:type="dxa"/>
            <w:vAlign w:val="bottom"/>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980" w:type="dxa"/>
            <w:vAlign w:val="bottom"/>
          </w:tcPr>
          <w:p>
            <w:pPr>
              <w:jc w:val="center"/>
              <w:ind w:left="1499"/>
              <w:spacing w:after="0"/>
              <w:rPr>
                <w:sz w:val="20"/>
                <w:szCs w:val="20"/>
                <w:color w:val="auto"/>
              </w:rPr>
            </w:pPr>
            <w:r>
              <w:rPr>
                <w:rFonts w:ascii="Times New Roman" w:cs="Times New Roman" w:eastAsia="Times New Roman" w:hAnsi="Times New Roman"/>
                <w:sz w:val="18"/>
                <w:szCs w:val="18"/>
                <w:b w:val="1"/>
                <w:bCs w:val="1"/>
                <w:color w:val="auto"/>
                <w:w w:val="99"/>
              </w:rPr>
              <w:t>1400 Douglas Street</w:t>
            </w: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27"/>
        </w:trPr>
        <w:tc>
          <w:tcPr>
            <w:tcW w:w="3980" w:type="dxa"/>
            <w:vAlign w:val="bottom"/>
          </w:tcPr>
          <w:p>
            <w:pPr>
              <w:jc w:val="center"/>
              <w:ind w:left="1499"/>
              <w:spacing w:after="0"/>
              <w:rPr>
                <w:sz w:val="20"/>
                <w:szCs w:val="20"/>
                <w:color w:val="auto"/>
              </w:rPr>
            </w:pPr>
            <w:r>
              <w:rPr>
                <w:rFonts w:ascii="Times New Roman" w:cs="Times New Roman" w:eastAsia="Times New Roman" w:hAnsi="Times New Roman"/>
                <w:sz w:val="18"/>
                <w:szCs w:val="18"/>
                <w:b w:val="1"/>
                <w:bCs w:val="1"/>
                <w:color w:val="auto"/>
                <w:w w:val="99"/>
              </w:rPr>
              <w:t>Omaha, Nebraska</w:t>
            </w:r>
          </w:p>
        </w:tc>
        <w:tc>
          <w:tcPr>
            <w:tcW w:w="7040" w:type="dxa"/>
            <w:vAlign w:val="bottom"/>
            <w:gridSpan w:val="3"/>
          </w:tcPr>
          <w:p>
            <w:pPr>
              <w:jc w:val="center"/>
              <w:ind w:left="1594"/>
              <w:spacing w:after="0"/>
              <w:rPr>
                <w:sz w:val="20"/>
                <w:szCs w:val="20"/>
                <w:color w:val="auto"/>
              </w:rPr>
            </w:pPr>
            <w:r>
              <w:rPr>
                <w:rFonts w:ascii="Times New Roman" w:cs="Times New Roman" w:eastAsia="Times New Roman" w:hAnsi="Times New Roman"/>
                <w:sz w:val="18"/>
                <w:szCs w:val="18"/>
                <w:b w:val="1"/>
                <w:bCs w:val="1"/>
                <w:color w:val="auto"/>
                <w:w w:val="97"/>
              </w:rPr>
              <w:t>68179</w:t>
            </w:r>
          </w:p>
        </w:tc>
      </w:tr>
      <w:tr>
        <w:trPr>
          <w:trHeight w:val="190"/>
        </w:trPr>
        <w:tc>
          <w:tcPr>
            <w:tcW w:w="3980" w:type="dxa"/>
            <w:vAlign w:val="bottom"/>
          </w:tcPr>
          <w:p>
            <w:pPr>
              <w:jc w:val="center"/>
              <w:ind w:left="14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360" w:type="dxa"/>
            <w:vAlign w:val="bottom"/>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01"/>
        </w:trPr>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401"/>
        </w:trPr>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80" w:type="dxa"/>
            <w:vAlign w:val="bottom"/>
            <w:gridSpan w:val="2"/>
          </w:tcPr>
          <w:p>
            <w:pPr>
              <w:jc w:val="center"/>
              <w:ind w:right="4288"/>
              <w:spacing w:after="0"/>
              <w:rPr>
                <w:sz w:val="20"/>
                <w:szCs w:val="20"/>
                <w:color w:val="auto"/>
              </w:rPr>
            </w:pPr>
            <w:r>
              <w:rPr>
                <w:rFonts w:ascii="Times New Roman" w:cs="Times New Roman" w:eastAsia="Times New Roman" w:hAnsi="Times New Roman"/>
                <w:sz w:val="18"/>
                <w:szCs w:val="18"/>
                <w:b w:val="1"/>
                <w:bCs w:val="1"/>
                <w:color w:val="auto"/>
              </w:rPr>
              <w:t>2.973% Notes due 2062</w:t>
            </w:r>
          </w:p>
        </w:tc>
      </w:tr>
      <w:tr>
        <w:trPr>
          <w:trHeight w:val="190"/>
        </w:trPr>
        <w:tc>
          <w:tcPr>
            <w:tcW w:w="3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80" w:type="dxa"/>
            <w:vAlign w:val="bottom"/>
            <w:gridSpan w:val="2"/>
          </w:tcPr>
          <w:p>
            <w:pPr>
              <w:jc w:val="center"/>
              <w:ind w:right="4288"/>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tc>
      </w:tr>
      <w:tr>
        <w:trPr>
          <w:trHeight w:val="213"/>
        </w:trPr>
        <w:tc>
          <w:tcPr>
            <w:tcW w:w="39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r>
      <w:tr>
        <w:trPr>
          <w:trHeight w:val="48"/>
        </w:trPr>
        <w:tc>
          <w:tcPr>
            <w:tcW w:w="3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4360" w:type="dxa"/>
            <w:vAlign w:val="bottom"/>
            <w:tcBorders>
              <w:bottom w:val="single" w:sz="8" w:color="auto"/>
            </w:tcBorders>
          </w:tcPr>
          <w:p>
            <w:pPr>
              <w:spacing w:after="0"/>
              <w:rPr>
                <w:sz w:val="4"/>
                <w:szCs w:val="4"/>
                <w:color w:val="auto"/>
              </w:rPr>
            </w:pPr>
          </w:p>
        </w:tc>
      </w:tr>
    </w:tbl>
    <w:p>
      <w:pPr>
        <w:sectPr>
          <w:pgSz w:w="11900" w:h="16838" w:orient="portrait"/>
          <w:cols w:equalWidth="0" w:num="1">
            <w:col w:w="11024"/>
          </w:cols>
          <w:pgMar w:left="436" w:top="117" w:right="439" w:bottom="1440" w:gutter="0" w:footer="0" w:header="0"/>
        </w:sectPr>
      </w:pPr>
    </w:p>
    <w:bookmarkStart w:id="49" w:name="page50"/>
    <w:bookmarkEnd w:id="49"/>
    <w:p>
      <w:pPr>
        <w:ind w:left="424" w:hanging="424"/>
        <w:spacing w:after="0"/>
        <w:tabs>
          <w:tab w:leader="none" w:pos="42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General information. Furnish the following information as to the trustee:</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and address of each examining or supervising authority to which it is subject.</w:t>
      </w:r>
    </w:p>
    <w:p>
      <w:pPr>
        <w:spacing w:after="0" w:line="252" w:lineRule="exact"/>
        <w:rPr>
          <w:sz w:val="20"/>
          <w:szCs w:val="20"/>
          <w:color w:val="auto"/>
        </w:rPr>
      </w:pPr>
    </w:p>
    <w:tbl>
      <w:tblPr>
        <w:tblLayout w:type="fixed"/>
        <w:tblInd w:w="424"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76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4"/>
                <w:szCs w:val="14"/>
                <w:color w:val="auto"/>
              </w:rPr>
              <w:t>Name</w:t>
            </w:r>
          </w:p>
        </w:tc>
        <w:tc>
          <w:tcPr>
            <w:tcW w:w="200" w:type="dxa"/>
            <w:vAlign w:val="bottom"/>
          </w:tcPr>
          <w:p>
            <w:pPr>
              <w:spacing w:after="0"/>
              <w:rPr>
                <w:sz w:val="16"/>
                <w:szCs w:val="16"/>
                <w:color w:val="auto"/>
              </w:rPr>
            </w:pPr>
          </w:p>
        </w:tc>
        <w:tc>
          <w:tcPr>
            <w:tcW w:w="474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4"/>
                <w:szCs w:val="14"/>
                <w:color w:val="auto"/>
              </w:rPr>
              <w:t>Address</w:t>
            </w:r>
          </w:p>
        </w:tc>
      </w:tr>
      <w:tr>
        <w:trPr>
          <w:trHeight w:val="191"/>
        </w:trPr>
        <w:tc>
          <w:tcPr>
            <w:tcW w:w="20" w:type="dxa"/>
            <w:vAlign w:val="bottom"/>
          </w:tcPr>
          <w:p>
            <w:pPr>
              <w:spacing w:after="0"/>
              <w:rPr>
                <w:sz w:val="16"/>
                <w:szCs w:val="16"/>
                <w:color w:val="auto"/>
              </w:rPr>
            </w:pPr>
          </w:p>
        </w:tc>
        <w:tc>
          <w:tcPr>
            <w:tcW w:w="51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Comptroller of the Currency</w:t>
            </w:r>
          </w:p>
        </w:tc>
        <w:tc>
          <w:tcPr>
            <w:tcW w:w="200" w:type="dxa"/>
            <w:vAlign w:val="bottom"/>
          </w:tcPr>
          <w:p>
            <w:pPr>
              <w:spacing w:after="0"/>
              <w:rPr>
                <w:sz w:val="16"/>
                <w:szCs w:val="16"/>
                <w:color w:val="auto"/>
              </w:rPr>
            </w:pPr>
          </w:p>
        </w:tc>
        <w:tc>
          <w:tcPr>
            <w:tcW w:w="4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Washington, DC 20219</w:t>
            </w:r>
          </w:p>
        </w:tc>
      </w:tr>
      <w:tr>
        <w:trPr>
          <w:trHeight w:val="234"/>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States Department of the Treasury</w:t>
            </w:r>
          </w:p>
        </w:tc>
        <w:tc>
          <w:tcPr>
            <w:tcW w:w="2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38"/>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Federal Reserve Bank</w:t>
            </w:r>
          </w:p>
        </w:tc>
        <w:tc>
          <w:tcPr>
            <w:tcW w:w="4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San Francisco, CA 94105</w:t>
            </w:r>
          </w:p>
        </w:tc>
      </w:tr>
      <w:tr>
        <w:trPr>
          <w:trHeight w:val="324"/>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4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Washington, DC 20429</w:t>
            </w:r>
          </w:p>
        </w:tc>
      </w:tr>
      <w:tr>
        <w:trPr>
          <w:trHeight w:val="459"/>
        </w:trPr>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Whether it is authorized to exercise corporate trust powers.</w:t>
            </w:r>
          </w:p>
        </w:tc>
        <w:tc>
          <w:tcPr>
            <w:tcW w:w="2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324"/>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4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pacing w:after="0" w:line="221" w:lineRule="exact"/>
        <w:rPr>
          <w:sz w:val="20"/>
          <w:szCs w:val="20"/>
          <w:color w:val="auto"/>
        </w:rPr>
      </w:pPr>
    </w:p>
    <w:p>
      <w:pPr>
        <w:ind w:left="424" w:hanging="424"/>
        <w:spacing w:after="0"/>
        <w:tabs>
          <w:tab w:leader="none" w:pos="42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Affiliations with Obligor.</w:t>
      </w:r>
    </w:p>
    <w:p>
      <w:pPr>
        <w:spacing w:after="0" w:line="117" w:lineRule="exact"/>
        <w:rPr>
          <w:rFonts w:ascii="Times New Roman" w:cs="Times New Roman" w:eastAsia="Times New Roman" w:hAnsi="Times New Roman"/>
          <w:sz w:val="18"/>
          <w:szCs w:val="18"/>
          <w:b w:val="1"/>
          <w:bCs w:val="1"/>
          <w:color w:val="auto"/>
        </w:rPr>
      </w:pPr>
    </w:p>
    <w:p>
      <w:pPr>
        <w:ind w:left="444" w:right="5060"/>
        <w:spacing w:after="0" w:line="4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If the obligor is an affiliate of the trustee, describe each such affiliation. </w:t>
      </w:r>
      <w:r>
        <w:rPr>
          <w:rFonts w:ascii="Times New Roman" w:cs="Times New Roman" w:eastAsia="Times New Roman" w:hAnsi="Times New Roman"/>
          <w:sz w:val="18"/>
          <w:szCs w:val="18"/>
          <w:color w:val="auto"/>
        </w:rPr>
        <w:t>None.</w:t>
      </w:r>
    </w:p>
    <w:p>
      <w:pPr>
        <w:spacing w:after="0" w:line="72" w:lineRule="exact"/>
        <w:rPr>
          <w:sz w:val="20"/>
          <w:szCs w:val="20"/>
          <w:color w:val="auto"/>
        </w:rPr>
      </w:pPr>
    </w:p>
    <w:p>
      <w:pPr>
        <w:ind w:left="424" w:hanging="424"/>
        <w:spacing w:after="0"/>
        <w:tabs>
          <w:tab w:leader="none" w:pos="42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List of Exhibits.</w:t>
      </w:r>
    </w:p>
    <w:p>
      <w:pPr>
        <w:spacing w:after="0" w:line="117" w:lineRule="exact"/>
        <w:rPr>
          <w:rFonts w:ascii="Times New Roman" w:cs="Times New Roman" w:eastAsia="Times New Roman" w:hAnsi="Times New Roman"/>
          <w:sz w:val="18"/>
          <w:szCs w:val="18"/>
          <w:b w:val="1"/>
          <w:bCs w:val="1"/>
          <w:color w:val="auto"/>
        </w:rPr>
      </w:pPr>
    </w:p>
    <w:p>
      <w:pPr>
        <w:ind w:left="444"/>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 identified in parentheses below, on file with the Commission, are incorporated herein by reference as an exhibit hereto, pursuant to Rule 7a-29 under the Trust Indenture Act of 1939 (the “Act”).</w:t>
      </w:r>
    </w:p>
    <w:p>
      <w:pPr>
        <w:spacing w:after="0" w:line="64" w:lineRule="exact"/>
        <w:rPr>
          <w:rFonts w:ascii="Times New Roman" w:cs="Times New Roman" w:eastAsia="Times New Roman" w:hAnsi="Times New Roman"/>
          <w:sz w:val="18"/>
          <w:szCs w:val="18"/>
          <w:b w:val="1"/>
          <w:bCs w:val="1"/>
          <w:color w:val="auto"/>
        </w:rPr>
      </w:pPr>
    </w:p>
    <w:p>
      <w:pPr>
        <w:ind w:left="964" w:right="160" w:hanging="532"/>
        <w:spacing w:after="0" w:line="266" w:lineRule="auto"/>
        <w:tabs>
          <w:tab w:leader="none" w:pos="96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81" w:lineRule="exact"/>
        <w:rPr>
          <w:rFonts w:ascii="Times New Roman" w:cs="Times New Roman" w:eastAsia="Times New Roman" w:hAnsi="Times New Roman"/>
          <w:sz w:val="18"/>
          <w:szCs w:val="18"/>
          <w:color w:val="auto"/>
        </w:rPr>
      </w:pPr>
    </w:p>
    <w:p>
      <w:pPr>
        <w:ind w:left="964" w:right="820" w:hanging="532"/>
        <w:spacing w:after="0" w:line="282" w:lineRule="auto"/>
        <w:tabs>
          <w:tab w:leader="none" w:pos="96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certificate of authority of the trustee to commence business. (Exhibit 2 to Form T-1 filed with Registration Statement No.333-121948).</w:t>
      </w:r>
    </w:p>
    <w:p>
      <w:pPr>
        <w:spacing w:after="0" w:line="67" w:lineRule="exact"/>
        <w:rPr>
          <w:rFonts w:ascii="Times New Roman" w:cs="Times New Roman" w:eastAsia="Times New Roman" w:hAnsi="Times New Roman"/>
          <w:sz w:val="18"/>
          <w:szCs w:val="18"/>
          <w:color w:val="auto"/>
        </w:rPr>
      </w:pPr>
    </w:p>
    <w:p>
      <w:pPr>
        <w:ind w:left="964" w:right="440" w:hanging="532"/>
        <w:spacing w:after="0" w:line="282" w:lineRule="auto"/>
        <w:tabs>
          <w:tab w:leader="none" w:pos="96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authorization of the trustee to exercise corporate trust powers (Exhibit 3 to Form T-1 filed with Registration Statement No.333-152875).</w:t>
      </w:r>
    </w:p>
    <w:p>
      <w:pPr>
        <w:spacing w:after="0" w:line="94"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964"/>
          </w:cols>
          <w:pgMar w:left="436" w:top="266" w:right="499" w:bottom="1440" w:gutter="0" w:footer="0" w:header="0"/>
        </w:sectPr>
      </w:pPr>
    </w:p>
    <w:bookmarkStart w:id="50" w:name="page51"/>
    <w:bookmarkEnd w:id="50"/>
    <w:p>
      <w:pPr>
        <w:ind w:left="532" w:hanging="532"/>
        <w:spacing w:after="0"/>
        <w:tabs>
          <w:tab w:leader="none" w:pos="53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copy of the existing by-laws of the trustee (Exhibit 4 to Form T-1 filed with Registration Statement No. 333-229762).</w:t>
      </w:r>
    </w:p>
    <w:p>
      <w:pPr>
        <w:spacing w:after="0" w:line="131" w:lineRule="exact"/>
        <w:rPr>
          <w:sz w:val="20"/>
          <w:szCs w:val="20"/>
          <w:color w:val="auto"/>
        </w:rPr>
      </w:pPr>
    </w:p>
    <w:p>
      <w:pPr>
        <w:ind w:left="532" w:hanging="532"/>
        <w:spacing w:after="0"/>
        <w:tabs>
          <w:tab w:leader="none" w:pos="53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consent of the trustee required by Section 321(b) of the Act (Exhibit 6 to Form T-1 filed with Registration Statement No. 333-152875).</w:t>
      </w:r>
    </w:p>
    <w:p>
      <w:pPr>
        <w:spacing w:after="0" w:line="142" w:lineRule="exact"/>
        <w:rPr>
          <w:rFonts w:ascii="Times New Roman" w:cs="Times New Roman" w:eastAsia="Times New Roman" w:hAnsi="Times New Roman"/>
          <w:sz w:val="17"/>
          <w:szCs w:val="17"/>
          <w:color w:val="auto"/>
        </w:rPr>
      </w:pPr>
    </w:p>
    <w:p>
      <w:pPr>
        <w:ind w:left="532" w:right="380" w:hanging="532"/>
        <w:spacing w:after="0" w:line="282" w:lineRule="auto"/>
        <w:tabs>
          <w:tab w:leader="none" w:pos="53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latest report of condition of the Trustee published pursuant to law or to the requirements of its supervising or examining authority.</w:t>
      </w:r>
    </w:p>
    <w:p>
      <w:pPr>
        <w:spacing w:after="0" w:line="94" w:lineRule="exact"/>
        <w:rPr>
          <w:rFonts w:ascii="Times New Roman" w:cs="Times New Roman" w:eastAsia="Times New Roman" w:hAnsi="Times New Roman"/>
          <w:sz w:val="18"/>
          <w:szCs w:val="18"/>
          <w:color w:val="auto"/>
        </w:rPr>
      </w:pPr>
    </w:p>
    <w:p>
      <w:pPr>
        <w:ind w:left="5032" w:hanging="106"/>
        <w:spacing w:after="0"/>
        <w:tabs>
          <w:tab w:leader="none" w:pos="503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572"/>
          </w:cols>
          <w:pgMar w:left="868" w:top="270" w:right="459" w:bottom="1440" w:gutter="0" w:footer="0" w:header="0"/>
        </w:sectPr>
      </w:pPr>
    </w:p>
    <w:bookmarkStart w:id="51" w:name="page52"/>
    <w:bookmarkEnd w:id="51"/>
    <w:p>
      <w:pPr>
        <w:jc w:val="center"/>
        <w:ind w:right="-2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Chicago, and State of Illinois, on the 4th day of February, 2021.</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BANK OF NEW YORK MELLON TRUST</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COMPANY, N.A.</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Lawrence M. Kusch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Lawrence M. Kusch</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780"/>
          </w:cols>
          <w:pgMar w:left="440" w:top="270" w:right="67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7</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Report of Condition of</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BANK OF NEW YORK MELLON TRUST COMPANY, N.A.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of 400 South Hope Street, Suite 500, Los Angeles, CA 90071</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the close of business December 31, 2020, published in accordance with Federal regulatory authority instructions.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Dollar amounts</w:t>
            </w: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156"/>
        </w:trPr>
        <w:tc>
          <w:tcPr>
            <w:tcW w:w="788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ASSETS</w:t>
            </w:r>
          </w:p>
        </w:tc>
        <w:tc>
          <w:tcPr>
            <w:tcW w:w="21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auto"/>
            </w:tcBorders>
            <w:shd w:val="clear" w:color="auto" w:fill="CCEEFF"/>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balances due from depository institutions:</w:t>
            </w:r>
          </w:p>
        </w:tc>
        <w:tc>
          <w:tcPr>
            <w:tcW w:w="2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7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Noninterest-bearing balances and currency and coin</w:t>
            </w:r>
          </w:p>
        </w:tc>
        <w:tc>
          <w:tcPr>
            <w:tcW w:w="3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1,685</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Interest-bearing balances</w:t>
            </w:r>
          </w:p>
        </w:tc>
        <w:tc>
          <w:tcPr>
            <w:tcW w:w="3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335,190</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2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3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7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77,127</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Equity securities with readily determinable fair values not held for trading</w:t>
            </w:r>
          </w:p>
        </w:tc>
        <w:tc>
          <w:tcPr>
            <w:tcW w:w="3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funds sold and securities purchased under agreements to resell:</w:t>
            </w:r>
          </w:p>
        </w:tc>
        <w:tc>
          <w:tcPr>
            <w:tcW w:w="2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 funds sold in domestic offices</w:t>
            </w:r>
          </w:p>
        </w:tc>
        <w:tc>
          <w:tcPr>
            <w:tcW w:w="3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7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Securities purchased under agreements to resell</w:t>
            </w:r>
          </w:p>
        </w:tc>
        <w:tc>
          <w:tcPr>
            <w:tcW w:w="3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and lease financing receivables:</w:t>
            </w:r>
          </w:p>
        </w:tc>
        <w:tc>
          <w:tcPr>
            <w:tcW w:w="2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7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Loans and leases held for sale</w:t>
            </w:r>
          </w:p>
        </w:tc>
        <w:tc>
          <w:tcPr>
            <w:tcW w:w="3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Loans and leases, held for investment</w:t>
            </w:r>
          </w:p>
        </w:tc>
        <w:tc>
          <w:tcPr>
            <w:tcW w:w="2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7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LESS: Allowance for loan and lease losses</w:t>
            </w:r>
          </w:p>
        </w:tc>
        <w:tc>
          <w:tcPr>
            <w:tcW w:w="2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Loans and leases held for investment, net of allowance</w:t>
            </w:r>
          </w:p>
        </w:tc>
        <w:tc>
          <w:tcPr>
            <w:tcW w:w="2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Trading assets</w:t>
            </w:r>
          </w:p>
        </w:tc>
        <w:tc>
          <w:tcPr>
            <w:tcW w:w="3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Premises and fixed assets (including capitalized leases)</w:t>
            </w:r>
          </w:p>
        </w:tc>
        <w:tc>
          <w:tcPr>
            <w:tcW w:w="3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22,577</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3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unconsolidated subsidiaries and associated companies</w:t>
            </w:r>
          </w:p>
        </w:tc>
        <w:tc>
          <w:tcPr>
            <w:tcW w:w="3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and indirect investments in real estate ventures</w:t>
            </w:r>
          </w:p>
        </w:tc>
        <w:tc>
          <w:tcPr>
            <w:tcW w:w="3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856,313</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104,906</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1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$ 1,397,798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ind w:left="5400"/>
              <w:spacing w:after="0"/>
              <w:rPr>
                <w:sz w:val="20"/>
                <w:szCs w:val="20"/>
                <w:color w:val="auto"/>
              </w:rPr>
            </w:pPr>
            <w:r>
              <w:rPr>
                <w:rFonts w:ascii="Times New Roman" w:cs="Times New Roman" w:eastAsia="Times New Roman" w:hAnsi="Times New Roman"/>
                <w:sz w:val="18"/>
                <w:szCs w:val="18"/>
                <w:color w:val="auto"/>
              </w:rPr>
              <w:t>-5-</w:t>
            </w:r>
          </w:p>
        </w:tc>
        <w:tc>
          <w:tcPr>
            <w:tcW w:w="2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80" w:type="dxa"/>
            <w:vAlign w:val="bottom"/>
            <w:gridSpan w:val="2"/>
            <w:vMerge w:val="continue"/>
          </w:tcPr>
          <w:p>
            <w:pPr>
              <w:spacing w:after="0"/>
              <w:rPr>
                <w:sz w:val="24"/>
                <w:szCs w:val="24"/>
                <w:color w:val="auto"/>
              </w:rPr>
            </w:pPr>
          </w:p>
        </w:tc>
        <w:tc>
          <w:tcPr>
            <w:tcW w:w="2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53" w:name="page54"/>
    <w:bookmarkEnd w:id="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7"/>
        </w:trPr>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6"/>
        </w:trPr>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Deposits:</w:t>
            </w:r>
          </w:p>
        </w:tc>
        <w:tc>
          <w:tcPr>
            <w:tcW w:w="7320" w:type="dxa"/>
            <w:vAlign w:val="bottom"/>
            <w:tcBorders>
              <w:top w:val="single" w:sz="8" w:color="CCEEFF"/>
            </w:tcBorders>
            <w:gridSpan w:val="2"/>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16"/>
        </w:trPr>
        <w:tc>
          <w:tcPr>
            <w:tcW w:w="83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domestic offices</w:t>
            </w:r>
          </w:p>
        </w:tc>
        <w:tc>
          <w:tcPr>
            <w:tcW w:w="2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1,612</w:t>
            </w:r>
          </w:p>
        </w:tc>
        <w:tc>
          <w:tcPr>
            <w:tcW w:w="40" w:type="dxa"/>
            <w:vAlign w:val="bottom"/>
            <w:shd w:val="clear" w:color="auto" w:fill="CCEEFF"/>
          </w:tcPr>
          <w:p>
            <w:pPr>
              <w:spacing w:after="0"/>
              <w:rPr>
                <w:sz w:val="18"/>
                <w:szCs w:val="18"/>
                <w:color w:val="auto"/>
              </w:rPr>
            </w:pPr>
          </w:p>
        </w:tc>
      </w:tr>
      <w:tr>
        <w:trPr>
          <w:trHeight w:val="216"/>
        </w:trPr>
        <w:tc>
          <w:tcPr>
            <w:tcW w:w="8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Noninterest-bearing</w:t>
            </w: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1,612</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3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Interest-bearing</w:t>
            </w:r>
          </w:p>
        </w:tc>
        <w:tc>
          <w:tcPr>
            <w:tcW w:w="1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83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c>
          <w:tcPr>
            <w:tcW w:w="1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funds purchased and securities sold under agreements to repurchase:</w:t>
            </w:r>
          </w:p>
        </w:tc>
        <w:tc>
          <w:tcPr>
            <w:tcW w:w="1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8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Federal funds purchased in domestic offices</w:t>
            </w:r>
          </w:p>
        </w:tc>
        <w:tc>
          <w:tcPr>
            <w:tcW w:w="26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3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2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Trading liabilities</w:t>
            </w:r>
          </w:p>
        </w:tc>
        <w:tc>
          <w:tcPr>
            <w:tcW w:w="26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borrowed money: (includes mortgage indebtedness and obligations under capitalized leases)</w:t>
            </w:r>
          </w:p>
        </w:tc>
        <w:tc>
          <w:tcPr>
            <w:tcW w:w="2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1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1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Subordinated notes and debentures</w:t>
            </w:r>
          </w:p>
        </w:tc>
        <w:tc>
          <w:tcPr>
            <w:tcW w:w="26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270,910</w:t>
            </w:r>
          </w:p>
        </w:tc>
        <w:tc>
          <w:tcPr>
            <w:tcW w:w="40" w:type="dxa"/>
            <w:vAlign w:val="bottom"/>
            <w:shd w:val="clear" w:color="auto" w:fill="CCEEFF"/>
          </w:tcPr>
          <w:p>
            <w:pPr>
              <w:spacing w:after="0"/>
              <w:rPr>
                <w:sz w:val="18"/>
                <w:szCs w:val="18"/>
                <w:color w:val="auto"/>
              </w:rPr>
            </w:pPr>
          </w:p>
        </w:tc>
      </w:tr>
      <w:tr>
        <w:trPr>
          <w:trHeight w:val="216"/>
        </w:trPr>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272,522</w:t>
            </w:r>
          </w:p>
        </w:tc>
        <w:tc>
          <w:tcPr>
            <w:tcW w:w="40" w:type="dxa"/>
            <w:vAlign w:val="bottom"/>
          </w:tcPr>
          <w:p>
            <w:pPr>
              <w:spacing w:after="0"/>
              <w:rPr>
                <w:sz w:val="18"/>
                <w:szCs w:val="18"/>
                <w:color w:val="auto"/>
              </w:rPr>
            </w:pPr>
          </w:p>
        </w:tc>
      </w:tr>
      <w:tr>
        <w:trPr>
          <w:trHeight w:val="216"/>
        </w:trPr>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1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83"/>
        </w:trPr>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CAPITAL</w:t>
            </w:r>
          </w:p>
        </w:tc>
        <w:tc>
          <w:tcPr>
            <w:tcW w:w="1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Perpetual preferred stock and related surplus</w:t>
            </w:r>
          </w:p>
        </w:tc>
        <w:tc>
          <w:tcPr>
            <w:tcW w:w="2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8"/>
                <w:szCs w:val="18"/>
                <w:color w:val="auto"/>
              </w:rPr>
            </w:pPr>
          </w:p>
        </w:tc>
      </w:tr>
      <w:tr>
        <w:trPr>
          <w:trHeight w:val="216"/>
        </w:trPr>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Surplus (exclude all surplus related to preferred stock)</w:t>
            </w:r>
          </w:p>
        </w:tc>
        <w:tc>
          <w:tcPr>
            <w:tcW w:w="2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324,264</w:t>
            </w:r>
          </w:p>
        </w:tc>
        <w:tc>
          <w:tcPr>
            <w:tcW w:w="40" w:type="dxa"/>
            <w:vAlign w:val="bottom"/>
            <w:shd w:val="clear" w:color="auto" w:fill="CCEEFF"/>
          </w:tcPr>
          <w:p>
            <w:pPr>
              <w:spacing w:after="0"/>
              <w:rPr>
                <w:sz w:val="18"/>
                <w:szCs w:val="18"/>
                <w:color w:val="auto"/>
              </w:rPr>
            </w:pPr>
          </w:p>
        </w:tc>
      </w:tr>
      <w:tr>
        <w:trPr>
          <w:trHeight w:val="216"/>
        </w:trPr>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available</w:t>
            </w:r>
          </w:p>
        </w:tc>
        <w:tc>
          <w:tcPr>
            <w:tcW w:w="1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3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798,671</w:t>
            </w:r>
          </w:p>
        </w:tc>
        <w:tc>
          <w:tcPr>
            <w:tcW w:w="40" w:type="dxa"/>
            <w:vAlign w:val="bottom"/>
            <w:shd w:val="clear" w:color="auto" w:fill="CCEEFF"/>
          </w:tcPr>
          <w:p>
            <w:pPr>
              <w:spacing w:after="0"/>
              <w:rPr>
                <w:sz w:val="18"/>
                <w:szCs w:val="18"/>
                <w:color w:val="auto"/>
              </w:rPr>
            </w:pPr>
          </w:p>
        </w:tc>
      </w:tr>
      <w:tr>
        <w:trPr>
          <w:trHeight w:val="216"/>
        </w:trPr>
        <w:tc>
          <w:tcPr>
            <w:tcW w:w="83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1,241</w:t>
            </w:r>
          </w:p>
        </w:tc>
        <w:tc>
          <w:tcPr>
            <w:tcW w:w="40" w:type="dxa"/>
            <w:vAlign w:val="bottom"/>
          </w:tcPr>
          <w:p>
            <w:pPr>
              <w:spacing w:after="0"/>
              <w:rPr>
                <w:sz w:val="18"/>
                <w:szCs w:val="18"/>
                <w:color w:val="auto"/>
              </w:rPr>
            </w:pPr>
          </w:p>
        </w:tc>
      </w:tr>
      <w:tr>
        <w:trPr>
          <w:trHeight w:val="216"/>
        </w:trPr>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equity capital components</w:t>
            </w:r>
          </w:p>
        </w:tc>
        <w:tc>
          <w:tcPr>
            <w:tcW w:w="2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available</w:t>
            </w:r>
          </w:p>
        </w:tc>
        <w:tc>
          <w:tcPr>
            <w:tcW w:w="1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3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bank equity capital</w:t>
            </w:r>
          </w:p>
        </w:tc>
        <w:tc>
          <w:tcPr>
            <w:tcW w:w="2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1,125,276</w:t>
            </w:r>
          </w:p>
        </w:tc>
        <w:tc>
          <w:tcPr>
            <w:tcW w:w="40" w:type="dxa"/>
            <w:vAlign w:val="bottom"/>
            <w:shd w:val="clear" w:color="auto" w:fill="CCEEFF"/>
          </w:tcPr>
          <w:p>
            <w:pPr>
              <w:spacing w:after="0"/>
              <w:rPr>
                <w:sz w:val="18"/>
                <w:szCs w:val="18"/>
                <w:color w:val="auto"/>
              </w:rPr>
            </w:pPr>
          </w:p>
        </w:tc>
      </w:tr>
      <w:tr>
        <w:trPr>
          <w:trHeight w:val="216"/>
        </w:trPr>
        <w:tc>
          <w:tcPr>
            <w:tcW w:w="83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Noncontrolling (minority) interests in consolidated subsidiaries</w:t>
            </w:r>
          </w:p>
        </w:tc>
        <w:tc>
          <w:tcPr>
            <w:tcW w:w="26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capital</w:t>
            </w:r>
          </w:p>
        </w:tc>
        <w:tc>
          <w:tcPr>
            <w:tcW w:w="2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1,125,276</w:t>
            </w:r>
          </w:p>
        </w:tc>
        <w:tc>
          <w:tcPr>
            <w:tcW w:w="40" w:type="dxa"/>
            <w:vAlign w:val="bottom"/>
            <w:shd w:val="clear" w:color="auto" w:fill="CCEEFF"/>
          </w:tcPr>
          <w:p>
            <w:pPr>
              <w:spacing w:after="0"/>
              <w:rPr>
                <w:sz w:val="18"/>
                <w:szCs w:val="18"/>
                <w:color w:val="auto"/>
              </w:rPr>
            </w:pPr>
          </w:p>
        </w:tc>
      </w:tr>
      <w:tr>
        <w:trPr>
          <w:trHeight w:val="223"/>
        </w:trPr>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and equity capital</w:t>
            </w:r>
          </w:p>
        </w:tc>
        <w:tc>
          <w:tcPr>
            <w:tcW w:w="18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1,397,798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I, Matthew J. McNulty,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203" w:lineRule="exact"/>
        <w:rPr>
          <w:sz w:val="20"/>
          <w:szCs w:val="20"/>
          <w:color w:val="auto"/>
        </w:rPr>
      </w:pPr>
    </w:p>
    <w:p>
      <w:pPr>
        <w:ind w:left="360"/>
        <w:spacing w:after="0"/>
        <w:tabs>
          <w:tab w:leader="none" w:pos="2580" w:val="left"/>
          <w:tab w:leader="none" w:pos="2860" w:val="left"/>
        </w:tabs>
        <w:rPr>
          <w:sz w:val="20"/>
          <w:szCs w:val="20"/>
          <w:color w:val="auto"/>
        </w:rPr>
      </w:pPr>
      <w:r>
        <w:rPr>
          <w:rFonts w:ascii="Times New Roman" w:cs="Times New Roman" w:eastAsia="Times New Roman" w:hAnsi="Times New Roman"/>
          <w:sz w:val="18"/>
          <w:szCs w:val="18"/>
          <w:color w:val="auto"/>
        </w:rPr>
        <w:t>Matthew J. McNulty</w:t>
      </w:r>
      <w:r>
        <w:rPr>
          <w:sz w:val="20"/>
          <w:szCs w:val="20"/>
          <w:color w:val="auto"/>
        </w:rPr>
        <w:tab/>
      </w:r>
      <w:r>
        <w:rPr>
          <w:rFonts w:ascii="Times New Roman" w:cs="Times New Roman" w:eastAsia="Times New Roman" w:hAnsi="Times New Roman"/>
          <w:sz w:val="18"/>
          <w:szCs w:val="18"/>
          <w:color w:val="auto"/>
        </w:rPr>
        <w:t>)</w:t>
        <w:tab/>
        <w:t>CFO</w:t>
      </w:r>
    </w:p>
    <w:p>
      <w:pPr>
        <w:spacing w:after="0" w:line="225"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020"/>
          </w:cols>
          <w:pgMar w:left="440" w:top="257" w:right="439" w:bottom="1440" w:gutter="0" w:footer="0" w:header="0"/>
        </w:sectPr>
      </w:pPr>
    </w:p>
    <w:p>
      <w:pPr>
        <w:spacing w:after="0" w:line="81" w:lineRule="exact"/>
        <w:rPr>
          <w:sz w:val="20"/>
          <w:szCs w:val="20"/>
          <w:color w:val="auto"/>
        </w:rPr>
      </w:pPr>
    </w:p>
    <w:p>
      <w:pPr>
        <w:ind w:left="360" w:hanging="9"/>
        <w:spacing w:after="0" w:line="289" w:lineRule="auto"/>
        <w:rPr>
          <w:sz w:val="20"/>
          <w:szCs w:val="20"/>
          <w:color w:val="auto"/>
        </w:rPr>
      </w:pPr>
      <w:r>
        <w:rPr>
          <w:rFonts w:ascii="Times New Roman" w:cs="Times New Roman" w:eastAsia="Times New Roman" w:hAnsi="Times New Roman"/>
          <w:sz w:val="17"/>
          <w:szCs w:val="17"/>
          <w:color w:val="auto"/>
        </w:rPr>
        <w:t>Antonio I. Portuondo, President Michael P. Scott, Managing Director Kevin P. Caffrey, Managing Director</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Directors (Trustees)</w:t>
      </w:r>
    </w:p>
    <w:p>
      <w:pPr>
        <w:spacing w:after="0" w:line="384" w:lineRule="exact"/>
        <w:rPr>
          <w:sz w:val="20"/>
          <w:szCs w:val="20"/>
          <w:color w:val="auto"/>
        </w:rPr>
      </w:pPr>
    </w:p>
    <w:p>
      <w:pPr>
        <w:sectPr>
          <w:pgSz w:w="11900" w:h="16838" w:orient="portrait"/>
          <w:cols w:equalWidth="0" w:num="3">
            <w:col w:w="3000" w:space="180"/>
            <w:col w:w="60" w:space="160"/>
            <w:col w:w="7620"/>
          </w:cols>
          <w:pgMar w:left="440" w:top="257"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020"/>
          </w:cols>
          <w:pgMar w:left="440" w:top="257" w:right="439" w:bottom="1440" w:gutter="0" w:footer="0" w:header="0"/>
          <w:type w:val="continuous"/>
        </w:sectPr>
      </w:pPr>
    </w:p>
    <w:bookmarkStart w:id="54" w:name="page55"/>
    <w:bookmarkEnd w:id="54"/>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DOCUMENT IS IMPORTANT AND REQUIRES YOUR IMMEDIATE ATTENTION. If you are in any doubt as to the action to be taken, you should immediately consult your broker, bank manager, lawyer, accountant, investment advisor or other professional adviser.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LETTER OF TRANSMITTAL</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Relating 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Union Pacific Corporation</w:t>
      </w:r>
    </w:p>
    <w:p>
      <w:pPr>
        <w:spacing w:after="0" w:line="225"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Offer to Exchange up to $1,047,453,000 Principal Amount Outstanding of 2.973% Notes due 2062 for a Like Principal Amount of 2.973% Notes due 2062 which have been registered under the Securities Act of 1933.</w:t>
      </w:r>
    </w:p>
    <w:p>
      <w:pPr>
        <w:spacing w:after="0" w:line="17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Pursuant to the Prospectus, dated [_______], 2021</w:t>
      </w:r>
    </w:p>
    <w:p>
      <w:pPr>
        <w:spacing w:after="0" w:line="225" w:lineRule="exact"/>
        <w:rPr>
          <w:sz w:val="20"/>
          <w:szCs w:val="20"/>
          <w:color w:val="auto"/>
        </w:rPr>
      </w:pPr>
    </w:p>
    <w:p>
      <w:pPr>
        <w:spacing w:after="0"/>
        <w:tabs>
          <w:tab w:leader="none" w:pos="7460" w:val="left"/>
        </w:tabs>
        <w:rPr>
          <w:sz w:val="20"/>
          <w:szCs w:val="20"/>
          <w:color w:val="auto"/>
        </w:rPr>
      </w:pPr>
      <w:r>
        <w:rPr>
          <w:rFonts w:ascii="Times New Roman" w:cs="Times New Roman" w:eastAsia="Times New Roman" w:hAnsi="Times New Roman"/>
          <w:sz w:val="18"/>
          <w:szCs w:val="18"/>
          <w:color w:val="auto"/>
        </w:rPr>
        <w:t>EACH EXCHANGE OFFER WILL EXPIRE AT 5:00 P.M., NEW YORK CITY TIME, ON [</w:t>
      </w:r>
      <w:r>
        <w:rPr>
          <w:sz w:val="20"/>
          <w:szCs w:val="20"/>
          <w:color w:val="auto"/>
        </w:rPr>
        <w:tab/>
      </w:r>
      <w:r>
        <w:rPr>
          <w:rFonts w:ascii="Times New Roman" w:cs="Times New Roman" w:eastAsia="Times New Roman" w:hAnsi="Times New Roman"/>
          <w:sz w:val="17"/>
          <w:szCs w:val="17"/>
          <w:color w:val="auto"/>
        </w:rPr>
        <w:t>], 2021 UNLESS EXTENDED (SUCH DATE</w:t>
      </w:r>
    </w:p>
    <w:p>
      <w:pPr>
        <w:spacing w:after="0" w:line="2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AND TIME, AS IT MAY BE EXTENDED, THE “EXPIRATION DATE”). TENDERS MAY BE WITHDRAWN PRIOR TO 5:00 P.M., NEW YORK CITY TIME, ON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Delivery by Hand, Overnight Delivery, Registered or Certified Mail:</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Bank of New York Mellon Trust Company, N.A., as Exchange Agent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The Bank of New York Mellon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Trust Operations - Reorganization Unit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111 Sanders Creek Parkway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East Syracuse, New York 13057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Attn: Joseph Felicia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CT_REORG_UNIT_INQUIRIES@BNYMELLON.COM</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060" w:type="dxa"/>
            <w:vAlign w:val="bottom"/>
          </w:tcPr>
          <w:p>
            <w:pPr>
              <w:jc w:val="center"/>
              <w:ind w:right="2210"/>
              <w:spacing w:after="0"/>
              <w:rPr>
                <w:sz w:val="20"/>
                <w:szCs w:val="20"/>
                <w:color w:val="auto"/>
              </w:rPr>
            </w:pPr>
            <w:r>
              <w:rPr>
                <w:rFonts w:ascii="Times New Roman" w:cs="Times New Roman" w:eastAsia="Times New Roman" w:hAnsi="Times New Roman"/>
                <w:sz w:val="18"/>
                <w:szCs w:val="18"/>
                <w:color w:val="auto"/>
                <w:w w:val="99"/>
              </w:rPr>
              <w:t xml:space="preserve">By Facsimile: </w:t>
            </w:r>
            <w:r>
              <w:rPr>
                <w:rFonts w:ascii="Times New Roman" w:cs="Times New Roman" w:eastAsia="Times New Roman" w:hAnsi="Times New Roman"/>
                <w:sz w:val="18"/>
                <w:szCs w:val="18"/>
                <w:b w:val="1"/>
                <w:bCs w:val="1"/>
                <w:color w:val="auto"/>
                <w:w w:val="99"/>
              </w:rPr>
              <w:t>(732) 667-9408</w:t>
            </w:r>
          </w:p>
        </w:tc>
        <w:tc>
          <w:tcPr>
            <w:tcW w:w="446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w w:val="99"/>
              </w:rPr>
              <w:t>To Confirm by Telephone:</w:t>
            </w:r>
          </w:p>
        </w:tc>
      </w:tr>
      <w:tr>
        <w:trPr>
          <w:trHeight w:val="216"/>
        </w:trPr>
        <w:tc>
          <w:tcPr>
            <w:tcW w:w="6060" w:type="dxa"/>
            <w:vAlign w:val="bottom"/>
          </w:tcPr>
          <w:p>
            <w:pPr>
              <w:jc w:val="center"/>
              <w:ind w:right="2210"/>
              <w:spacing w:after="0"/>
              <w:rPr>
                <w:sz w:val="20"/>
                <w:szCs w:val="20"/>
                <w:color w:val="auto"/>
              </w:rPr>
            </w:pPr>
            <w:r>
              <w:rPr>
                <w:rFonts w:ascii="Times New Roman" w:cs="Times New Roman" w:eastAsia="Times New Roman" w:hAnsi="Times New Roman"/>
                <w:sz w:val="18"/>
                <w:szCs w:val="18"/>
                <w:b w:val="1"/>
                <w:bCs w:val="1"/>
                <w:color w:val="auto"/>
                <w:w w:val="99"/>
              </w:rPr>
              <w:t>Corporate Trust Operations Reorganization Unit</w:t>
            </w:r>
          </w:p>
        </w:tc>
        <w:tc>
          <w:tcPr>
            <w:tcW w:w="446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(315) 414-3349</w:t>
            </w:r>
          </w:p>
        </w:tc>
      </w:tr>
      <w:tr>
        <w:trPr>
          <w:trHeight w:val="216"/>
        </w:trPr>
        <w:tc>
          <w:tcPr>
            <w:tcW w:w="6060" w:type="dxa"/>
            <w:vAlign w:val="bottom"/>
          </w:tcPr>
          <w:p>
            <w:pPr>
              <w:spacing w:after="0"/>
              <w:rPr>
                <w:sz w:val="18"/>
                <w:szCs w:val="18"/>
                <w:color w:val="auto"/>
              </w:rPr>
            </w:pPr>
          </w:p>
        </w:tc>
        <w:tc>
          <w:tcPr>
            <w:tcW w:w="446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Corporate Trust Operations</w:t>
            </w:r>
          </w:p>
        </w:tc>
      </w:tr>
      <w:tr>
        <w:trPr>
          <w:trHeight w:val="238"/>
        </w:trPr>
        <w:tc>
          <w:tcPr>
            <w:tcW w:w="6060" w:type="dxa"/>
            <w:vAlign w:val="bottom"/>
          </w:tcPr>
          <w:p>
            <w:pPr>
              <w:spacing w:after="0"/>
              <w:rPr>
                <w:sz w:val="20"/>
                <w:szCs w:val="20"/>
                <w:color w:val="auto"/>
              </w:rPr>
            </w:pPr>
          </w:p>
        </w:tc>
        <w:tc>
          <w:tcPr>
            <w:tcW w:w="446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Reorganization Unit</w:t>
            </w: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Delivery of this instrument to an address other than as set forth above, or transmission of this instrument via facsimile other than as set forth above, will not constitute a valid delivery.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acknowledges that he or she has received the prospectus, dated [_______], 2021 (the “Prospectus”), of Union Pacific Corporation, a</w:t>
      </w:r>
    </w:p>
    <w:p>
      <w:pPr>
        <w:spacing w:after="0" w:line="2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Utah corporation (the “Company” or “Union Pacific”), and this letter of transmittal (the “Letter of Transmittal”), which together constitute the Company’s offer (the “Exchange Offer”) to exchange an aggregate principal amount of up to $1,047,453,000 of registered 2.973% Notes due 2062 (the “Exchange Notes”) of the Company for an equal principal amount of the Company’s outstanding 2.973% Notes due 2062 (the “Original Notes”). Capitalized terms used but not defined herein shall have the same meaning given to them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55" w:name="page56"/>
    <w:bookmarkEnd w:id="55"/>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each Original Note accepted for exchange, the holder of such Original Note will receive an Exchange Note having a principal amount equal to that of the surrendered Original Note. The Exchange Notes will bear interest at a rate of 2.973% per annum from the most recent date to which interest on the Original Notes has been paid or, if no interest has been paid, from September 16, 2020. Interest on the Exchange Notes will be payable semiannually on March 16 and September 16 of each year, beginning on March 16, 2021, to the holders of record on the preceding March 1 and September 1, respectively, whether or not such day is a business day. The Exchange Notes will mature on September 16, 2062. The terms of the Exchange Notes are substantially identical to the terms of the Original Notes for which they will be exchanged, except that the Exchange Notes have been registered under the Securities Act and are free of any obligation regarding registration.</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(i) within 180 days after the date of the issuance of the Original Notes (the “Issue Date”), the Exchange Offer Registration Statement (as defined in the Registration Rights Agreement dated September 16, 2020, among the Company, Credit Suisse Securities (USA) LLC and Wells Fargo Securities, LLC, as lead dealer managers, and the other dealer managers listed on Schedule I thereto (the “Registration Rights Agreement”)) has not been filed with the Commission; (ii) within 270 days after the Issue Date, the Exchange Offer Registration Statement has not been declared effective; (iii) within 315 days after the Issue Date, the Exchange Offer has not been consummated or, if required in lieu thereof, the Shelf Registration Statement (as defined in the Registration Rights Agreement) has not become effective; or (iv) after the Exchange Offer Registration Statement or the Shelf Registration Statement (if applicable) has been declared (or becomes automatically) effective, the Registration Statement thereafter ceases to be effective or usable (subject to the exceptions set forth in the Registration Rights Agreement) in connection with resales of Original Notes in accordance with and during the periods specified in Sections 1 and 2 of the Registration Rights Agreement (each such event referred to in clauses (i) through (iv), a “Registration Default”), Additional Interest, as defined in such Registration Rights Agreement, will accrue on the Original Notes from and including the date on which any such Registration Default shall occur to but excluding the date on which all such Registration Defaults have been cured. Additional Interest will accrue at a rate equal to 0.25% per annum of the aggregate principal amount of the Notes during the 90-day period immediately following the occurrence of any Registration Default and shall increase to a maximum of 0.50% per annum thereafter. Following the cure of all Registration Defaults, the accrual of Additional Interest on the Original Notes will cease.</w:t>
      </w:r>
    </w:p>
    <w:p>
      <w:pPr>
        <w:spacing w:after="0" w:line="19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has agreed that, for a period starting on the Expiration Date and ending on the close of business on the 180th day thereafter, it will make the Prospectus available to any broker-dealer for use in connection with any resales of the Exchange Notes.</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Each holder of Original Notes wishing to participate in the Exchange Offer, except holders of Original Notes executing their tenders through the Automated Tender Offer Program (“ATOP”) procedures of The Depository Trust Company (“DTC”), should complete, sign and submit this Letter of Transmittal to the Exchange Agent, The Bank of New York Mellon Trust Company, N.A., on or prior to the Expiration Date.</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Letter of Transmittal may be used to participate in the Exchange Offer if certificates representing Original Notes are to be physically delivered to the Exchange Agent or if Original Notes are to be tendered by effecting a book-entry transfer into the Exchange Agent’s account at DTC and instructions are not being transmitted through ATOP, for which the Exchange Offer is eligible. Unless you intend to tender your Original Notes through ATOP, you should complete, execute and deliver this Letter of Transmittal, along with any physical certificates for the Original Notes specified herein, to indicate the action you desire to take with respect to the Exchange Offer.</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Holders of Original Notes tendering by book-entry transfer to the Exchange Agent’s account at DTC may execute tenders through ATOP, for which the Exchange Offer is eligible. Financial institutions that are DTC participants may execute tenders through ATOP by transmitting acceptance of the Exchange Offer to DTC on or prior to the Expiration Date. DTC will verify acceptance of the Exchange Offer, execute a book-entry transfer of the tendered Original Notes into the account of the Exchange Agent at DTC and send to the Exchange Agent a “book-entry confirmation”, which shall include an agent’s message. An “agent’s message” is a message,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56" w:name="page57"/>
    <w:bookmarkEnd w:id="5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transmitted by DTC to, and received by, the Exchange Agent and forming part of a book-entry confirmation, which states that DTC has received an express acknowledgement from a DTC participant tendering Original Notes that the participant has received and agrees to be bound by the terms of this Letter of Transmittal and that the Company may enforce such agreement against the participant. Delivery of the agent’s message by DTC will satisfy the terms of the Exchange Offer as to execution and delivery of a Letter of Transmittal by the DTC participant identified in the agent’s message. Accordingly, holders who tender their Original Notes through DTC’s ATOP procedures shall be bound by, but need not complete, this Letter of Transmittal.</w:t>
      </w:r>
    </w:p>
    <w:p>
      <w:pPr>
        <w:spacing w:after="0" w:line="18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If you are a beneficial owner that holds Original Notes through Euroclear or Clearstream and wish to tender your Original Notes, you must instruct Euroclear or Clearstream, as the case may be, to block the account in respect of the tendered Original Notes in accordance with the procedures established by Euroclear or Clearstream. You are encouraged to contact Euroclear or Clearstream directly to ascertain their procedures for tendering Original Notes.</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Tendering holders of Original Notes must tender Original Notes in minimum denominations of $1,000 and integral multiples of $1,000 in excess thereof. Exchange Notes will be issued in minimum denominations of $1,000 and integral multiples of $1,000 in excess thereof.</w:t>
      </w:r>
    </w:p>
    <w:p>
      <w:pPr>
        <w:spacing w:after="0" w:line="162"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Any holder that is a bank, broker, or other custodial entity holding Original Notes of on behalf of more than one beneficial owner may submit to the Exchange Agent a list of the aggregate principal amount of Original Notes owned by each such beneficial owner, and the Exchange Agent, in determining the aggregate principal amount of Exchange Notes to be issued to such holder, will treat each such beneficial owner as a separate holder.</w:t>
      </w:r>
    </w:p>
    <w:p>
      <w:pPr>
        <w:spacing w:after="0" w:line="15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Holders that anticipate tendering other than through DTC are urged to contact promptly a bank, broker or other intermediary (that has the capability to hold securities custodially through DTC) to arrange for receipt of Exchange Notes to be delivered pursuant to the Exchange Offer and to obtain the information necessary to provide the required DTC participant with account information in this Letter of Transmittal.</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Union Pacific reserves the right, in its sole discretion, to amend, at any time, the terms and conditions of the Exchange Offer. Union Pacific will give you notice of any amendments if required by applicable law. The term “Expiration Date” shall mean the latest time and date to which the Exchange Offer is extended.</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undersigned has completed the appropriate boxes below and signed this Letter of Transmittal to indicate the action the undersigned desires to take with respect to the Exchange Offer.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57" w:name="page58"/>
    <w:bookmarkEnd w:id="57"/>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TENDER OF ORIGINAL NOTES</w:t>
      </w:r>
    </w:p>
    <w:p>
      <w:pPr>
        <w:spacing w:after="0" w:line="225" w:lineRule="exact"/>
        <w:rPr>
          <w:sz w:val="20"/>
          <w:szCs w:val="20"/>
          <w:color w:val="auto"/>
        </w:rPr>
      </w:pPr>
    </w:p>
    <w:p>
      <w:pPr>
        <w:ind w:left="4" w:right="240"/>
        <w:spacing w:after="0" w:line="312" w:lineRule="auto"/>
        <w:rPr>
          <w:sz w:val="20"/>
          <w:szCs w:val="20"/>
          <w:color w:val="auto"/>
        </w:rPr>
      </w:pPr>
      <w:r>
        <w:rPr>
          <w:rFonts w:ascii="Times New Roman" w:cs="Times New Roman" w:eastAsia="Times New Roman" w:hAnsi="Times New Roman"/>
          <w:sz w:val="17"/>
          <w:szCs w:val="17"/>
          <w:color w:val="auto"/>
        </w:rPr>
        <w:t>To effect a valid tender of Original Notes through the completion, execution and delivery of this Letter of Transmittal, the undersigned must complete the tables below entitled “Method of Delivery” and “Description of Original Notes Tendered” and sign this Letter of Transmittal where indicated.</w:t>
      </w:r>
    </w:p>
    <w:p>
      <w:pPr>
        <w:spacing w:after="0" w:line="140"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Exchange Notes will be delivered in book-entry form through DTC and only to the DTC account of the undersigned or the undersigned’s custodian, as specified in the table below entitled “Method of Delivery”.</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We have not provided guaranteed delivery procedures in conjunction with the Exchange Offer or under any of the Prospectus or other materials provided therewith.</w:t>
      </w:r>
    </w:p>
    <w:p>
      <w:pPr>
        <w:spacing w:after="0" w:line="162"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Failure to provide the information necessary to effect delivery of Exchange Notes will render such holder’s tender defective, and Union Pacific will have the right, which it may waive, to reject such tender without notice.</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METHOD OF DELIVERY</w:t>
      </w:r>
    </w:p>
    <w:p>
      <w:pPr>
        <w:spacing w:after="0" w:line="252" w:lineRule="exact"/>
        <w:rPr>
          <w:sz w:val="20"/>
          <w:szCs w:val="20"/>
          <w:color w:val="auto"/>
        </w:rPr>
      </w:pPr>
    </w:p>
    <w:p>
      <w:pPr>
        <w:ind w:left="344" w:hanging="344"/>
        <w:spacing w:after="0"/>
        <w:tabs>
          <w:tab w:leader="none" w:pos="344" w:val="left"/>
        </w:tabs>
        <w:numPr>
          <w:ilvl w:val="0"/>
          <w:numId w:val="3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PHYSICAL CERTIFICATES FOR TENDERED ORIGINAL NOTES ARE BEING DELIVERED HEREWITH.</w:t>
      </w:r>
    </w:p>
    <w:p>
      <w:pPr>
        <w:spacing w:after="0" w:line="225" w:lineRule="exact"/>
        <w:rPr>
          <w:rFonts w:ascii="MS PGothic" w:cs="MS PGothic" w:eastAsia="MS PGothic" w:hAnsi="MS PGothic"/>
          <w:sz w:val="18"/>
          <w:szCs w:val="18"/>
          <w:color w:val="auto"/>
        </w:rPr>
      </w:pPr>
    </w:p>
    <w:p>
      <w:pPr>
        <w:ind w:left="364" w:right="140" w:hanging="364"/>
        <w:spacing w:after="0" w:line="282" w:lineRule="auto"/>
        <w:tabs>
          <w:tab w:leader="none" w:pos="346" w:val="left"/>
        </w:tabs>
        <w:numPr>
          <w:ilvl w:val="0"/>
          <w:numId w:val="3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TENDERED ORIGINAL NOTES ARE BEING DELIVERED BY BOOK-ENTRY TRANSFER MADE TO THE ACCOUNT MAINTAINED BY THE EXCHANGE AGENT WITH DTC.</w:t>
      </w:r>
    </w:p>
    <w:p>
      <w:pPr>
        <w:spacing w:after="0" w:line="162" w:lineRule="exact"/>
        <w:rPr>
          <w:sz w:val="20"/>
          <w:szCs w:val="20"/>
          <w:color w:val="auto"/>
        </w:rPr>
      </w:pPr>
    </w:p>
    <w:p>
      <w:pPr>
        <w:ind w:left="364" w:right="220"/>
        <w:spacing w:after="0" w:line="282" w:lineRule="auto"/>
        <w:rPr>
          <w:sz w:val="20"/>
          <w:szCs w:val="20"/>
          <w:color w:val="auto"/>
        </w:rPr>
      </w:pPr>
      <w:r>
        <w:rPr>
          <w:rFonts w:ascii="Times New Roman" w:cs="Times New Roman" w:eastAsia="Times New Roman" w:hAnsi="Times New Roman"/>
          <w:sz w:val="18"/>
          <w:szCs w:val="18"/>
          <w:color w:val="auto"/>
        </w:rPr>
        <w:t>PROVIDE BELOW THE NAME OF THE DTC PARTICIPANT AND PARTICIPANT’S ACCOUNT NUMBER IN WHICH THE TENDERED ORIGINAL NOTES ARE HELD AND/OR THE CORRESPONDING EXCHANGE NOTES ARE TO BE DELIVERED.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DTC Participant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1243965</wp:posOffset>
            </wp:positionH>
            <wp:positionV relativeFrom="paragraph">
              <wp:posOffset>-7620</wp:posOffset>
            </wp:positionV>
            <wp:extent cx="13423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-7620</wp:posOffset>
            </wp:positionV>
            <wp:extent cx="17138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1296670</wp:posOffset>
            </wp:positionH>
            <wp:positionV relativeFrom="paragraph">
              <wp:posOffset>-7620</wp:posOffset>
            </wp:positionV>
            <wp:extent cx="12852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4" w:right="180" w:hanging="364"/>
        <w:spacing w:after="0" w:line="282" w:lineRule="auto"/>
        <w:tabs>
          <w:tab w:leader="none" w:pos="391" w:val="left"/>
        </w:tabs>
        <w:numPr>
          <w:ilvl w:val="0"/>
          <w:numId w:val="3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YOU ARE A BROKER-DEALER AND WISH TO RECEIVE 10 ADDITIONAL COPIES OF THE PROSPECTUS AND 10 COPIES OF ANY AMENDMENTS OR SUPPLEMENTS THERETO.</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-7620</wp:posOffset>
            </wp:positionV>
            <wp:extent cx="22561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2256155" cy="8890"/>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-7620</wp:posOffset>
            </wp:positionV>
            <wp:extent cx="21424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2142490" cy="8255"/>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266065</wp:posOffset>
            </wp:positionV>
            <wp:extent cx="21424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214249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58" w:name="page59"/>
    <w:bookmarkEnd w:id="58"/>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List below the Original Notes to which this Letter of Transmittal relates. If the space provided below is inadequate, the numbers and principal amount at maturity of Original Notes should be listed on a separate signed schedule affixed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003415" cy="18434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003415" cy="1843405"/>
                    </a:xfrm>
                    <a:prstGeom prst="rect">
                      <a:avLst/>
                    </a:prstGeom>
                    <a:noFill/>
                  </pic:spPr>
                </pic:pic>
              </a:graphicData>
            </a:graphic>
          </wp:anchor>
        </w:drawing>
      </w:r>
    </w:p>
    <w:p>
      <w:pPr>
        <w:spacing w:after="0" w:line="192" w:lineRule="exact"/>
        <w:rPr>
          <w:sz w:val="20"/>
          <w:szCs w:val="20"/>
          <w:color w:val="auto"/>
        </w:rPr>
      </w:pPr>
    </w:p>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DESCRIPTION OF ORIGINAL NOTES TENDERED</w:t>
      </w:r>
    </w:p>
    <w:p>
      <w:pPr>
        <w:spacing w:after="0" w:line="32"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4060" w:type="dxa"/>
            <w:vAlign w:val="bottom"/>
          </w:tcPr>
          <w:p>
            <w:pPr>
              <w:jc w:val="center"/>
              <w:ind w:right="1008"/>
              <w:spacing w:after="0"/>
              <w:rPr>
                <w:sz w:val="20"/>
                <w:szCs w:val="20"/>
                <w:color w:val="auto"/>
              </w:rPr>
            </w:pPr>
            <w:r>
              <w:rPr>
                <w:rFonts w:ascii="Times New Roman" w:cs="Times New Roman" w:eastAsia="Times New Roman" w:hAnsi="Times New Roman"/>
                <w:sz w:val="14"/>
                <w:szCs w:val="14"/>
                <w:b w:val="1"/>
                <w:bCs w:val="1"/>
                <w:color w:val="auto"/>
              </w:rPr>
              <w:t>Name(s) and Address(es) of Registered Holder(s)</w:t>
            </w:r>
          </w:p>
        </w:tc>
        <w:tc>
          <w:tcPr>
            <w:tcW w:w="242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Certificate</w:t>
            </w:r>
          </w:p>
        </w:tc>
        <w:tc>
          <w:tcPr>
            <w:tcW w:w="2420" w:type="dxa"/>
            <w:vAlign w:val="bottom"/>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Aggregate Principal Amount</w:t>
            </w:r>
          </w:p>
        </w:tc>
      </w:tr>
      <w:tr>
        <w:trPr>
          <w:trHeight w:val="193"/>
        </w:trPr>
        <w:tc>
          <w:tcPr>
            <w:tcW w:w="4060" w:type="dxa"/>
            <w:vAlign w:val="bottom"/>
          </w:tcPr>
          <w:p>
            <w:pPr>
              <w:jc w:val="center"/>
              <w:ind w:right="1008"/>
              <w:spacing w:after="0"/>
              <w:rPr>
                <w:sz w:val="20"/>
                <w:szCs w:val="20"/>
                <w:color w:val="auto"/>
              </w:rPr>
            </w:pPr>
            <w:r>
              <w:rPr>
                <w:rFonts w:ascii="Times New Roman" w:cs="Times New Roman" w:eastAsia="Times New Roman" w:hAnsi="Times New Roman"/>
                <w:sz w:val="14"/>
                <w:szCs w:val="14"/>
                <w:b w:val="1"/>
                <w:bCs w:val="1"/>
                <w:color w:val="auto"/>
              </w:rPr>
              <w:t>(Please fill in, if blank)</w:t>
            </w:r>
          </w:p>
        </w:tc>
        <w:tc>
          <w:tcPr>
            <w:tcW w:w="242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Number(s)*</w:t>
            </w:r>
          </w:p>
        </w:tc>
        <w:tc>
          <w:tcPr>
            <w:tcW w:w="2420" w:type="dxa"/>
            <w:vAlign w:val="bottom"/>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of Original Notes Tendered**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Total</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Need not be completed if Original Notes are being tendered by book-entry transfer.</w:t>
      </w:r>
    </w:p>
    <w:p>
      <w:pPr>
        <w:spacing w:after="0" w:line="23" w:lineRule="exact"/>
        <w:rPr>
          <w:sz w:val="20"/>
          <w:szCs w:val="20"/>
          <w:color w:val="auto"/>
        </w:rPr>
      </w:pPr>
    </w:p>
    <w:p>
      <w:pPr>
        <w:ind w:left="640" w:right="380" w:hanging="271"/>
        <w:spacing w:after="0" w:line="260" w:lineRule="auto"/>
        <w:tabs>
          <w:tab w:leader="none" w:pos="6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Original Notes tendered hereby must be in minimum denominations of $1,000 and integral multiples of $1,000 in excess thereof. See Instruction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169545</wp:posOffset>
            </wp:positionV>
            <wp:extent cx="6995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 Signatures must be provided below.</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Please read the accompanying instructions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PLEASE READ THE ACCOMPANYING INSTRUCTIONS CAREFULLY.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Upon the terms and subject to the conditions of the Exchange Offer, the undersigned hereby tenders to the Company the aggregate principal amount of the Original Notes indicated above. Subject to, and effective upon, the acceptance for exchange of the Original Notes tendered hereby, the undersigned hereby sells, assigns and transfers to, or upon the order of, the Company all right, title and interest in and to such Original Notes as are being tendered hereby.</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tender, sell, assign and transfer the Original Notes tendered hereby and that the Company will acquire good and unencumbered title thereto, free and clear of all liens, restrictions, charges and encumbrances and not subject to any adverse claim when the same are accepted by the Company. The undersigned hereby further represents that it is not an “affiliate”, as defined in Rule 405 under the Securities Act of 1933, as amended (the “Securities Act”), of the Company, that any Exchange Notes to be received by it will be acquired in the ordinary course of business and that at the time of commencement of the Exchange Offer it had no arrangement with any person to participate in a distribution of the Exchange Notes.</w:t>
      </w:r>
    </w:p>
    <w:p>
      <w:pPr>
        <w:spacing w:after="0" w:line="187"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In addition, if the undersigned is not a broker-dealer, the undersigned represents that it is not engaged in, and does not intend to engage in, a distribution of the Exchange Notes. If the undersigned is a broker-dealer that will receive Exchange Notes for its own account in exchange for Original Notes, it represents that the Original Notes to be exchanged for Exchange Notes were acquired by it as a result of market-making activities or other trading activities and acknowledges that it will deliver a prospectus in connection with any resale of such Exchange Notes; however, by so acknowledging and by delivering a prospectus, the undersigned will not be deemed to admit that it is an “underwriter” within the meaning of the Securities Act.</w:t>
      </w:r>
    </w:p>
    <w:p>
      <w:pPr>
        <w:spacing w:after="0" w:line="1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undersigned also acknowledges that the Exchange Offer is being made by the Company based upon the Company’s understanding of an interpretation by the staff of the Securities and Exchange Commission (the “Commission”) as set forth in no-action letters issued to third parties, that the Exchange Notes issued in exchange for the Original Notes pursuant to the Exchange Offer may be offered for resale, resold and otherwise transferred by holders thereof, without compliance with the registration and prospectus delivery provisions of the Securities Act, provided that: (1) such holders are not affiliates of the Company within the meaning of Rule 405 under the Securities Act; (2) such Exchange Notes are acquired in the ordinary course of such holders’ business; and (3) such holders are not engaged in, and do not intend to engage in, a distribution of such Exchange Notes and have no arrangement or understanding with any person to participate in the distribution of such Exchange Notes. However, the staff of the Commission has not considered the Exchange Offer in the context of a no-action letter, and there can be no assurance that the staff of the Commission would make a similar determination with respect to the Exchange Offer as in other circumstances. If a holder of Original Notes is an affiliate of the Company, acquires Exchange Notes other than in the ordinary course of such holder’s business or is engaged in or intends to engage in a distribution of the Exchange Notes or has any arrangement or understanding with respect to the distribution of the Exchange Notes to be acquired pursuant to the Exchange Offer, such holder could not rely on the applicable interpretations of the staff of the Commission and must comply with the registration and prospectus delivery requirements of the Securities Act in connection with any secondary resale transaction.</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undersigned will, upon request, execute and deliver any additional documents deemed by the Company to be necessary or desirable to complete the sale, assignment and transfer of the Original Notes tendered hereby. All authority conferred or agreed to be conferred in this Letter of Transmittal and every obligation of the undersigned hereunder shall be binding upon the successors, assigns, heirs, executors, administrators, trustees in bankruptcy and legal representatives of the undersigned and shall not be affected by, and shall survive, the death or incapacity of the undersigned. This tender may be withdrawn only in accordance with the procedures set forth in “The Exchange Offer-Withdrawal of Tenders” section of the Prospectus.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60" w:name="page61"/>
    <w:bookmarkEnd w:id="60"/>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Unless otherwise indicated in the box entitled “Special Issuance Instructions” below, please deliver the Exchange Notes in the name of the undersigned or, in the case of a book-entry delivery of Original Notes, please credit the account indicated above maintained at DTC. Similarly, unless otherwise indicated under the box entitled “Special Delivery Instructions” below, please send the Exchange Notes to the undersigned at the address shown above in the box entitled “Description of Original Notes Tendered”.</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UNDERSIGNED, BY COMPLETING THE BOX ENTITLED “DESCRIPTION OF ORIGINAL NOTES TENDERED” ABOVE AND SIGNING THIS LETTER OF TRANSMITTAL, WILL BE DEEMED TO HAVE TENDERED THE ORIGINAL NOTES AS SET FORTH IN SUCH BOX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172720</wp:posOffset>
            </wp:positionV>
            <wp:extent cx="6998970" cy="4838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6998970" cy="4838700"/>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p>
      <w:pPr>
        <w:spacing w:after="0" w:line="307"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b w:val="1"/>
          <w:bCs w:val="1"/>
          <w:color w:val="auto"/>
        </w:rPr>
        <w:t>SPECIAL ISSUANCE INSTRUCTIONS</w:t>
      </w:r>
    </w:p>
    <w:p>
      <w:pPr>
        <w:spacing w:after="0" w:line="31"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b w:val="1"/>
          <w:bCs w:val="1"/>
          <w:color w:val="auto"/>
        </w:rPr>
        <w:t>(See Instructions 3 and 4)</w:t>
      </w:r>
    </w:p>
    <w:p>
      <w:pPr>
        <w:spacing w:after="0" w:line="396" w:lineRule="exact"/>
        <w:rPr>
          <w:sz w:val="20"/>
          <w:szCs w:val="20"/>
          <w:color w:val="auto"/>
        </w:rPr>
      </w:pPr>
    </w:p>
    <w:p>
      <w:pPr>
        <w:ind w:left="220" w:right="240"/>
        <w:spacing w:after="0" w:line="258" w:lineRule="auto"/>
        <w:rPr>
          <w:sz w:val="20"/>
          <w:szCs w:val="20"/>
          <w:color w:val="auto"/>
        </w:rPr>
      </w:pPr>
      <w:r>
        <w:rPr>
          <w:rFonts w:ascii="Times New Roman" w:cs="Times New Roman" w:eastAsia="Times New Roman" w:hAnsi="Times New Roman"/>
          <w:sz w:val="18"/>
          <w:szCs w:val="18"/>
          <w:color w:val="auto"/>
        </w:rPr>
        <w:t>To be completed ONLY if certificates for Original Notes in a principal amount not tendered or not accepted are to be issued in the name of someone other than the undersigned, or if Original Notes are to be returned by credit to an account maintained by DTC other than the account designated above.</w:t>
      </w:r>
    </w:p>
    <w:p>
      <w:pPr>
        <w:spacing w:after="0" w:line="197" w:lineRule="exact"/>
        <w:rPr>
          <w:sz w:val="20"/>
          <w:szCs w:val="20"/>
          <w:color w:val="auto"/>
        </w:rPr>
      </w:pPr>
    </w:p>
    <w:p>
      <w:pPr>
        <w:ind w:left="220" w:right="240"/>
        <w:spacing w:after="0" w:line="282" w:lineRule="auto"/>
        <w:rPr>
          <w:sz w:val="20"/>
          <w:szCs w:val="20"/>
          <w:color w:val="auto"/>
        </w:rPr>
      </w:pPr>
      <w:r>
        <w:rPr>
          <w:rFonts w:ascii="Times New Roman" w:cs="Times New Roman" w:eastAsia="Times New Roman" w:hAnsi="Times New Roman"/>
          <w:sz w:val="18"/>
          <w:szCs w:val="18"/>
          <w:color w:val="auto"/>
        </w:rPr>
        <w:t>Issue certificates for Original Notes not tendered or not accepted to:</w:t>
      </w:r>
    </w:p>
    <w:p>
      <w:pPr>
        <w:spacing w:after="0" w:line="3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Name(s):</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b w:val="1"/>
          <w:bCs w:val="1"/>
          <w:color w:val="auto"/>
        </w:rPr>
        <w:t>(Please Type or Print)</w:t>
      </w:r>
    </w:p>
    <w:p>
      <w:pPr>
        <w:spacing w:after="0" w:line="20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b w:val="1"/>
          <w:bCs w:val="1"/>
          <w:color w:val="auto"/>
        </w:rPr>
        <w:t>(Please Type or Print)</w:t>
      </w:r>
    </w:p>
    <w:p>
      <w:pPr>
        <w:spacing w:after="0" w:line="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(Including Zip Code)</w:t>
      </w:r>
    </w:p>
    <w:p>
      <w:pPr>
        <w:spacing w:after="0" w:line="200" w:lineRule="exact"/>
        <w:rPr>
          <w:sz w:val="20"/>
          <w:szCs w:val="20"/>
          <w:color w:val="auto"/>
        </w:rPr>
      </w:pPr>
    </w:p>
    <w:p>
      <w:pPr>
        <w:spacing w:after="0" w:line="27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b w:val="1"/>
          <w:bCs w:val="1"/>
          <w:color w:val="auto"/>
        </w:rPr>
        <w:t>Taxpayer Identification Number</w:t>
      </w:r>
    </w:p>
    <w:p>
      <w:pPr>
        <w:spacing w:after="0" w:line="61" w:lineRule="exact"/>
        <w:rPr>
          <w:sz w:val="20"/>
          <w:szCs w:val="20"/>
          <w:color w:val="auto"/>
        </w:rPr>
      </w:pPr>
    </w:p>
    <w:p>
      <w:pPr>
        <w:jc w:val="center"/>
        <w:ind w:left="220" w:right="60"/>
        <w:spacing w:after="0" w:line="266" w:lineRule="auto"/>
        <w:rPr>
          <w:sz w:val="20"/>
          <w:szCs w:val="20"/>
          <w:color w:val="auto"/>
        </w:rPr>
      </w:pPr>
      <w:r>
        <w:rPr>
          <w:rFonts w:ascii="Times New Roman" w:cs="Times New Roman" w:eastAsia="Times New Roman" w:hAnsi="Times New Roman"/>
          <w:sz w:val="18"/>
          <w:szCs w:val="18"/>
          <w:color w:val="auto"/>
        </w:rPr>
        <w:t>(Such person(s) must also complete the Substitute Form W-9, a Form W-8BEN, a Form W-8BEN-E, a Form W-8ECI or a Form W-8IMY, as applicable)</w:t>
      </w:r>
    </w:p>
    <w:p>
      <w:pPr>
        <w:spacing w:after="0" w:line="189" w:lineRule="exact"/>
        <w:rPr>
          <w:sz w:val="20"/>
          <w:szCs w:val="20"/>
          <w:color w:val="auto"/>
        </w:rPr>
      </w:pPr>
    </w:p>
    <w:p>
      <w:pPr>
        <w:jc w:val="center"/>
        <w:ind w:left="220" w:right="60"/>
        <w:spacing w:after="0" w:line="282" w:lineRule="auto"/>
        <w:rPr>
          <w:sz w:val="20"/>
          <w:szCs w:val="20"/>
          <w:color w:val="auto"/>
        </w:rPr>
      </w:pPr>
      <w:r>
        <w:rPr>
          <w:rFonts w:ascii="Times New Roman" w:cs="Times New Roman" w:eastAsia="Times New Roman" w:hAnsi="Times New Roman"/>
          <w:sz w:val="18"/>
          <w:szCs w:val="18"/>
          <w:color w:val="auto"/>
        </w:rPr>
        <w:t>Credit unaccepted Original Notes tendered by book-entry transfer to:</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SPECIAL DELIVERY INSTRUCTIONS</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(See Instructions 3 and 4)</w:t>
      </w:r>
    </w:p>
    <w:p>
      <w:pPr>
        <w:spacing w:after="0" w:line="382"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To be completed ONLY if certificates for Original Notes in a principal amount not tendered or not accepted are to be sent to someone other than the undersigned at an address other than that shown above.</w:t>
      </w:r>
    </w:p>
    <w:p>
      <w:pPr>
        <w:spacing w:after="0" w:line="19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Deliver certificates for Original Notes not tendered or not accepted to:</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b w:val="1"/>
          <w:bCs w:val="1"/>
          <w:color w:val="auto"/>
        </w:rPr>
        <w:t>(Please Type or Print)</w:t>
      </w:r>
    </w:p>
    <w:p>
      <w:pPr>
        <w:spacing w:after="0" w:line="20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b w:val="1"/>
          <w:bCs w:val="1"/>
          <w:color w:val="auto"/>
        </w:rPr>
        <w:t>(Please Type or Print)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(Including Zip Code)</w:t>
      </w:r>
    </w:p>
    <w:p>
      <w:pPr>
        <w:spacing w:after="0" w:line="200" w:lineRule="exact"/>
        <w:rPr>
          <w:sz w:val="20"/>
          <w:szCs w:val="20"/>
          <w:color w:val="auto"/>
        </w:rPr>
      </w:pPr>
    </w:p>
    <w:p>
      <w:pPr>
        <w:spacing w:after="0" w:line="27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b w:val="1"/>
          <w:bCs w:val="1"/>
          <w:color w:val="auto"/>
        </w:rPr>
        <w:t>Taxpayer Identification Number</w:t>
      </w:r>
    </w:p>
    <w:p>
      <w:pPr>
        <w:spacing w:after="0" w:line="200" w:lineRule="exact"/>
        <w:rPr>
          <w:sz w:val="20"/>
          <w:szCs w:val="20"/>
          <w:color w:val="auto"/>
        </w:rPr>
      </w:pPr>
    </w:p>
    <w:p>
      <w:pPr>
        <w:spacing w:after="0" w:line="253" w:lineRule="exact"/>
        <w:rPr>
          <w:sz w:val="20"/>
          <w:szCs w:val="20"/>
          <w:color w:val="auto"/>
        </w:rPr>
      </w:pPr>
    </w:p>
    <w:p>
      <w:pPr>
        <w:jc w:val="center"/>
        <w:ind w:left="-39"/>
        <w:spacing w:after="0" w:line="266" w:lineRule="auto"/>
        <w:rPr>
          <w:sz w:val="20"/>
          <w:szCs w:val="20"/>
          <w:color w:val="auto"/>
        </w:rPr>
      </w:pPr>
      <w:r>
        <w:rPr>
          <w:rFonts w:ascii="Times New Roman" w:cs="Times New Roman" w:eastAsia="Times New Roman" w:hAnsi="Times New Roman"/>
          <w:sz w:val="18"/>
          <w:szCs w:val="18"/>
          <w:color w:val="auto"/>
        </w:rPr>
        <w:t>(Such person(s) must also complete the Substitute Form W-9, a Form W-8BEN, a Form W-8BEN-E, a Form W-8ECI or a Form W-8IMY, as applicable)</w:t>
      </w:r>
    </w:p>
    <w:p>
      <w:pPr>
        <w:spacing w:after="0" w:line="349" w:lineRule="exact"/>
        <w:rPr>
          <w:sz w:val="20"/>
          <w:szCs w:val="20"/>
          <w:color w:val="auto"/>
        </w:rPr>
      </w:pPr>
    </w:p>
    <w:p>
      <w:pPr>
        <w:sectPr>
          <w:pgSz w:w="11900" w:h="16838" w:orient="portrait"/>
          <w:cols w:equalWidth="0" w:num="2">
            <w:col w:w="5120" w:space="720"/>
            <w:col w:w="5160"/>
          </w:cols>
          <w:pgMar w:left="440" w:top="270" w:right="459" w:bottom="1440" w:gutter="0" w:footer="0" w:header="0"/>
          <w:type w:val="continuous"/>
        </w:sectPr>
      </w:pPr>
    </w:p>
    <w:p>
      <w:pPr>
        <w:spacing w:after="0" w:line="23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auto"/>
        </w:rPr>
        <w:t>(DTC Account Number)</w:t>
      </w:r>
    </w:p>
    <w:p>
      <w:pPr>
        <w:spacing w:after="0" w:line="200" w:lineRule="exact"/>
        <w:rPr>
          <w:sz w:val="20"/>
          <w:szCs w:val="20"/>
          <w:color w:val="auto"/>
        </w:rPr>
      </w:pP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IMPORTANT: This Letter of Transmittal or a facsimile hereof or an agent’s message in lieu thereof (together with the certificates for Original Notes or a book-entry confirmation and all other required documents) must be received by the Exchange Agent at or prior to 5:00 p.m., New York City time, on the Expiration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READ THIS ENTIRE LETTER OF TRANSMITTAL CAREFULLY BEFORE COMPLETING ANY BOX ABOVE.</w:t>
      </w:r>
    </w:p>
    <w:p>
      <w:pPr>
        <w:spacing w:after="0" w:line="225"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IN ORDER TO VALIDLY TENDER ORIGINAL NOTES FOR EXCHANGE, HOLDERS OF ORIGINAL NOTES MUST COMPLETE, EXECUTE, AND DELIVER THE LETTER OF TRANSMITTAL OR A PROPERLY TRANSMITTED AGENT’S MESSAGE.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type w:val="continuous"/>
        </w:sectPr>
      </w:pPr>
    </w:p>
    <w:bookmarkStart w:id="61" w:name="page62"/>
    <w:bookmarkEnd w:id="6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 HERE</w:t>
      </w:r>
    </w:p>
    <w:p>
      <w:pPr>
        <w:spacing w:after="0" w:line="229" w:lineRule="exact"/>
        <w:rPr>
          <w:sz w:val="20"/>
          <w:szCs w:val="20"/>
          <w:color w:val="auto"/>
        </w:rPr>
      </w:pPr>
    </w:p>
    <w:p>
      <w:pPr>
        <w:jc w:val="center"/>
        <w:ind w:left="480" w:right="100"/>
        <w:spacing w:after="0" w:line="282" w:lineRule="auto"/>
        <w:rPr>
          <w:sz w:val="20"/>
          <w:szCs w:val="20"/>
          <w:color w:val="auto"/>
        </w:rPr>
      </w:pPr>
      <w:r>
        <w:rPr>
          <w:rFonts w:ascii="Times New Roman" w:cs="Times New Roman" w:eastAsia="Times New Roman" w:hAnsi="Times New Roman"/>
          <w:sz w:val="18"/>
          <w:szCs w:val="18"/>
          <w:color w:val="auto"/>
        </w:rPr>
        <w:t>(To be completed by all tendering holders of Original Notes regardless of whether Original Notes are being physically delivered herewith, other than holders effecting delivery through ATOP)</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By completing, executing and delivering this Letter of Transmittal, the undersigned hereby tenders to Union Pacific the principal amount of the Original Notes listed in the table on page 5 entitled “Description of Original Notes Tendered”.</w:t>
      </w:r>
    </w:p>
    <w:p>
      <w:pPr>
        <w:sectPr>
          <w:pgSz w:w="11900" w:h="16838" w:orient="portrait"/>
          <w:cols w:equalWidth="0" w:num="1">
            <w:col w:w="11020"/>
          </w:cols>
          <w:pgMar w:left="440" w:top="266" w:right="439" w:bottom="1440" w:gutter="0" w:footer="0" w:header="0"/>
        </w:sectPr>
      </w:pP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Signature of Registered Holder(s) or Authorized Signatory (see guarantee requirement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268605</wp:posOffset>
            </wp:positionV>
            <wp:extent cx="32232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Signature of Registered Holder(s) or Authorized Signatory (see guarantee requirement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268605</wp:posOffset>
            </wp:positionV>
            <wp:extent cx="32232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Signature of Registered Holder(s) or Authorized Signatory (see guarantee requirement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268605</wp:posOffset>
            </wp:positionV>
            <wp:extent cx="32232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Signature of Registered Holder(s) or Authorized Signatory (see guarantee requirement below)</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Area Code and Telephone</w:t>
            </w:r>
          </w:p>
        </w:tc>
        <w:tc>
          <w:tcPr>
            <w:tcW w:w="16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Date</w:t>
            </w: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38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31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Area Code and Telephone</w:t>
            </w:r>
          </w:p>
        </w:tc>
        <w:tc>
          <w:tcPr>
            <w:tcW w:w="16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Date</w:t>
            </w: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38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31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Area Code and Telephone</w:t>
            </w:r>
          </w:p>
        </w:tc>
        <w:tc>
          <w:tcPr>
            <w:tcW w:w="16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Date</w:t>
            </w: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38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31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Area Code and Telephone</w:t>
            </w:r>
          </w:p>
        </w:tc>
        <w:tc>
          <w:tcPr>
            <w:tcW w:w="16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Date</w:t>
            </w: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2">
            <w:col w:w="4820" w:space="720"/>
            <w:col w:w="5480"/>
          </w:cols>
          <w:pgMar w:left="440" w:top="266" w:right="439" w:bottom="1440" w:gutter="0" w:footer="0" w:header="0"/>
          <w:type w:val="continuous"/>
        </w:sect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a holder is tendering any Original Notes, this Letter of Transmittal must be signed by the registered holder(s) as the name(s) appear(s) on the certificate(s) for the Original Notes or on a DTC security position listing or by any person(s) authorized to become registered holder(s) by endorsements and documents transmitted herewith. If signature is by a trustee, executor, administrator, guardian, attorney-in-fact, officer or other person acting in a fiduciary or representative capacity, please set forth full title. See Instruction 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17145</wp:posOffset>
            </wp:positionV>
            <wp:extent cx="63607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(Please Type 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6995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(full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1334770</wp:posOffset>
            </wp:positionH>
            <wp:positionV relativeFrom="paragraph">
              <wp:posOffset>17145</wp:posOffset>
            </wp:positionV>
            <wp:extent cx="56578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17145</wp:posOffset>
            </wp:positionV>
            <wp:extent cx="63607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6360795" cy="8890"/>
                    </a:xfrm>
                    <a:prstGeom prst="rect">
                      <a:avLst/>
                    </a:prstGeom>
                    <a:noFill/>
                  </pic:spPr>
                </pic:pic>
              </a:graphicData>
            </a:graphic>
          </wp:anchor>
        </w:drawing>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(Including Zip Code)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Guaranteed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Eligible Institution:</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-97155</wp:posOffset>
            </wp:positionV>
            <wp:extent cx="53149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6995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6995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6" w:right="439" w:bottom="1440" w:gutter="0" w:footer="0" w:header="0"/>
          <w:type w:val="continuous"/>
        </w:sectPr>
      </w:pPr>
    </w:p>
    <w:bookmarkStart w:id="62" w:name="page63"/>
    <w:bookmarkEnd w:id="6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INSTRUCTIONS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FORMING PART OF THE TERMS AND CONDITIONS OF THE EXCHANGE OFFER</w:t>
      </w:r>
    </w:p>
    <w:p>
      <w:pPr>
        <w:spacing w:after="0" w:line="234" w:lineRule="exact"/>
        <w:rPr>
          <w:sz w:val="20"/>
          <w:szCs w:val="20"/>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Letter of Transmittal.</w:t>
      </w:r>
    </w:p>
    <w:p>
      <w:pPr>
        <w:spacing w:after="0" w:line="117" w:lineRule="exact"/>
        <w:rPr>
          <w:sz w:val="20"/>
          <w:szCs w:val="20"/>
          <w:color w:val="auto"/>
        </w:rPr>
      </w:pPr>
    </w:p>
    <w:p>
      <w:pPr>
        <w:ind w:left="4" w:right="160"/>
        <w:spacing w:after="0" w:line="274" w:lineRule="auto"/>
        <w:rPr>
          <w:sz w:val="20"/>
          <w:szCs w:val="20"/>
          <w:color w:val="auto"/>
        </w:rPr>
      </w:pPr>
      <w:r>
        <w:rPr>
          <w:rFonts w:ascii="Times New Roman" w:cs="Times New Roman" w:eastAsia="Times New Roman" w:hAnsi="Times New Roman"/>
          <w:sz w:val="17"/>
          <w:szCs w:val="17"/>
          <w:color w:val="auto"/>
        </w:rPr>
        <w:t>This Letter of Transmittal is to be completed by or received with respect to holders of Original Notes either if certificates are to be forwarded herewith or if tenders are to be made pursuant to the procedures for delivery by book-entry transfer set forth in “The Exchange Offer-Procedures for Tendering” section of the Prospectus and an agent’s message is not being transmitted. Certificates for all physically tendered Original Notes (or book-entry confirmation), as well as a properly completed and duly executed Letter of Transmittal (or facsimile thereof) and any other documents required by this Letter of Transmittal (or, in lieu thereof, an agent’s message), must be received by the Exchange Agent at the address set forth herein on or prior to the Expiration Date. Original Notes tendered hereby must be in denominations of $1,000 and any integral multiple of $1,000 in excess thereof.</w:t>
      </w:r>
    </w:p>
    <w:p>
      <w:pPr>
        <w:spacing w:after="0" w:line="173"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The method of delivery of this Letter of Transmittal, the Original Notes and all other required documents is at the election and risk of the tendering holders. Instead of delivery by mail, it is recommended that holders use an overnight or hand delivery service. In all cases, sufficient time should be allowed to assure delivery to the Exchange Agent before the Expiration Date. No Letter of Transmittal or Original Notes should be sent to the Company. Holders may request their respective brokers, dealers, commercial banks, trust companies or nominees to effect the tenders for such holders.</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“The Exchange Offer” section of the Prospectus.</w:t>
      </w:r>
    </w:p>
    <w:p>
      <w:pPr>
        <w:spacing w:after="0" w:line="374" w:lineRule="exact"/>
        <w:rPr>
          <w:sz w:val="20"/>
          <w:szCs w:val="20"/>
          <w:color w:val="auto"/>
        </w:rPr>
      </w:pPr>
    </w:p>
    <w:p>
      <w:pPr>
        <w:ind w:left="424" w:hanging="424"/>
        <w:spacing w:after="0"/>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Tenders (not applicable to holders of Original Notes who tender by book-entry transfer); Withdrawals.</w:t>
      </w:r>
    </w:p>
    <w:p>
      <w:pPr>
        <w:spacing w:after="0" w:line="117"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If less than all of the Original Notes evidenced by a submitted certificate are to be tendered, the tendering holder(s) should fill in the aggregate principal amount of Original Notes to be tendered in the box above entitled “Description of Original Notes Tendered”. A newly reissued certificate for the Original Notes submitted but not tendered will be sent to such holder as soon as practicable after the Expiration Date. All of the Original Notes delivered to the Exchange Agent will be deemed to have been tendered unless otherwise clearly indicated.</w:t>
      </w:r>
    </w:p>
    <w:p>
      <w:pPr>
        <w:spacing w:after="0" w:line="180"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If not yet accepted, a tender pursuant to the Exchange Offer may be withdrawn at any time prior to the Expiration Date. To be effective with respect to the tender of Original Notes, a written or facsimile transmission notice of withdrawal must: (i) be received by the Exchange Agent prior to the Expiration Date; (ii) specify the name of the person who deposited the Original Notes to be withdrawn; (iii) identify the Original Notes to be withdrawn (including the certificate number(s), if any, and principal amount of such Original Notes); (iv) be signed by the depositor in the same manner as the original signature on this Letter of Transmittal by which such Original Notes were tendered (including any required signature guarantees) or be accompanied by documents of transfer sufficient to have the trustee register the transfer of such Original Notes into the name of the person withdrawing the tender; and (v) specify the name in which any such Original Notes are to be registered, if different from that of the depositor. The Exchange Agent will return the properly withdrawn Original Notes promptly following receipt of notice of withdrawal. If Original Notes have been tendered pursuant to the procedure for book-entry transfer, any notice of withdrawal must specify the name and number of the account at DTC to be credited with the withdrawn Original Notes or otherwise comply with DTC’s procedures. All questions as to the validity of notices of withdrawal, including time of receipt, will be determined by the Company, and such determination will be final and binding on all parties.</w:t>
      </w:r>
    </w:p>
    <w:p>
      <w:pPr>
        <w:spacing w:after="0" w:line="340" w:lineRule="exact"/>
        <w:rPr>
          <w:sz w:val="20"/>
          <w:szCs w:val="20"/>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Signatures on this Letter of Transmittal, Bond Powers and Endorsements; Guarantee of Signatures.</w:t>
      </w:r>
    </w:p>
    <w:p>
      <w:pPr>
        <w:spacing w:after="0" w:line="117"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If this Letter of Transmittal is signed by the registered holder(s) of the Original Notes tendered hereby, the signature must correspond exactly with the name as written on the face of the certificates without alteration, enlargement or any change whatsoever.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66" w:right="459" w:bottom="1440" w:gutter="0" w:footer="0" w:header="0"/>
        </w:sectPr>
      </w:pPr>
    </w:p>
    <w:bookmarkStart w:id="63" w:name="page64"/>
    <w:bookmarkEnd w:id="6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any tendered Original Notes are owned of record by two or more joint owners, all such owners must sign this Letter of Transmittal.</w:t>
      </w:r>
    </w:p>
    <w:p>
      <w:pPr>
        <w:spacing w:after="0" w:line="225" w:lineRule="exact"/>
        <w:rPr>
          <w:sz w:val="20"/>
          <w:szCs w:val="20"/>
          <w:color w:val="auto"/>
        </w:rPr>
      </w:pPr>
    </w:p>
    <w:p>
      <w:pPr>
        <w:ind w:left="4" w:right="520"/>
        <w:spacing w:after="0" w:line="282" w:lineRule="auto"/>
        <w:rPr>
          <w:sz w:val="20"/>
          <w:szCs w:val="20"/>
          <w:color w:val="auto"/>
        </w:rPr>
      </w:pPr>
      <w:r>
        <w:rPr>
          <w:rFonts w:ascii="Times New Roman" w:cs="Times New Roman" w:eastAsia="Times New Roman" w:hAnsi="Times New Roman"/>
          <w:sz w:val="18"/>
          <w:szCs w:val="18"/>
          <w:color w:val="auto"/>
        </w:rPr>
        <w:t>If any tendered Original Notes are registered in different names on several certificates, it will be necessary to complete, sign and submit as many separate copies of this Letter of Transmittal as there are different registrations of certificates.</w:t>
      </w:r>
    </w:p>
    <w:p>
      <w:pPr>
        <w:spacing w:after="0" w:line="162"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When this Letter of Transmittal is signed by the registered holder(s) (which term, for the purposes described herein, shall include persons whose names appear on a DTC security position listing as the owner of the Original Notes) of the Original Notes specified herein and tendered hereby, no endorsements of certificates or separate bond powers are required. If, however, the Exchange Notes are to be issued to a person other than the registered holder(s), then endorsements of any certificates transmitted hereby or separate bond powers are required. Signatures on such certificates must be guaranteed by an Eligible Institution (as defined below).</w:t>
      </w:r>
    </w:p>
    <w:p>
      <w:pPr>
        <w:spacing w:after="0" w:line="183"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If this Letter of Transmittal is signed by a person other than the registered holder(s) of any Original Notes specified therein, such certificate(s) must be endorsed by such registered holder(s) or accompanied by separate written instruments of transfer or endorsed in blank by such registered holder(s) in form satisfactory to the Company and duly executed by the registered holder, in either case signed exactly as such registered holder’s or holders’ name(s) appear(s) on the Original Notes.</w:t>
      </w:r>
    </w:p>
    <w:p>
      <w:pPr>
        <w:spacing w:after="0" w:line="180"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If this Letter of Transmittal or any certificates of Original Notes or separate written instruments of transfer or exchange are signed or endorsed by trustees, executors, administrators, guardians, attorneys-in-fact, officers of corporations or others acting in a fiduciary or representative capacity, such persons should so indicate when signing and, unless waived by the Company, evidence satisfactory to the Company of their authority to so act must be submitted with this Letter of Transmittal.</w:t>
      </w:r>
    </w:p>
    <w:p>
      <w:pPr>
        <w:spacing w:after="0" w:line="180" w:lineRule="exact"/>
        <w:rPr>
          <w:sz w:val="20"/>
          <w:szCs w:val="20"/>
          <w:color w:val="auto"/>
        </w:rPr>
      </w:pPr>
    </w:p>
    <w:p>
      <w:pPr>
        <w:ind w:left="4" w:right="220"/>
        <w:spacing w:after="0" w:line="255" w:lineRule="auto"/>
        <w:rPr>
          <w:sz w:val="20"/>
          <w:szCs w:val="20"/>
          <w:color w:val="auto"/>
        </w:rPr>
      </w:pPr>
      <w:r>
        <w:rPr>
          <w:rFonts w:ascii="Times New Roman" w:cs="Times New Roman" w:eastAsia="Times New Roman" w:hAnsi="Times New Roman"/>
          <w:sz w:val="18"/>
          <w:szCs w:val="18"/>
          <w:color w:val="auto"/>
        </w:rPr>
        <w:t>Signatures on a Letter of Transmittal or a notice of withdrawal, as the case may be, must be guaranteed by an Eligible Institution unless the Original Notes tendered pursuant thereto are tendered (i) by a registered holder who has not completed the box entitled “Special Issuance Instructions” or “Special Delivery Instructions” on the Letter of Transmittal or (ii) for the account of an Eligible Institution. In the event that signatures on a Letter of Transmittal or a notice of withdrawal, as the case may be, are required to be guaranteed, such guarantee must be by a member firm of a registered national securities exchange or of the Financial Industry Regulatory Authority, Inc., a commercial bank or trust company having an office or correspondent in the United States or an “eligible guarantor institution” within the meaning of Rule 17Ad-15 under the Securities Exchange Act of 1934, as amended (an “Eligible Institution”).</w:t>
      </w:r>
    </w:p>
    <w:p>
      <w:pPr>
        <w:spacing w:after="0" w:line="337" w:lineRule="exact"/>
        <w:rPr>
          <w:sz w:val="20"/>
          <w:szCs w:val="20"/>
          <w:color w:val="auto"/>
        </w:rPr>
      </w:pPr>
    </w:p>
    <w:p>
      <w:pPr>
        <w:ind w:left="424" w:hanging="424"/>
        <w:spacing w:after="0"/>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Issuance and Delivery Instructions.</w:t>
      </w:r>
    </w:p>
    <w:p>
      <w:pPr>
        <w:spacing w:after="0" w:line="117"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Tendering Holders of Original Notes should indicate in the applicable box the name and address to which substitute certificates representing Original Notes for any Original Notes not exchanged are to be issued or sent or, in the case of a book-entry delivery of Original Notes, the appropriate DTC participant name and number, if different from the name or address or the DTC participant name and number, as the case may be, of the person signing this Letter of Transmittal. In the case of issuance in a different name, the employer identification or social security number of the person named also must be indicated. Holders tendering Original Notes by book-entry transfer may request that Original Notes not exchanged be credited to such account maintained at DTC as such note holder may designate hereon. If no such instructions are given, such Original Notes not exchanged will be returned to the name and address or the account maintained at DTC, as the case may be, of the person signing this Letter of Transmittal.</w:t>
      </w:r>
    </w:p>
    <w:p>
      <w:pPr>
        <w:spacing w:after="0" w:line="337" w:lineRule="exact"/>
        <w:rPr>
          <w:sz w:val="20"/>
          <w:szCs w:val="20"/>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 Identification Number and Backup Withholding.</w:t>
      </w:r>
    </w:p>
    <w:p>
      <w:pPr>
        <w:spacing w:after="0" w:line="117" w:lineRule="exact"/>
        <w:rPr>
          <w:sz w:val="20"/>
          <w:szCs w:val="20"/>
          <w:color w:val="auto"/>
        </w:rPr>
      </w:pPr>
    </w:p>
    <w:p>
      <w:pPr>
        <w:ind w:left="4" w:right="620"/>
        <w:spacing w:after="0" w:line="282" w:lineRule="auto"/>
        <w:rPr>
          <w:sz w:val="20"/>
          <w:szCs w:val="20"/>
          <w:color w:val="auto"/>
        </w:rPr>
      </w:pPr>
      <w:r>
        <w:rPr>
          <w:rFonts w:ascii="Times New Roman" w:cs="Times New Roman" w:eastAsia="Times New Roman" w:hAnsi="Times New Roman"/>
          <w:sz w:val="18"/>
          <w:szCs w:val="18"/>
          <w:color w:val="auto"/>
        </w:rPr>
        <w:t>An exchange of Original Notes for Exchange Notes will not be treated as a taxable exchange or other taxable event for U.S. Federal income tax purposes. In particular, no backup withholding or information reporting is</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4"/>
          </w:cols>
          <w:pgMar w:left="436" w:top="270" w:right="519" w:bottom="1440" w:gutter="0" w:footer="0" w:header="0"/>
        </w:sectPr>
      </w:pPr>
    </w:p>
    <w:bookmarkStart w:id="64" w:name="page65"/>
    <w:bookmarkEnd w:id="64"/>
    <w:p>
      <w:pPr>
        <w:ind w:left="4"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required in connection with such an exchange. However, U.S. Federal income tax law generally requires that payments of principal and interest on a note to a holder be subject to backup withholding unless such holder provides the payor with such holder’s correct Taxpayer Identification Number (“TIN”) on the Substitute Form W-9 below or otherwise establishes a basis for exemption. If such holder is an individual, the TIN is his or her social security number. If the payor is not provided with the correct TIN or an adequate basis for an exemption, such tendering holder may be subject to a $50 penalty imposed by the Internal Revenue Service (“IRS”). In addition, such holder may be subject to backup withholding in an amount that is currently 24% of all reportable payments of principal and interest.</w:t>
      </w:r>
    </w:p>
    <w:p>
      <w:pPr>
        <w:spacing w:after="0" w:line="187" w:lineRule="exact"/>
        <w:rPr>
          <w:sz w:val="20"/>
          <w:szCs w:val="20"/>
          <w:color w:val="auto"/>
        </w:rPr>
      </w:pPr>
    </w:p>
    <w:p>
      <w:pPr>
        <w:ind w:left="4" w:right="100"/>
        <w:spacing w:after="0" w:line="254" w:lineRule="auto"/>
        <w:rPr>
          <w:sz w:val="20"/>
          <w:szCs w:val="20"/>
          <w:color w:val="auto"/>
        </w:rPr>
      </w:pPr>
      <w:r>
        <w:rPr>
          <w:rFonts w:ascii="Times New Roman" w:cs="Times New Roman" w:eastAsia="Times New Roman" w:hAnsi="Times New Roman"/>
          <w:sz w:val="18"/>
          <w:szCs w:val="18"/>
          <w:color w:val="auto"/>
        </w:rPr>
        <w:t>Certain holders (including, among others, all corporations) are not subject to these backup withholdings and reporting requirements. Such holders that are U.S. persons should nevertheless complete the attached Substitute Form W-9 below, and check the box marked “Exempt Payees” in Part II, to avoid possible erroneous backup withholding. If the tendering holder of Original Notes is a nonresident alien or foreign entity not subject to the backup withholding, such holder must give the Company a complete Form W-8BEN Certificate of Foreign Status of Beneficial Owner for United States Tax Withholding, Form W-8BEN-E Certificate of Entities Status of Beneficial Owner for United States Tax Withholding, or other appropriate Form W-8. These forms may be obtained from the Exchange Agent or from the IRS’s website, www.irs.gov. See the enclosed Guidelines for Certification of Taxpayer Identification Number on Substitute Form W-9 (the “W-9 Guidelines”) and IRS Form W-9 instructions (which will be available upon request and on the IRS website at https://www.irs.gov/pub/irs-pdf/fw9.pdf) for additional instructions.</w:t>
      </w:r>
    </w:p>
    <w:p>
      <w:pPr>
        <w:spacing w:after="0" w:line="192"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To prevent backup withholding on reportable payments of principal and interest, each tendering holder of Original Notes must provide its correct TIN by completing the Substitute Form W-9 set forth below, certifying that the TIN provided is correct (or that such holder is awaiting a TIN) and that (a) (i) the holder is exempt from backup withholding, (ii) the holder has not been notified by the IRS that such holder is subject to backup withholding as a result of a failure to report all interest or dividends or (iii) the IRS has notified the holder that such holder is no longer subject to backup withholding; (b) the holder is a U.S. person; and (c) the FATCA codes entered (if any) are correct. If the Original Notes are in more than one name or are not in the name of the actual owner, such holder should consult the W-9 Guidelines for information on which TIN to report. If the Exchange Agent is provided with an incorrect TIN, or if a holder makes false statements resulting in no backup withholding, such holder may be subject to penalties imposed by the IRS.</w:t>
      </w:r>
    </w:p>
    <w:p>
      <w:pPr>
        <w:spacing w:after="0" w:line="189"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If the holder does not have a TIN, such holder should consult the enclosed Guidelines for Certification of Taxpayer Identification Number on Substitute Form W-9 for instructions on applying for a TIN, write “Applied For” in the space for the TIN in Part I of the Substitute Form W-9 and sign and date the Substitute Form W-9 and the Certificate of Awaiting Taxpayer Identification Number set forth herein. If such holder does not provide such holder’s TIN to the Exchange Agent within 60 days, backup withholding will begin and continue until such holder furnishes such holder’s TIN to the Exchange Agent. NOTE: WRITING “APPLIED FOR” ON THE FORM MEANS THAT THE HOLDER HAS ALREADY APPLIED FOR A TIN OR THAT SUCH HOLDER INTENDS TO APPLY FOR ONE IN THE NEAR FUTURE.</w:t>
      </w:r>
    </w:p>
    <w:p>
      <w:pPr>
        <w:spacing w:after="0" w:line="187"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If backup withholding applies, the payor will withhold the appropriate percentage (currently 24%) from payments to the payee. Backup withholding is not an additional Federal income tax. Rather, the Federal income tax liability of persons subject to backup withholding will be reduced by the amount of tax withheld. If withholding results in overpayment of taxes, a refund may be obtained from the IRS.</w:t>
      </w:r>
    </w:p>
    <w:p>
      <w:pPr>
        <w:spacing w:after="0" w:line="324" w:lineRule="exact"/>
        <w:rPr>
          <w:sz w:val="20"/>
          <w:szCs w:val="20"/>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Taxes.</w:t>
      </w:r>
    </w:p>
    <w:p>
      <w:pPr>
        <w:spacing w:after="0" w:line="117" w:lineRule="exact"/>
        <w:rPr>
          <w:sz w:val="20"/>
          <w:szCs w:val="20"/>
          <w:color w:val="auto"/>
        </w:rPr>
      </w:pPr>
    </w:p>
    <w:p>
      <w:pPr>
        <w:ind w:left="4" w:right="240"/>
        <w:spacing w:after="0" w:line="266" w:lineRule="auto"/>
        <w:rPr>
          <w:sz w:val="20"/>
          <w:szCs w:val="20"/>
          <w:color w:val="auto"/>
        </w:rPr>
      </w:pPr>
      <w:r>
        <w:rPr>
          <w:rFonts w:ascii="Times New Roman" w:cs="Times New Roman" w:eastAsia="Times New Roman" w:hAnsi="Times New Roman"/>
          <w:sz w:val="18"/>
          <w:szCs w:val="18"/>
          <w:color w:val="auto"/>
        </w:rPr>
        <w:t>Holders who tender their Original Notes for exchange will not be obligated to pay any transfer taxes in connection therewith. If, however, Exchange Notes are to be delivered to, or are to be issued in the name of, any person other than the registered holder of the Original Notes tendered hereby, or if tendered Original Notes are registered in the name of any person other than the person signing this Letter of Transmittal, or if a transfer tax is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70" w:right="439" w:bottom="1440" w:gutter="0" w:footer="0" w:header="0"/>
        </w:sectPr>
      </w:pPr>
    </w:p>
    <w:bookmarkStart w:id="65" w:name="page66"/>
    <w:bookmarkEnd w:id="65"/>
    <w:p>
      <w:pPr>
        <w:ind w:left="4" w:right="3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imposed for any reason other than the exchange of Original Notes in connection with the Exchange Offer, the amount of any such transfer taxes (whether imposed on the registered holder or any other persons) will be payable by the tendering holder. If satisfactory evidence of payment of such taxes or exemption therefrom is not submitted herewith, the amount of such transfer taxes will be billed directly to such tendering holder.</w:t>
      </w:r>
    </w:p>
    <w:p>
      <w:pPr>
        <w:spacing w:after="0" w:line="176" w:lineRule="exact"/>
        <w:rPr>
          <w:sz w:val="20"/>
          <w:szCs w:val="20"/>
          <w:color w:val="auto"/>
        </w:rPr>
      </w:pPr>
    </w:p>
    <w:p>
      <w:pPr>
        <w:ind w:left="4" w:right="400"/>
        <w:spacing w:after="0" w:line="282" w:lineRule="auto"/>
        <w:rPr>
          <w:sz w:val="20"/>
          <w:szCs w:val="20"/>
          <w:color w:val="auto"/>
        </w:rPr>
      </w:pPr>
      <w:r>
        <w:rPr>
          <w:rFonts w:ascii="Times New Roman" w:cs="Times New Roman" w:eastAsia="Times New Roman" w:hAnsi="Times New Roman"/>
          <w:sz w:val="18"/>
          <w:szCs w:val="18"/>
          <w:color w:val="auto"/>
        </w:rPr>
        <w:t>Except as provided in this Instruction 6, it will not be necessary for transfer tax stamps to be affixed to the Original Notes specified in this Letter of Transmittal.</w:t>
      </w:r>
    </w:p>
    <w:p>
      <w:pPr>
        <w:spacing w:after="0" w:line="310" w:lineRule="exact"/>
        <w:rPr>
          <w:sz w:val="20"/>
          <w:szCs w:val="20"/>
          <w:color w:val="auto"/>
        </w:rPr>
      </w:pPr>
    </w:p>
    <w:p>
      <w:pPr>
        <w:ind w:left="424" w:hanging="424"/>
        <w:spacing w:after="0"/>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of Conditions.</w:t>
      </w:r>
    </w:p>
    <w:p>
      <w:pPr>
        <w:spacing w:after="0" w:line="117"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Company reserves the right to waive satisfaction of any or all conditions enumerated in the Prospectus at any time and from time to time prior to the Expiration Date.</w:t>
      </w:r>
    </w:p>
    <w:p>
      <w:pPr>
        <w:spacing w:after="0" w:line="310" w:lineRule="exact"/>
        <w:rPr>
          <w:sz w:val="20"/>
          <w:szCs w:val="20"/>
          <w:color w:val="auto"/>
        </w:rPr>
      </w:pPr>
    </w:p>
    <w:p>
      <w:pPr>
        <w:ind w:left="424" w:hanging="424"/>
        <w:spacing w:after="0"/>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Conditional Tenders.</w:t>
      </w:r>
    </w:p>
    <w:p>
      <w:pPr>
        <w:spacing w:after="0" w:line="117"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No alternative, conditional, irregular or contingent tenders will be accepted. All tendering holders of Original Notes, by execution of this Letter of Transmittal or, in lieu thereof, by transmission of an agent’s message, shall waive any right to receive notice of the acceptance of their Original Notes for exchange.</w:t>
      </w:r>
    </w:p>
    <w:p>
      <w:pPr>
        <w:spacing w:after="0" w:line="176" w:lineRule="exact"/>
        <w:rPr>
          <w:sz w:val="20"/>
          <w:szCs w:val="20"/>
          <w:color w:val="auto"/>
        </w:rPr>
      </w:pPr>
    </w:p>
    <w:p>
      <w:pPr>
        <w:ind w:left="4" w:right="400"/>
        <w:spacing w:after="0" w:line="282" w:lineRule="auto"/>
        <w:rPr>
          <w:sz w:val="20"/>
          <w:szCs w:val="20"/>
          <w:color w:val="auto"/>
        </w:rPr>
      </w:pPr>
      <w:r>
        <w:rPr>
          <w:rFonts w:ascii="Times New Roman" w:cs="Times New Roman" w:eastAsia="Times New Roman" w:hAnsi="Times New Roman"/>
          <w:sz w:val="18"/>
          <w:szCs w:val="18"/>
          <w:color w:val="auto"/>
        </w:rPr>
        <w:t>None of the Company, the Exchange Agent or any other person is obligated to give notice of any defect or irregularity with respect to any tender of Original Notes nor shall any of them incur any liability for failure to give any such notice.</w:t>
      </w:r>
    </w:p>
    <w:p>
      <w:pPr>
        <w:spacing w:after="0" w:line="310" w:lineRule="exact"/>
        <w:rPr>
          <w:sz w:val="20"/>
          <w:szCs w:val="20"/>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Mutilated, Lost, Stolen or Destroyed Original Notes.</w:t>
      </w:r>
    </w:p>
    <w:p>
      <w:pPr>
        <w:spacing w:after="0" w:line="117"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Any holder whose Original Notes have been mutilated, lost, stolen or destroyed should contact the Exchange Agent at the address indicated above for further instructions.</w:t>
      </w:r>
    </w:p>
    <w:p>
      <w:pPr>
        <w:spacing w:after="0" w:line="310" w:lineRule="exact"/>
        <w:rPr>
          <w:sz w:val="20"/>
          <w:szCs w:val="20"/>
          <w:color w:val="auto"/>
        </w:rPr>
      </w:pPr>
    </w:p>
    <w:p>
      <w:pPr>
        <w:ind w:left="424" w:hanging="424"/>
        <w:spacing w:after="0"/>
        <w:tabs>
          <w:tab w:leader="none" w:pos="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Requests for Assistance or Additional Copies.</w:t>
      </w:r>
    </w:p>
    <w:p>
      <w:pPr>
        <w:spacing w:after="0" w:line="117" w:lineRule="exact"/>
        <w:rPr>
          <w:sz w:val="20"/>
          <w:szCs w:val="20"/>
          <w:color w:val="auto"/>
        </w:rPr>
      </w:pPr>
    </w:p>
    <w:p>
      <w:pPr>
        <w:ind w:left="4" w:right="500"/>
        <w:spacing w:after="0" w:line="282" w:lineRule="auto"/>
        <w:rPr>
          <w:sz w:val="20"/>
          <w:szCs w:val="20"/>
          <w:color w:val="auto"/>
        </w:rPr>
      </w:pPr>
      <w:r>
        <w:rPr>
          <w:rFonts w:ascii="Times New Roman" w:cs="Times New Roman" w:eastAsia="Times New Roman" w:hAnsi="Times New Roman"/>
          <w:sz w:val="18"/>
          <w:szCs w:val="18"/>
          <w:color w:val="auto"/>
        </w:rPr>
        <w:t>Questions relating to the procedure for tendering, as well as requests for additional copies of the Prospectus and this Letter of Transmittal, may be directed to the Exchange Agent, at the address and telephone number indicated above.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66" w:name="page67"/>
    <w:bookmarkEnd w:id="66"/>
    <w:tbl>
      <w:tblPr>
        <w:tblLayout w:type="fixed"/>
        <w:tblInd w:w="4" w:type="dxa"/>
        <w:tblCellMar>
          <w:top w:w="0" w:type="dxa"/>
          <w:left w:w="0" w:type="dxa"/>
          <w:bottom w:w="0" w:type="dxa"/>
          <w:right w:w="0" w:type="dxa"/>
        </w:tblCellMar>
      </w:tblPr>
      <w:tr>
        <w:trPr>
          <w:trHeight w:val="255"/>
        </w:trPr>
        <w:tc>
          <w:tcPr>
            <w:tcW w:w="1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SUBSTITUTE</w:t>
            </w: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7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w w:val="96"/>
              </w:rPr>
              <w:t>Form W-9</w:t>
            </w:r>
          </w:p>
        </w:tc>
        <w:tc>
          <w:tcPr>
            <w:tcW w:w="106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900" w:type="dxa"/>
            <w:vAlign w:val="bottom"/>
            <w:vMerge w:val="restart"/>
          </w:tcPr>
          <w:p>
            <w:pPr>
              <w:jc w:val="center"/>
              <w:ind w:right="357"/>
              <w:spacing w:after="0"/>
              <w:rPr>
                <w:sz w:val="20"/>
                <w:szCs w:val="20"/>
                <w:color w:val="auto"/>
              </w:rPr>
            </w:pPr>
            <w:r>
              <w:rPr>
                <w:rFonts w:ascii="Times New Roman" w:cs="Times New Roman" w:eastAsia="Times New Roman" w:hAnsi="Times New Roman"/>
                <w:sz w:val="25"/>
                <w:szCs w:val="25"/>
                <w:b w:val="1"/>
                <w:bCs w:val="1"/>
                <w:color w:val="auto"/>
                <w:w w:val="99"/>
              </w:rPr>
              <w:t>Request for Taxpayer</w:t>
            </w: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218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Give form to the</w:t>
            </w: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90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1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60" w:type="dxa"/>
            <w:vAlign w:val="bottom"/>
            <w:gridSpan w:val="5"/>
          </w:tcPr>
          <w:p>
            <w:pPr>
              <w:jc w:val="center"/>
              <w:ind w:right="620"/>
              <w:spacing w:after="0" w:line="21" w:lineRule="exact"/>
              <w:rPr>
                <w:sz w:val="20"/>
                <w:szCs w:val="20"/>
                <w:color w:val="auto"/>
              </w:rPr>
            </w:pPr>
            <w:r>
              <w:rPr>
                <w:rFonts w:ascii="Times New Roman" w:cs="Times New Roman" w:eastAsia="Times New Roman" w:hAnsi="Times New Roman"/>
                <w:sz w:val="2"/>
                <w:szCs w:val="2"/>
                <w:b w:val="1"/>
                <w:bCs w:val="1"/>
                <w:color w:val="auto"/>
              </w:rPr>
              <w:t>Identification Number and Certification</w:t>
            </w:r>
          </w:p>
        </w:tc>
        <w:tc>
          <w:tcPr>
            <w:tcW w:w="360" w:type="dxa"/>
            <w:vAlign w:val="bottom"/>
            <w:tcBorders>
              <w:right w:val="single" w:sz="8" w:color="auto"/>
            </w:tcBorders>
          </w:tcPr>
          <w:p>
            <w:pPr>
              <w:spacing w:after="0" w:line="20" w:lineRule="exact"/>
              <w:rPr>
                <w:sz w:val="1"/>
                <w:szCs w:val="1"/>
                <w:color w:val="auto"/>
              </w:rPr>
            </w:pPr>
          </w:p>
        </w:tc>
        <w:tc>
          <w:tcPr>
            <w:tcW w:w="2180" w:type="dxa"/>
            <w:vAlign w:val="bottom"/>
            <w:gridSpan w:val="4"/>
          </w:tcPr>
          <w:p>
            <w:pPr>
              <w:ind w:left="180"/>
              <w:spacing w:after="0" w:line="21" w:lineRule="exact"/>
              <w:rPr>
                <w:sz w:val="20"/>
                <w:szCs w:val="20"/>
                <w:color w:val="auto"/>
              </w:rPr>
            </w:pPr>
            <w:r>
              <w:rPr>
                <w:rFonts w:ascii="Times New Roman" w:cs="Times New Roman" w:eastAsia="Times New Roman" w:hAnsi="Times New Roman"/>
                <w:sz w:val="2"/>
                <w:szCs w:val="2"/>
                <w:b w:val="1"/>
                <w:bCs w:val="1"/>
                <w:color w:val="auto"/>
              </w:rPr>
              <w:t>send to the IRS.</w:t>
            </w:r>
          </w:p>
        </w:tc>
        <w:tc>
          <w:tcPr>
            <w:tcW w:w="0" w:type="dxa"/>
            <w:vAlign w:val="bottom"/>
          </w:tcPr>
          <w:p>
            <w:pPr>
              <w:spacing w:after="0" w:line="20" w:lineRule="exact"/>
              <w:rPr>
                <w:sz w:val="1"/>
                <w:szCs w:val="1"/>
                <w:color w:val="auto"/>
              </w:rPr>
            </w:pPr>
          </w:p>
        </w:tc>
      </w:tr>
      <w:tr>
        <w:trPr>
          <w:trHeight w:val="190"/>
        </w:trPr>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21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requester. Do not</w:t>
            </w:r>
          </w:p>
        </w:tc>
        <w:tc>
          <w:tcPr>
            <w:tcW w:w="0" w:type="dxa"/>
            <w:vAlign w:val="bottom"/>
          </w:tcPr>
          <w:p>
            <w:pPr>
              <w:spacing w:after="0"/>
              <w:rPr>
                <w:sz w:val="1"/>
                <w:szCs w:val="1"/>
                <w:color w:val="auto"/>
              </w:rPr>
            </w:pPr>
          </w:p>
        </w:tc>
      </w:tr>
      <w:tr>
        <w:trPr>
          <w:trHeight w:val="113"/>
        </w:trPr>
        <w:tc>
          <w:tcPr>
            <w:tcW w:w="6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tcBorders>
            <w:gridSpan w:val="3"/>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38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Name (as shown on your income tax return)</w:t>
            </w:r>
          </w:p>
        </w:tc>
        <w:tc>
          <w:tcPr>
            <w:tcW w:w="2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6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4"/>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8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Business name/disregarded entity name, if different from above</w:t>
            </w:r>
          </w:p>
        </w:tc>
        <w:tc>
          <w:tcPr>
            <w:tcW w:w="2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6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7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Print or</w:t>
            </w: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vMerge w:val="restart"/>
          </w:tcPr>
          <w:p>
            <w:pPr>
              <w:ind w:left="280"/>
              <w:spacing w:after="0" w:line="251" w:lineRule="exact"/>
              <w:rPr>
                <w:sz w:val="20"/>
                <w:szCs w:val="20"/>
                <w:color w:val="auto"/>
              </w:rPr>
            </w:pPr>
            <w:r>
              <w:rPr>
                <w:rFonts w:ascii="MS PGothic" w:cs="MS PGothic" w:eastAsia="MS PGothic" w:hAnsi="MS PGothic"/>
                <w:sz w:val="25"/>
                <w:szCs w:val="25"/>
                <w:color w:val="auto"/>
              </w:rPr>
              <w:t>☐</w:t>
            </w:r>
          </w:p>
        </w:tc>
        <w:tc>
          <w:tcPr>
            <w:tcW w:w="1280" w:type="dxa"/>
            <w:vAlign w:val="bottom"/>
          </w:tcPr>
          <w:p>
            <w:pPr>
              <w:ind w:left="140"/>
              <w:spacing w:after="0" w:line="124" w:lineRule="exact"/>
              <w:rPr>
                <w:sz w:val="20"/>
                <w:szCs w:val="20"/>
                <w:color w:val="auto"/>
              </w:rPr>
            </w:pPr>
            <w:r>
              <w:rPr>
                <w:rFonts w:ascii="Times New Roman" w:cs="Times New Roman" w:eastAsia="Times New Roman" w:hAnsi="Times New Roman"/>
                <w:sz w:val="13"/>
                <w:szCs w:val="13"/>
                <w:color w:val="auto"/>
              </w:rPr>
              <w:t>Individual/</w:t>
            </w:r>
          </w:p>
        </w:tc>
        <w:tc>
          <w:tcPr>
            <w:tcW w:w="2900" w:type="dxa"/>
            <w:vAlign w:val="bottom"/>
            <w:vMerge w:val="restart"/>
          </w:tcPr>
          <w:p>
            <w:pPr>
              <w:ind w:left="200"/>
              <w:spacing w:after="0" w:line="288" w:lineRule="exact"/>
              <w:rPr>
                <w:sz w:val="20"/>
                <w:szCs w:val="20"/>
                <w:color w:val="auto"/>
              </w:rPr>
            </w:pPr>
            <w:r>
              <w:rPr>
                <w:rFonts w:ascii="MS PGothic" w:cs="MS PGothic" w:eastAsia="MS PGothic" w:hAnsi="MS PGothic"/>
                <w:sz w:val="25"/>
                <w:szCs w:val="25"/>
                <w:color w:val="auto"/>
              </w:rPr>
              <w:t>☐</w:t>
            </w:r>
            <w:r>
              <w:rPr>
                <w:rFonts w:ascii="Times New Roman" w:cs="Times New Roman" w:eastAsia="Times New Roman" w:hAnsi="Times New Roman"/>
                <w:sz w:val="13"/>
                <w:szCs w:val="13"/>
                <w:color w:val="auto"/>
              </w:rPr>
              <w:t>Corporation</w:t>
            </w:r>
            <w:r>
              <w:rPr>
                <w:rFonts w:ascii="MS PGothic" w:cs="MS PGothic" w:eastAsia="MS PGothic" w:hAnsi="MS PGothic"/>
                <w:sz w:val="25"/>
                <w:szCs w:val="25"/>
                <w:color w:val="auto"/>
              </w:rPr>
              <w:t xml:space="preserve">☐  </w:t>
            </w:r>
            <w:r>
              <w:rPr>
                <w:rFonts w:ascii="Times New Roman" w:cs="Times New Roman" w:eastAsia="Times New Roman" w:hAnsi="Times New Roman"/>
                <w:sz w:val="12"/>
                <w:szCs w:val="12"/>
                <w:color w:val="auto"/>
              </w:rPr>
              <w:t>S Corporation</w:t>
            </w:r>
          </w:p>
        </w:tc>
        <w:tc>
          <w:tcPr>
            <w:tcW w:w="1480" w:type="dxa"/>
            <w:vAlign w:val="bottom"/>
            <w:gridSpan w:val="3"/>
            <w:vMerge w:val="restart"/>
          </w:tcPr>
          <w:p>
            <w:pPr>
              <w:ind w:left="140"/>
              <w:spacing w:after="0" w:line="288" w:lineRule="exact"/>
              <w:rPr>
                <w:sz w:val="20"/>
                <w:szCs w:val="20"/>
                <w:color w:val="auto"/>
              </w:rPr>
            </w:pPr>
            <w:r>
              <w:rPr>
                <w:rFonts w:ascii="MS PGothic" w:cs="MS PGothic" w:eastAsia="MS PGothic" w:hAnsi="MS PGothic"/>
                <w:sz w:val="25"/>
                <w:szCs w:val="25"/>
                <w:color w:val="auto"/>
              </w:rPr>
              <w:t>☐</w:t>
            </w:r>
            <w:r>
              <w:rPr>
                <w:rFonts w:ascii="Times New Roman" w:cs="Times New Roman" w:eastAsia="Times New Roman" w:hAnsi="Times New Roman"/>
                <w:sz w:val="13"/>
                <w:szCs w:val="13"/>
                <w:color w:val="auto"/>
              </w:rPr>
              <w:t xml:space="preserve"> Partnership  </w:t>
            </w:r>
            <w:r>
              <w:rPr>
                <w:rFonts w:ascii="MS PGothic" w:cs="MS PGothic" w:eastAsia="MS PGothic" w:hAnsi="MS PGothic"/>
                <w:sz w:val="25"/>
                <w:szCs w:val="25"/>
                <w:color w:val="auto"/>
              </w:rPr>
              <w:t>☐</w:t>
            </w:r>
          </w:p>
        </w:tc>
        <w:tc>
          <w:tcPr>
            <w:tcW w:w="36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gridSpan w:val="2"/>
          </w:tcPr>
          <w:p>
            <w:pPr>
              <w:spacing w:after="0" w:line="124" w:lineRule="exact"/>
              <w:rPr>
                <w:sz w:val="20"/>
                <w:szCs w:val="20"/>
                <w:color w:val="auto"/>
              </w:rPr>
            </w:pPr>
            <w:r>
              <w:rPr>
                <w:rFonts w:ascii="Times New Roman" w:cs="Times New Roman" w:eastAsia="Times New Roman" w:hAnsi="Times New Roman"/>
                <w:sz w:val="13"/>
                <w:szCs w:val="13"/>
                <w:color w:val="auto"/>
              </w:rPr>
              <w:t>Exemptions (codes apply</w:t>
            </w:r>
          </w:p>
        </w:tc>
        <w:tc>
          <w:tcPr>
            <w:tcW w:w="0" w:type="dxa"/>
            <w:vAlign w:val="bottom"/>
          </w:tcPr>
          <w:p>
            <w:pPr>
              <w:spacing w:after="0"/>
              <w:rPr>
                <w:sz w:val="1"/>
                <w:szCs w:val="1"/>
                <w:color w:val="auto"/>
              </w:rPr>
            </w:pPr>
          </w:p>
        </w:tc>
      </w:tr>
      <w:tr>
        <w:trPr>
          <w:trHeight w:val="129"/>
        </w:trPr>
        <w:tc>
          <w:tcPr>
            <w:tcW w:w="72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28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auto"/>
              </w:rPr>
              <w:t>Sole Proprietor or</w:t>
            </w:r>
          </w:p>
        </w:tc>
        <w:tc>
          <w:tcPr>
            <w:tcW w:w="2900" w:type="dxa"/>
            <w:vAlign w:val="bottom"/>
            <w:vMerge w:val="continue"/>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only to certain entities, not</w:t>
            </w:r>
          </w:p>
        </w:tc>
        <w:tc>
          <w:tcPr>
            <w:tcW w:w="0" w:type="dxa"/>
            <w:vAlign w:val="bottom"/>
          </w:tcPr>
          <w:p>
            <w:pPr>
              <w:spacing w:after="0"/>
              <w:rPr>
                <w:sz w:val="1"/>
                <w:szCs w:val="1"/>
                <w:color w:val="auto"/>
              </w:rPr>
            </w:pPr>
          </w:p>
        </w:tc>
      </w:tr>
      <w:tr>
        <w:trPr>
          <w:trHeight w:val="187"/>
        </w:trPr>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Check appropriate box:</w:t>
            </w:r>
          </w:p>
        </w:tc>
        <w:tc>
          <w:tcPr>
            <w:tcW w:w="620" w:type="dxa"/>
            <w:vAlign w:val="bottom"/>
            <w:vMerge w:val="continue"/>
          </w:tcPr>
          <w:p>
            <w:pPr>
              <w:spacing w:after="0"/>
              <w:rPr>
                <w:sz w:val="16"/>
                <w:szCs w:val="16"/>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Single-Member LLC</w:t>
            </w:r>
          </w:p>
        </w:tc>
        <w:tc>
          <w:tcPr>
            <w:tcW w:w="2900" w:type="dxa"/>
            <w:vAlign w:val="bottom"/>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9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Trust/estate</w:t>
            </w:r>
          </w:p>
        </w:tc>
        <w:tc>
          <w:tcPr>
            <w:tcW w:w="60" w:type="dxa"/>
            <w:vAlign w:val="bottom"/>
          </w:tcPr>
          <w:p>
            <w:pPr>
              <w:spacing w:after="0"/>
              <w:rPr>
                <w:sz w:val="16"/>
                <w:szCs w:val="16"/>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individuals):</w:t>
            </w:r>
          </w:p>
        </w:tc>
        <w:tc>
          <w:tcPr>
            <w:tcW w:w="0" w:type="dxa"/>
            <w:vAlign w:val="bottom"/>
          </w:tcPr>
          <w:p>
            <w:pPr>
              <w:spacing w:after="0"/>
              <w:rPr>
                <w:sz w:val="1"/>
                <w:szCs w:val="1"/>
                <w:color w:val="auto"/>
              </w:rPr>
            </w:pPr>
          </w:p>
        </w:tc>
      </w:tr>
      <w:tr>
        <w:trPr>
          <w:trHeight w:val="148"/>
        </w:trPr>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98"/>
              </w:rPr>
              <w:t>See</w:t>
            </w:r>
          </w:p>
        </w:tc>
        <w:tc>
          <w:tcPr>
            <w:tcW w:w="6280" w:type="dxa"/>
            <w:vAlign w:val="bottom"/>
            <w:gridSpan w:val="5"/>
            <w:vMerge w:val="restart"/>
          </w:tcPr>
          <w:p>
            <w:pPr>
              <w:ind w:left="40"/>
              <w:spacing w:after="0" w:line="288" w:lineRule="exact"/>
              <w:rPr>
                <w:sz w:val="20"/>
                <w:szCs w:val="20"/>
                <w:color w:val="auto"/>
              </w:rPr>
            </w:pPr>
            <w:r>
              <w:rPr>
                <w:rFonts w:ascii="MS PGothic" w:cs="MS PGothic" w:eastAsia="MS PGothic" w:hAnsi="MS PGothic"/>
                <w:sz w:val="25"/>
                <w:szCs w:val="25"/>
                <w:color w:val="auto"/>
              </w:rPr>
              <w:t>☐</w:t>
            </w:r>
            <w:r>
              <w:rPr>
                <w:rFonts w:ascii="Times New Roman" w:cs="Times New Roman" w:eastAsia="Times New Roman" w:hAnsi="Times New Roman"/>
                <w:sz w:val="13"/>
                <w:szCs w:val="13"/>
                <w:color w:val="auto"/>
              </w:rPr>
              <w:t xml:space="preserve"> Limited liability company. Enter the tax classification (C=C Corporation, S=S Corporation, P=Partnership)</w:t>
            </w: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Exempt payee code (if any)</w:t>
            </w:r>
          </w:p>
        </w:tc>
        <w:tc>
          <w:tcPr>
            <w:tcW w:w="0" w:type="dxa"/>
            <w:vAlign w:val="bottom"/>
          </w:tcPr>
          <w:p>
            <w:pPr>
              <w:spacing w:after="0"/>
              <w:rPr>
                <w:sz w:val="1"/>
                <w:szCs w:val="1"/>
                <w:color w:val="auto"/>
              </w:rPr>
            </w:pPr>
          </w:p>
        </w:tc>
      </w:tr>
      <w:tr>
        <w:trPr>
          <w:trHeight w:val="112"/>
        </w:trPr>
        <w:tc>
          <w:tcPr>
            <w:tcW w:w="720" w:type="dxa"/>
            <w:vAlign w:val="bottom"/>
            <w:gridSpan w:val="2"/>
          </w:tcPr>
          <w:p>
            <w:pPr>
              <w:jc w:val="center"/>
              <w:ind w:right="40"/>
              <w:spacing w:after="0" w:line="113" w:lineRule="exact"/>
              <w:rPr>
                <w:sz w:val="20"/>
                <w:szCs w:val="20"/>
                <w:color w:val="auto"/>
              </w:rPr>
            </w:pPr>
            <w:r>
              <w:rPr>
                <w:rFonts w:ascii="Times New Roman" w:cs="Times New Roman" w:eastAsia="Times New Roman" w:hAnsi="Times New Roman"/>
                <w:sz w:val="13"/>
                <w:szCs w:val="13"/>
                <w:color w:val="auto"/>
              </w:rPr>
              <w:t>Instructions</w:t>
            </w:r>
          </w:p>
        </w:tc>
        <w:tc>
          <w:tcPr>
            <w:tcW w:w="6280" w:type="dxa"/>
            <w:vAlign w:val="bottom"/>
            <w:gridSpan w:val="5"/>
            <w:vMerge w:val="continue"/>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72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4"/>
                <w:szCs w:val="14"/>
                <w:color w:val="auto"/>
              </w:rPr>
              <w:t>below and</w:t>
            </w:r>
          </w:p>
        </w:tc>
        <w:tc>
          <w:tcPr>
            <w:tcW w:w="6280" w:type="dxa"/>
            <w:vAlign w:val="bottom"/>
            <w:gridSpan w:val="5"/>
            <w:vMerge w:val="continue"/>
          </w:tcPr>
          <w:p>
            <w:pPr>
              <w:spacing w:after="0"/>
              <w:rPr>
                <w:sz w:val="11"/>
                <w:szCs w:val="11"/>
                <w:color w:val="auto"/>
              </w:rPr>
            </w:pPr>
          </w:p>
        </w:tc>
        <w:tc>
          <w:tcPr>
            <w:tcW w:w="66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auto"/>
              </w:rPr>
              <w:t>u</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720" w:type="dxa"/>
            <w:vAlign w:val="bottom"/>
            <w:gridSpan w:val="2"/>
            <w:vMerge w:val="restart"/>
          </w:tcPr>
          <w:p>
            <w:pPr>
              <w:jc w:val="center"/>
              <w:ind w:right="40"/>
              <w:spacing w:after="0" w:line="158" w:lineRule="exact"/>
              <w:rPr>
                <w:sz w:val="20"/>
                <w:szCs w:val="20"/>
                <w:color w:val="auto"/>
              </w:rPr>
            </w:pPr>
            <w:r>
              <w:rPr>
                <w:rFonts w:ascii="Times New Roman" w:cs="Times New Roman" w:eastAsia="Times New Roman" w:hAnsi="Times New Roman"/>
                <w:sz w:val="14"/>
                <w:szCs w:val="14"/>
                <w:color w:val="auto"/>
              </w:rPr>
              <w:t>IRS Form</w:t>
            </w:r>
          </w:p>
        </w:tc>
        <w:tc>
          <w:tcPr>
            <w:tcW w:w="3380" w:type="dxa"/>
            <w:vAlign w:val="bottom"/>
            <w:gridSpan w:val="4"/>
            <w:vMerge w:val="restart"/>
          </w:tcPr>
          <w:p>
            <w:pPr>
              <w:ind w:left="40"/>
              <w:spacing w:after="0" w:line="288" w:lineRule="exact"/>
              <w:rPr>
                <w:sz w:val="20"/>
                <w:szCs w:val="20"/>
                <w:color w:val="auto"/>
              </w:rPr>
            </w:pPr>
            <w:r>
              <w:rPr>
                <w:rFonts w:ascii="MS PGothic" w:cs="MS PGothic" w:eastAsia="MS PGothic" w:hAnsi="MS PGothic"/>
                <w:sz w:val="25"/>
                <w:szCs w:val="25"/>
                <w:color w:val="auto"/>
              </w:rPr>
              <w:t>☐</w:t>
            </w:r>
            <w:r>
              <w:rPr>
                <w:rFonts w:ascii="Times New Roman" w:cs="Times New Roman" w:eastAsia="Times New Roman" w:hAnsi="Times New Roman"/>
                <w:sz w:val="13"/>
                <w:szCs w:val="13"/>
                <w:color w:val="auto"/>
              </w:rPr>
              <w:t xml:space="preserve"> Other (see IRS Form W-9 instructions) u</w:t>
            </w:r>
          </w:p>
        </w:tc>
        <w:tc>
          <w:tcPr>
            <w:tcW w:w="29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Exemption from FATCA</w:t>
            </w:r>
          </w:p>
        </w:tc>
        <w:tc>
          <w:tcPr>
            <w:tcW w:w="0" w:type="dxa"/>
            <w:vAlign w:val="bottom"/>
          </w:tcPr>
          <w:p>
            <w:pPr>
              <w:spacing w:after="0"/>
              <w:rPr>
                <w:sz w:val="1"/>
                <w:szCs w:val="1"/>
                <w:color w:val="auto"/>
              </w:rPr>
            </w:pPr>
          </w:p>
        </w:tc>
      </w:tr>
      <w:tr>
        <w:trPr>
          <w:trHeight w:val="34"/>
        </w:trPr>
        <w:tc>
          <w:tcPr>
            <w:tcW w:w="720" w:type="dxa"/>
            <w:vAlign w:val="bottom"/>
            <w:gridSpan w:val="2"/>
            <w:vMerge w:val="continue"/>
          </w:tcPr>
          <w:p>
            <w:pPr>
              <w:spacing w:after="0"/>
              <w:rPr>
                <w:sz w:val="2"/>
                <w:szCs w:val="2"/>
                <w:color w:val="auto"/>
              </w:rPr>
            </w:pPr>
          </w:p>
        </w:tc>
        <w:tc>
          <w:tcPr>
            <w:tcW w:w="3380" w:type="dxa"/>
            <w:vAlign w:val="bottom"/>
            <w:gridSpan w:val="4"/>
            <w:vMerge w:val="continue"/>
          </w:tcPr>
          <w:p>
            <w:pPr>
              <w:spacing w:after="0"/>
              <w:rPr>
                <w:sz w:val="2"/>
                <w:szCs w:val="2"/>
                <w:color w:val="auto"/>
              </w:rPr>
            </w:pPr>
          </w:p>
        </w:tc>
        <w:tc>
          <w:tcPr>
            <w:tcW w:w="29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720" w:type="dxa"/>
            <w:vAlign w:val="bottom"/>
            <w:gridSpan w:val="2"/>
          </w:tcPr>
          <w:p>
            <w:pPr>
              <w:jc w:val="center"/>
              <w:ind w:right="40"/>
              <w:spacing w:after="0" w:line="139" w:lineRule="exact"/>
              <w:rPr>
                <w:sz w:val="20"/>
                <w:szCs w:val="20"/>
                <w:color w:val="auto"/>
              </w:rPr>
            </w:pPr>
            <w:r>
              <w:rPr>
                <w:rFonts w:ascii="Times New Roman" w:cs="Times New Roman" w:eastAsia="Times New Roman" w:hAnsi="Times New Roman"/>
                <w:sz w:val="14"/>
                <w:szCs w:val="14"/>
                <w:color w:val="auto"/>
                <w:w w:val="96"/>
              </w:rPr>
              <w:t>W-9</w:t>
            </w:r>
          </w:p>
        </w:tc>
        <w:tc>
          <w:tcPr>
            <w:tcW w:w="3380" w:type="dxa"/>
            <w:vAlign w:val="bottom"/>
            <w:gridSpan w:val="4"/>
            <w:vMerge w:val="continue"/>
          </w:tcPr>
          <w:p>
            <w:pPr>
              <w:spacing w:after="0"/>
              <w:rPr>
                <w:sz w:val="12"/>
                <w:szCs w:val="12"/>
                <w:color w:val="auto"/>
              </w:rPr>
            </w:pPr>
          </w:p>
        </w:tc>
        <w:tc>
          <w:tcPr>
            <w:tcW w:w="2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auto"/>
              </w:rPr>
              <w:t>reporting code (if any)</w:t>
            </w:r>
          </w:p>
        </w:tc>
        <w:tc>
          <w:tcPr>
            <w:tcW w:w="0" w:type="dxa"/>
            <w:vAlign w:val="bottom"/>
          </w:tcPr>
          <w:p>
            <w:pPr>
              <w:spacing w:after="0"/>
              <w:rPr>
                <w:sz w:val="1"/>
                <w:szCs w:val="1"/>
                <w:color w:val="auto"/>
              </w:rPr>
            </w:pPr>
          </w:p>
        </w:tc>
      </w:tr>
      <w:tr>
        <w:trPr>
          <w:trHeight w:val="148"/>
        </w:trPr>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instructions</w:t>
            </w:r>
          </w:p>
        </w:tc>
        <w:tc>
          <w:tcPr>
            <w:tcW w:w="3380" w:type="dxa"/>
            <w:vAlign w:val="bottom"/>
            <w:gridSpan w:val="4"/>
            <w:vMerge w:val="continue"/>
          </w:tcPr>
          <w:p>
            <w:pPr>
              <w:spacing w:after="0"/>
              <w:rPr>
                <w:sz w:val="12"/>
                <w:szCs w:val="12"/>
                <w:color w:val="auto"/>
              </w:rPr>
            </w:pPr>
          </w:p>
        </w:tc>
        <w:tc>
          <w:tcPr>
            <w:tcW w:w="2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720" w:type="dxa"/>
            <w:vAlign w:val="bottom"/>
            <w:gridSpan w:val="2"/>
            <w:vMerge w:val="restart"/>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98"/>
              </w:rPr>
              <w:t>for more</w:t>
            </w: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720" w:type="dxa"/>
            <w:vAlign w:val="bottom"/>
            <w:gridSpan w:val="2"/>
            <w:vMerge w:val="continue"/>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i w:val="1"/>
                <w:iCs w:val="1"/>
                <w:color w:val="auto"/>
              </w:rPr>
              <w:t>(Applies to accounts</w:t>
            </w:r>
          </w:p>
        </w:tc>
        <w:tc>
          <w:tcPr>
            <w:tcW w:w="0" w:type="dxa"/>
            <w:vAlign w:val="bottom"/>
          </w:tcPr>
          <w:p>
            <w:pPr>
              <w:spacing w:after="0"/>
              <w:rPr>
                <w:sz w:val="1"/>
                <w:szCs w:val="1"/>
                <w:color w:val="auto"/>
              </w:rPr>
            </w:pPr>
          </w:p>
        </w:tc>
      </w:tr>
      <w:tr>
        <w:trPr>
          <w:trHeight w:val="144"/>
        </w:trPr>
        <w:tc>
          <w:tcPr>
            <w:tcW w:w="720" w:type="dxa"/>
            <w:vAlign w:val="bottom"/>
            <w:gridSpan w:val="2"/>
          </w:tcPr>
          <w:p>
            <w:pPr>
              <w:jc w:val="center"/>
              <w:ind w:right="40"/>
              <w:spacing w:after="0" w:line="145" w:lineRule="exact"/>
              <w:rPr>
                <w:sz w:val="20"/>
                <w:szCs w:val="20"/>
                <w:color w:val="auto"/>
              </w:rPr>
            </w:pPr>
            <w:r>
              <w:rPr>
                <w:rFonts w:ascii="Times New Roman" w:cs="Times New Roman" w:eastAsia="Times New Roman" w:hAnsi="Times New Roman"/>
                <w:sz w:val="14"/>
                <w:szCs w:val="14"/>
                <w:color w:val="auto"/>
                <w:w w:val="98"/>
              </w:rPr>
              <w:t>details</w:t>
            </w: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w w:val="99"/>
              </w:rPr>
              <w:t>maintained outside the U.S.)</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20" w:type="dxa"/>
            <w:vAlign w:val="bottom"/>
            <w:tcBorders>
              <w:bottom w:val="single" w:sz="8" w:color="auto"/>
              <w:right w:val="single" w:sz="8" w:color="auto"/>
            </w:tcBorders>
            <w:gridSpan w:val="3"/>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460" w:type="dxa"/>
            <w:vAlign w:val="bottom"/>
            <w:gridSpan w:val="5"/>
          </w:tcPr>
          <w:p>
            <w:pPr>
              <w:ind w:left="260"/>
              <w:spacing w:after="0" w:line="111" w:lineRule="exact"/>
              <w:rPr>
                <w:sz w:val="20"/>
                <w:szCs w:val="20"/>
                <w:color w:val="auto"/>
              </w:rPr>
            </w:pPr>
            <w:r>
              <w:rPr>
                <w:rFonts w:ascii="Times New Roman" w:cs="Times New Roman" w:eastAsia="Times New Roman" w:hAnsi="Times New Roman"/>
                <w:sz w:val="12"/>
                <w:szCs w:val="12"/>
                <w:color w:val="auto"/>
              </w:rPr>
              <w:t>Requester’s name and address (optional)</w:t>
            </w: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419735</wp:posOffset>
            </wp:positionH>
            <wp:positionV relativeFrom="paragraph">
              <wp:posOffset>-1908175</wp:posOffset>
            </wp:positionV>
            <wp:extent cx="6583680" cy="27863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6583680" cy="2786380"/>
                    </a:xfrm>
                    <a:prstGeom prst="rect">
                      <a:avLst/>
                    </a:prstGeom>
                    <a:noFill/>
                  </pic:spPr>
                </pic:pic>
              </a:graphicData>
            </a:graphic>
          </wp:anchor>
        </w:drawing>
      </w:r>
    </w:p>
    <w:p>
      <w:pPr>
        <w:ind w:left="764"/>
        <w:spacing w:after="0"/>
        <w:rPr>
          <w:sz w:val="20"/>
          <w:szCs w:val="20"/>
          <w:color w:val="auto"/>
        </w:rPr>
      </w:pPr>
      <w:r>
        <w:rPr>
          <w:rFonts w:ascii="Times New Roman" w:cs="Times New Roman" w:eastAsia="Times New Roman" w:hAnsi="Times New Roman"/>
          <w:sz w:val="13"/>
          <w:szCs w:val="13"/>
          <w:color w:val="auto"/>
        </w:rPr>
        <w:t>Address (number, street, and apt. or suite no.)</w:t>
      </w:r>
    </w:p>
    <w:p>
      <w:pPr>
        <w:spacing w:after="0" w:line="296"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3"/>
          <w:szCs w:val="13"/>
          <w:color w:val="auto"/>
        </w:rPr>
        <w:t>City, State, and ZIP code</w:t>
      </w:r>
    </w:p>
    <w:p>
      <w:pPr>
        <w:spacing w:after="0" w:line="310"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3"/>
          <w:szCs w:val="13"/>
          <w:color w:val="auto"/>
        </w:rPr>
        <w:t>List account number(s) here (optional)</w:t>
      </w:r>
    </w:p>
    <w:p>
      <w:pPr>
        <w:spacing w:after="0" w:line="305" w:lineRule="exact"/>
        <w:rPr>
          <w:sz w:val="20"/>
          <w:szCs w:val="20"/>
          <w:color w:val="auto"/>
        </w:rPr>
      </w:pPr>
    </w:p>
    <w:p>
      <w:pPr>
        <w:ind w:left="104"/>
        <w:spacing w:after="0"/>
        <w:tabs>
          <w:tab w:leader="none" w:pos="764" w:val="left"/>
        </w:tabs>
        <w:rPr>
          <w:sz w:val="20"/>
          <w:szCs w:val="20"/>
          <w:color w:val="auto"/>
        </w:rPr>
      </w:pPr>
      <w:r>
        <w:rPr>
          <w:rFonts w:ascii="Times New Roman" w:cs="Times New Roman" w:eastAsia="Times New Roman" w:hAnsi="Times New Roman"/>
          <w:sz w:val="18"/>
          <w:szCs w:val="18"/>
          <w:b w:val="1"/>
          <w:bCs w:val="1"/>
          <w:color w:val="FFFFFF"/>
        </w:rPr>
        <w:t>Part I</w:t>
      </w:r>
      <w:r>
        <w:rPr>
          <w:sz w:val="20"/>
          <w:szCs w:val="20"/>
          <w:color w:val="auto"/>
        </w:rPr>
        <w:tab/>
      </w:r>
      <w:r>
        <w:rPr>
          <w:rFonts w:ascii="Times New Roman" w:cs="Times New Roman" w:eastAsia="Times New Roman" w:hAnsi="Times New Roman"/>
          <w:sz w:val="17"/>
          <w:szCs w:val="17"/>
          <w:b w:val="1"/>
          <w:bCs w:val="1"/>
          <w:color w:val="auto"/>
        </w:rPr>
        <w:t>Taxpayer Identification Number (“TIN”)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419735"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419735" cy="154305"/>
                    </a:xfrm>
                    <a:prstGeom prst="rect">
                      <a:avLst/>
                    </a:prstGeom>
                    <a:noFill/>
                  </pic:spPr>
                </pic:pic>
              </a:graphicData>
            </a:graphic>
          </wp:anchor>
        </w:drawing>
      </w:r>
    </w:p>
    <w:p>
      <w:pPr>
        <w:spacing w:after="0" w:line="31" w:lineRule="exact"/>
        <w:rPr>
          <w:sz w:val="20"/>
          <w:szCs w:val="20"/>
          <w:color w:val="auto"/>
        </w:rPr>
      </w:pPr>
    </w:p>
    <w:tbl>
      <w:tblPr>
        <w:tblLayout w:type="fixed"/>
        <w:tblInd w:w="4" w:type="dxa"/>
        <w:tblCellMar>
          <w:top w:w="0" w:type="dxa"/>
          <w:left w:w="0" w:type="dxa"/>
          <w:bottom w:w="0" w:type="dxa"/>
          <w:right w:w="0" w:type="dxa"/>
        </w:tblCellMar>
      </w:tblPr>
      <w:tr>
        <w:trPr>
          <w:trHeight w:val="20"/>
        </w:trPr>
        <w:tc>
          <w:tcPr>
            <w:tcW w:w="660" w:type="dxa"/>
            <w:vAlign w:val="bottom"/>
          </w:tcPr>
          <w:p>
            <w:pPr>
              <w:spacing w:after="0" w:line="20" w:lineRule="exact"/>
              <w:rPr>
                <w:sz w:val="1"/>
                <w:szCs w:val="1"/>
                <w:color w:val="auto"/>
              </w:rPr>
            </w:pPr>
          </w:p>
        </w:tc>
        <w:tc>
          <w:tcPr>
            <w:tcW w:w="64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7080" w:type="dxa"/>
            <w:vAlign w:val="bottom"/>
            <w:tcBorders>
              <w:right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color w:val="auto"/>
              </w:rPr>
              <w:t>Enter your TIN in the appropriate box. For individuals, this is your social security number (“SSN”</w:t>
            </w:r>
            <w:r>
              <w:rPr>
                <w:rFonts w:ascii="Times New Roman" w:cs="Times New Roman" w:eastAsia="Times New Roman" w:hAnsi="Times New Roman"/>
                <w:sz w:val="14"/>
                <w:szCs w:val="14"/>
                <w:b w:val="1"/>
                <w:bCs w:val="1"/>
                <w:color w:val="auto"/>
              </w:rPr>
              <w:t>). However, for a</w:t>
            </w:r>
          </w:p>
        </w:tc>
        <w:tc>
          <w:tcPr>
            <w:tcW w:w="4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080" w:type="dxa"/>
            <w:vAlign w:val="bottom"/>
            <w:tcBorders>
              <w:right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resident alien, sole proprietor, or disregarded entity, see the Instructions below</w:t>
            </w:r>
            <w:r>
              <w:rPr>
                <w:rFonts w:ascii="Times New Roman" w:cs="Times New Roman" w:eastAsia="Times New Roman" w:hAnsi="Times New Roman"/>
                <w:sz w:val="14"/>
                <w:szCs w:val="14"/>
                <w:color w:val="auto"/>
              </w:rPr>
              <w:t>. For other entities, it is your employer</w:t>
            </w:r>
          </w:p>
        </w:tc>
        <w:tc>
          <w:tcPr>
            <w:tcW w:w="440" w:type="dxa"/>
            <w:vAlign w:val="bottom"/>
          </w:tcPr>
          <w:p>
            <w:pPr>
              <w:spacing w:after="0"/>
              <w:rPr>
                <w:sz w:val="12"/>
                <w:szCs w:val="12"/>
                <w:color w:val="auto"/>
              </w:rPr>
            </w:pPr>
          </w:p>
        </w:tc>
        <w:tc>
          <w:tcPr>
            <w:tcW w:w="3060" w:type="dxa"/>
            <w:vAlign w:val="bottom"/>
          </w:tcPr>
          <w:p>
            <w:pPr>
              <w:jc w:val="center"/>
              <w:ind w:left="54"/>
              <w:spacing w:after="0"/>
              <w:rPr>
                <w:sz w:val="20"/>
                <w:szCs w:val="20"/>
                <w:color w:val="auto"/>
              </w:rPr>
            </w:pPr>
            <w:r>
              <w:rPr>
                <w:rFonts w:ascii="Times New Roman" w:cs="Times New Roman" w:eastAsia="Times New Roman" w:hAnsi="Times New Roman"/>
                <w:sz w:val="11"/>
                <w:szCs w:val="11"/>
                <w:b w:val="1"/>
                <w:bCs w:val="1"/>
                <w:color w:val="auto"/>
                <w:w w:val="98"/>
              </w:rPr>
              <w:t>Social Security Number</w:t>
            </w:r>
          </w:p>
        </w:tc>
        <w:tc>
          <w:tcPr>
            <w:tcW w:w="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080" w:type="dxa"/>
            <w:vAlign w:val="bottom"/>
            <w:tcBorders>
              <w:right w:val="single" w:sz="8" w:color="auto"/>
            </w:tcBorders>
            <w:gridSpan w:val="2"/>
          </w:tcPr>
          <w:p>
            <w:pPr>
              <w:spacing w:after="0" w:line="151" w:lineRule="exact"/>
              <w:rPr>
                <w:sz w:val="20"/>
                <w:szCs w:val="20"/>
                <w:color w:val="auto"/>
              </w:rPr>
            </w:pPr>
            <w:r>
              <w:rPr>
                <w:rFonts w:ascii="Times New Roman" w:cs="Times New Roman" w:eastAsia="Times New Roman" w:hAnsi="Times New Roman"/>
                <w:sz w:val="14"/>
                <w:szCs w:val="14"/>
                <w:color w:val="auto"/>
              </w:rPr>
              <w:t xml:space="preserve">identification number (“EIN”). See </w:t>
            </w:r>
            <w:r>
              <w:rPr>
                <w:rFonts w:ascii="Times New Roman" w:cs="Times New Roman" w:eastAsia="Times New Roman" w:hAnsi="Times New Roman"/>
                <w:sz w:val="14"/>
                <w:szCs w:val="14"/>
                <w:b w:val="1"/>
                <w:bCs w:val="1"/>
                <w:color w:val="auto"/>
              </w:rPr>
              <w:t>Obtaining a Number</w:t>
            </w:r>
            <w:r>
              <w:rPr>
                <w:rFonts w:ascii="Times New Roman" w:cs="Times New Roman" w:eastAsia="Times New Roman" w:hAnsi="Times New Roman"/>
                <w:sz w:val="14"/>
                <w:szCs w:val="14"/>
                <w:color w:val="auto"/>
              </w:rPr>
              <w:t xml:space="preserve"> in the Instructions below. If you do not have a number but have</w:t>
            </w:r>
          </w:p>
        </w:tc>
        <w:tc>
          <w:tcPr>
            <w:tcW w:w="4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7080" w:type="dxa"/>
            <w:vAlign w:val="bottom"/>
            <w:tcBorders>
              <w:right w:val="single" w:sz="8" w:color="auto"/>
            </w:tcBorders>
            <w:gridSpan w:val="2"/>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applied for one, write “APPLIED FOR” in the box at right and certify by signing and dating the “Certificate of Awaiting</w:t>
            </w:r>
          </w:p>
        </w:tc>
        <w:tc>
          <w:tcPr>
            <w:tcW w:w="440" w:type="dxa"/>
            <w:vAlign w:val="bottom"/>
            <w:vMerge w:val="restart"/>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7080" w:type="dxa"/>
            <w:vAlign w:val="bottom"/>
            <w:tcBorders>
              <w:right w:val="single" w:sz="8" w:color="auto"/>
            </w:tcBorders>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3060" w:type="dxa"/>
            <w:vAlign w:val="bottom"/>
            <w:vMerge w:val="restart"/>
          </w:tcPr>
          <w:p>
            <w:pPr>
              <w:ind w:left="1480"/>
              <w:spacing w:after="0"/>
              <w:rPr>
                <w:sz w:val="20"/>
                <w:szCs w:val="20"/>
                <w:color w:val="auto"/>
              </w:rPr>
            </w:pPr>
            <w:r>
              <w:rPr>
                <w:rFonts w:ascii="Times New Roman" w:cs="Times New Roman" w:eastAsia="Times New Roman" w:hAnsi="Times New Roman"/>
                <w:sz w:val="18"/>
                <w:szCs w:val="18"/>
                <w:b w:val="1"/>
                <w:bCs w:val="1"/>
                <w:color w:val="auto"/>
              </w:rPr>
              <w:t>or</w:t>
            </w:r>
          </w:p>
        </w:tc>
        <w:tc>
          <w:tcPr>
            <w:tcW w:w="4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0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Taxpayer Identification Number” below.</w:t>
            </w:r>
          </w:p>
        </w:tc>
        <w:tc>
          <w:tcPr>
            <w:tcW w:w="44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70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i w:val="1"/>
                <w:iCs w:val="1"/>
                <w:color w:val="auto"/>
              </w:rPr>
              <w:t>If the account is in more than one name, see the chart in the guidelines on whose number to enter on page 16.</w:t>
            </w:r>
          </w:p>
        </w:tc>
        <w:tc>
          <w:tcPr>
            <w:tcW w:w="440" w:type="dxa"/>
            <w:vAlign w:val="bottom"/>
          </w:tcPr>
          <w:p>
            <w:pPr>
              <w:spacing w:after="0"/>
              <w:rPr>
                <w:sz w:val="14"/>
                <w:szCs w:val="14"/>
                <w:color w:val="auto"/>
              </w:rPr>
            </w:pPr>
          </w:p>
        </w:tc>
        <w:tc>
          <w:tcPr>
            <w:tcW w:w="3060" w:type="dxa"/>
            <w:vAlign w:val="bottom"/>
          </w:tcPr>
          <w:p>
            <w:pPr>
              <w:jc w:val="center"/>
              <w:ind w:left="74"/>
              <w:spacing w:after="0"/>
              <w:rPr>
                <w:sz w:val="20"/>
                <w:szCs w:val="20"/>
                <w:color w:val="auto"/>
              </w:rPr>
            </w:pPr>
            <w:r>
              <w:rPr>
                <w:rFonts w:ascii="Times New Roman" w:cs="Times New Roman" w:eastAsia="Times New Roman" w:hAnsi="Times New Roman"/>
                <w:sz w:val="11"/>
                <w:szCs w:val="11"/>
                <w:b w:val="1"/>
                <w:bCs w:val="1"/>
                <w:color w:val="auto"/>
                <w:w w:val="98"/>
              </w:rPr>
              <w:t>Employer Identification Number</w:t>
            </w:r>
          </w:p>
        </w:tc>
        <w:tc>
          <w:tcPr>
            <w:tcW w:w="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660" w:type="dxa"/>
            <w:vAlign w:val="bottom"/>
            <w:tcBorders>
              <w:bottom w:val="single" w:sz="8" w:color="auto"/>
            </w:tcBorders>
          </w:tcPr>
          <w:p>
            <w:pPr>
              <w:spacing w:after="0"/>
              <w:rPr>
                <w:sz w:val="21"/>
                <w:szCs w:val="21"/>
                <w:color w:val="auto"/>
              </w:rPr>
            </w:pPr>
          </w:p>
        </w:tc>
        <w:tc>
          <w:tcPr>
            <w:tcW w:w="6420" w:type="dxa"/>
            <w:vAlign w:val="bottom"/>
            <w:tcBorders>
              <w:bottom w:val="single" w:sz="8" w:color="auto"/>
              <w:right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60" w:type="dxa"/>
            <w:vAlign w:val="bottom"/>
            <w:tcBorders>
              <w:bottom w:val="single" w:sz="8" w:color="auto"/>
            </w:tcBorders>
            <w:shd w:val="clear" w:color="auto" w:fill="000000"/>
          </w:tcPr>
          <w:p>
            <w:pPr>
              <w:ind w:left="60"/>
              <w:spacing w:after="0" w:line="203" w:lineRule="exact"/>
              <w:rPr>
                <w:sz w:val="20"/>
                <w:szCs w:val="20"/>
                <w:color w:val="auto"/>
              </w:rPr>
            </w:pPr>
            <w:r>
              <w:rPr>
                <w:rFonts w:ascii="Times New Roman" w:cs="Times New Roman" w:eastAsia="Times New Roman" w:hAnsi="Times New Roman"/>
                <w:sz w:val="18"/>
                <w:szCs w:val="18"/>
                <w:b w:val="1"/>
                <w:bCs w:val="1"/>
                <w:color w:val="FFFFFF"/>
              </w:rPr>
              <w:t>Part II</w:t>
            </w:r>
          </w:p>
        </w:tc>
        <w:tc>
          <w:tcPr>
            <w:tcW w:w="6860" w:type="dxa"/>
            <w:vAlign w:val="bottom"/>
            <w:tcBorders>
              <w:bottom w:val="single" w:sz="8" w:color="auto"/>
            </w:tcBorders>
            <w:gridSpan w:val="2"/>
          </w:tcPr>
          <w:p>
            <w:pPr>
              <w:ind w:left="220"/>
              <w:spacing w:after="0" w:line="203" w:lineRule="exact"/>
              <w:rPr>
                <w:sz w:val="20"/>
                <w:szCs w:val="20"/>
                <w:color w:val="auto"/>
              </w:rPr>
            </w:pPr>
            <w:r>
              <w:rPr>
                <w:rFonts w:ascii="Times New Roman" w:cs="Times New Roman" w:eastAsia="Times New Roman" w:hAnsi="Times New Roman"/>
                <w:sz w:val="18"/>
                <w:szCs w:val="18"/>
                <w:b w:val="1"/>
                <w:bCs w:val="1"/>
                <w:color w:val="auto"/>
              </w:rPr>
              <w:t>Exempt Payees</w:t>
            </w:r>
          </w:p>
        </w:tc>
        <w:tc>
          <w:tcPr>
            <w:tcW w:w="30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520" w:type="dxa"/>
            <w:vAlign w:val="bottom"/>
            <w:gridSpan w:val="3"/>
          </w:tcPr>
          <w:p>
            <w:pPr>
              <w:spacing w:after="0" w:line="161" w:lineRule="exact"/>
              <w:rPr>
                <w:sz w:val="20"/>
                <w:szCs w:val="20"/>
                <w:color w:val="auto"/>
              </w:rPr>
            </w:pPr>
            <w:r>
              <w:rPr>
                <w:rFonts w:ascii="Times New Roman" w:cs="Times New Roman" w:eastAsia="Times New Roman" w:hAnsi="Times New Roman"/>
                <w:sz w:val="14"/>
                <w:szCs w:val="14"/>
                <w:color w:val="auto"/>
              </w:rPr>
              <w:t xml:space="preserve">Check this box if you are NOT subject to backup withholding </w:t>
            </w:r>
            <w:r>
              <w:rPr>
                <w:rFonts w:ascii="MS PGothic" w:cs="MS PGothic" w:eastAsia="MS PGothic" w:hAnsi="MS PGothic"/>
                <w:sz w:val="14"/>
                <w:szCs w:val="14"/>
                <w:color w:val="auto"/>
              </w:rPr>
              <w:t>☐</w:t>
            </w:r>
          </w:p>
        </w:tc>
        <w:tc>
          <w:tcPr>
            <w:tcW w:w="3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660" w:type="dxa"/>
            <w:vAlign w:val="bottom"/>
            <w:tcBorders>
              <w:bottom w:val="single" w:sz="8" w:color="auto"/>
            </w:tcBorders>
          </w:tcPr>
          <w:p>
            <w:pPr>
              <w:spacing w:after="0"/>
              <w:rPr>
                <w:sz w:val="5"/>
                <w:szCs w:val="5"/>
                <w:color w:val="auto"/>
              </w:rPr>
            </w:pPr>
          </w:p>
        </w:tc>
        <w:tc>
          <w:tcPr>
            <w:tcW w:w="6860" w:type="dxa"/>
            <w:vAlign w:val="bottom"/>
            <w:tcBorders>
              <w:bottom w:val="single" w:sz="8" w:color="auto"/>
            </w:tcBorders>
            <w:gridSpan w:val="2"/>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60" w:type="dxa"/>
            <w:vAlign w:val="bottom"/>
            <w:tcBorders>
              <w:bottom w:val="single" w:sz="8" w:color="auto"/>
            </w:tcBorders>
            <w:shd w:val="clear" w:color="auto" w:fill="000000"/>
          </w:tcPr>
          <w:p>
            <w:pPr>
              <w:ind w:left="20"/>
              <w:spacing w:after="0"/>
              <w:rPr>
                <w:sz w:val="20"/>
                <w:szCs w:val="20"/>
                <w:color w:val="auto"/>
              </w:rPr>
            </w:pPr>
            <w:r>
              <w:rPr>
                <w:rFonts w:ascii="Times New Roman" w:cs="Times New Roman" w:eastAsia="Times New Roman" w:hAnsi="Times New Roman"/>
                <w:sz w:val="18"/>
                <w:szCs w:val="18"/>
                <w:b w:val="1"/>
                <w:bCs w:val="1"/>
                <w:color w:val="FFFFFF"/>
                <w:highlight w:val="black"/>
              </w:rPr>
              <w:t>Part III</w:t>
            </w:r>
          </w:p>
        </w:tc>
        <w:tc>
          <w:tcPr>
            <w:tcW w:w="68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Certification</w:t>
            </w:r>
          </w:p>
        </w:tc>
        <w:tc>
          <w:tcPr>
            <w:tcW w:w="3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Under penalties of perjury, I certify that:</w:t>
            </w:r>
          </w:p>
        </w:tc>
        <w:tc>
          <w:tcPr>
            <w:tcW w:w="3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24" w:hanging="324"/>
        <w:spacing w:after="0"/>
        <w:tabs>
          <w:tab w:leader="none" w:pos="324" w:val="left"/>
        </w:tabs>
        <w:numPr>
          <w:ilvl w:val="0"/>
          <w:numId w:val="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The number shown on this form is my correct taxpayer identification number, </w:t>
      </w:r>
      <w:r>
        <w:rPr>
          <w:rFonts w:ascii="Times New Roman" w:cs="Times New Roman" w:eastAsia="Times New Roman" w:hAnsi="Times New Roman"/>
          <w:sz w:val="14"/>
          <w:szCs w:val="14"/>
          <w:b w:val="1"/>
          <w:bCs w:val="1"/>
          <w:color w:val="auto"/>
        </w:rPr>
        <w:t>and</w:t>
      </w:r>
    </w:p>
    <w:p>
      <w:pPr>
        <w:spacing w:after="0" w:line="28" w:lineRule="exact"/>
        <w:rPr>
          <w:rFonts w:ascii="Times New Roman" w:cs="Times New Roman" w:eastAsia="Times New Roman" w:hAnsi="Times New Roman"/>
          <w:sz w:val="14"/>
          <w:szCs w:val="14"/>
          <w:b w:val="1"/>
          <w:bCs w:val="1"/>
          <w:color w:val="auto"/>
        </w:rPr>
      </w:pPr>
    </w:p>
    <w:p>
      <w:pPr>
        <w:ind w:left="324" w:right="140" w:hanging="324"/>
        <w:spacing w:after="0" w:line="251" w:lineRule="auto"/>
        <w:tabs>
          <w:tab w:leader="none" w:pos="324" w:val="left"/>
        </w:tabs>
        <w:numPr>
          <w:ilvl w:val="0"/>
          <w:numId w:val="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I am not subject to backup withholding because: </w:t>
      </w: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4"/>
          <w:szCs w:val="14"/>
          <w:color w:val="auto"/>
        </w:rPr>
        <w:t xml:space="preserve"> I am exempt from backup withholding, or </w:t>
      </w: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4"/>
          <w:szCs w:val="14"/>
          <w:color w:val="auto"/>
        </w:rPr>
        <w:t xml:space="preserve"> I have not been notified by the Internal Revenue Service (“IRS”) that I am subject to backup withholding as a result of a failure to report all interest or dividends, or </w:t>
      </w: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4"/>
          <w:szCs w:val="14"/>
          <w:color w:val="auto"/>
        </w:rPr>
        <w:t xml:space="preserve"> the IRS has notified me that I am no longer subject to backup withholding, </w:t>
      </w:r>
      <w:r>
        <w:rPr>
          <w:rFonts w:ascii="Times New Roman" w:cs="Times New Roman" w:eastAsia="Times New Roman" w:hAnsi="Times New Roman"/>
          <w:sz w:val="14"/>
          <w:szCs w:val="14"/>
          <w:b w:val="1"/>
          <w:bCs w:val="1"/>
          <w:color w:val="auto"/>
        </w:rPr>
        <w:t>and</w:t>
      </w:r>
    </w:p>
    <w:p>
      <w:pPr>
        <w:spacing w:after="0" w:line="1" w:lineRule="exact"/>
        <w:rPr>
          <w:rFonts w:ascii="Times New Roman" w:cs="Times New Roman" w:eastAsia="Times New Roman" w:hAnsi="Times New Roman"/>
          <w:sz w:val="14"/>
          <w:szCs w:val="14"/>
          <w:b w:val="1"/>
          <w:bCs w:val="1"/>
          <w:color w:val="auto"/>
        </w:rPr>
      </w:pPr>
    </w:p>
    <w:p>
      <w:pPr>
        <w:ind w:left="324" w:hanging="324"/>
        <w:spacing w:after="0"/>
        <w:tabs>
          <w:tab w:leader="none" w:pos="324" w:val="left"/>
        </w:tabs>
        <w:numPr>
          <w:ilvl w:val="0"/>
          <w:numId w:val="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 am a U.S. person (defined in the IRS Form W-9 instructions).</w:t>
      </w:r>
    </w:p>
    <w:p>
      <w:pPr>
        <w:spacing w:after="0" w:line="28" w:lineRule="exact"/>
        <w:rPr>
          <w:rFonts w:ascii="Times New Roman" w:cs="Times New Roman" w:eastAsia="Times New Roman" w:hAnsi="Times New Roman"/>
          <w:sz w:val="14"/>
          <w:szCs w:val="14"/>
          <w:b w:val="1"/>
          <w:bCs w:val="1"/>
          <w:color w:val="auto"/>
        </w:rPr>
      </w:pPr>
    </w:p>
    <w:p>
      <w:pPr>
        <w:ind w:left="324" w:hanging="324"/>
        <w:spacing w:after="0"/>
        <w:tabs>
          <w:tab w:leader="none" w:pos="324" w:val="left"/>
        </w:tabs>
        <w:numPr>
          <w:ilvl w:val="0"/>
          <w:numId w:val="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FATCA code(s) entered on this form (if any) indicating that I am exempt from FATCA reporting is correct.</w:t>
      </w:r>
    </w:p>
    <w:p>
      <w:pPr>
        <w:spacing w:after="0" w:line="27" w:lineRule="exact"/>
        <w:rPr>
          <w:sz w:val="20"/>
          <w:szCs w:val="20"/>
          <w:color w:val="auto"/>
        </w:rPr>
      </w:pPr>
    </w:p>
    <w:p>
      <w:pPr>
        <w:ind w:left="4" w:right="120"/>
        <w:spacing w:after="0" w:line="236" w:lineRule="auto"/>
        <w:rPr>
          <w:sz w:val="20"/>
          <w:szCs w:val="20"/>
          <w:color w:val="auto"/>
        </w:rPr>
      </w:pPr>
      <w:r>
        <w:rPr>
          <w:rFonts w:ascii="Times New Roman" w:cs="Times New Roman" w:eastAsia="Times New Roman" w:hAnsi="Times New Roman"/>
          <w:sz w:val="14"/>
          <w:szCs w:val="14"/>
          <w:b w:val="1"/>
          <w:bCs w:val="1"/>
          <w:color w:val="auto"/>
        </w:rPr>
        <w:t xml:space="preserve">Certification instructions. </w:t>
      </w:r>
      <w:r>
        <w:rPr>
          <w:rFonts w:ascii="Times New Roman" w:cs="Times New Roman" w:eastAsia="Times New Roman" w:hAnsi="Times New Roman"/>
          <w:sz w:val="14"/>
          <w:szCs w:val="14"/>
          <w:color w:val="auto"/>
        </w:rPr>
        <w:t>You must cross out item</w:t>
      </w:r>
      <w:r>
        <w:rPr>
          <w:rFonts w:ascii="Times New Roman" w:cs="Times New Roman" w:eastAsia="Times New Roman" w:hAnsi="Times New Roman"/>
          <w:sz w:val="14"/>
          <w:szCs w:val="14"/>
          <w:b w:val="1"/>
          <w:bCs w:val="1"/>
          <w:color w:val="auto"/>
        </w:rPr>
        <w:t xml:space="preserve"> 2 </w:t>
      </w:r>
      <w:r>
        <w:rPr>
          <w:rFonts w:ascii="Times New Roman" w:cs="Times New Roman" w:eastAsia="Times New Roman" w:hAnsi="Times New Roman"/>
          <w:sz w:val="14"/>
          <w:szCs w:val="14"/>
          <w:color w:val="auto"/>
        </w:rPr>
        <w:t>above if you have been notified by the IRS that you are currently subject to backup withholding because you have failed to report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interest and dividends on your tax return. For real estate transactions, item </w:t>
      </w: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4"/>
          <w:szCs w:val="14"/>
          <w:color w:val="auto"/>
        </w:rPr>
        <w:t xml:space="preserve">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on page 17 and below.)</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The Internal Revenue Service does not require your consent to any provision of this document other than the certifications required to avoid backup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6995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558" w:right="439" w:bottom="1440" w:gutter="0" w:footer="0" w:header="0"/>
        </w:sectPr>
      </w:pPr>
    </w:p>
    <w:p>
      <w:pPr>
        <w:spacing w:after="0" w:line="138" w:lineRule="exact"/>
        <w:rPr>
          <w:sz w:val="20"/>
          <w:szCs w:val="20"/>
          <w:color w:val="auto"/>
        </w:rPr>
      </w:pPr>
    </w:p>
    <w:p>
      <w:pPr>
        <w:ind w:left="64"/>
        <w:spacing w:after="0"/>
        <w:rPr>
          <w:sz w:val="20"/>
          <w:szCs w:val="20"/>
          <w:color w:val="auto"/>
        </w:rPr>
      </w:pPr>
      <w:r>
        <w:rPr>
          <w:rFonts w:ascii="Times New Roman" w:cs="Times New Roman" w:eastAsia="Times New Roman" w:hAnsi="Times New Roman"/>
          <w:sz w:val="18"/>
          <w:szCs w:val="18"/>
          <w:b w:val="1"/>
          <w:bCs w:val="1"/>
          <w:color w:val="auto"/>
        </w:rPr>
        <w:t>Sign</w:t>
      </w:r>
    </w:p>
    <w:p>
      <w:pPr>
        <w:spacing w:after="0" w:line="31" w:lineRule="exact"/>
        <w:rPr>
          <w:sz w:val="20"/>
          <w:szCs w:val="20"/>
          <w:color w:val="auto"/>
        </w:rPr>
      </w:pPr>
    </w:p>
    <w:p>
      <w:pPr>
        <w:ind w:left="44"/>
        <w:spacing w:after="0"/>
        <w:rPr>
          <w:sz w:val="20"/>
          <w:szCs w:val="20"/>
          <w:color w:val="auto"/>
        </w:rPr>
      </w:pPr>
      <w:r>
        <w:rPr>
          <w:rFonts w:ascii="Times New Roman" w:cs="Times New Roman" w:eastAsia="Times New Roman" w:hAnsi="Times New Roman"/>
          <w:sz w:val="18"/>
          <w:szCs w:val="18"/>
          <w:b w:val="1"/>
          <w:bCs w:val="1"/>
          <w:color w:val="auto"/>
        </w:rPr>
        <w:t>Here</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Signature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-193040</wp:posOffset>
            </wp:positionV>
            <wp:extent cx="6995160" cy="291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6995160" cy="291465"/>
                    </a:xfrm>
                    <a:prstGeom prst="rect">
                      <a:avLst/>
                    </a:prstGeom>
                    <a:noFill/>
                  </pic:spPr>
                </pic:pic>
              </a:graphicData>
            </a:graphic>
          </wp:anchor>
        </w:drawing>
      </w:r>
    </w:p>
    <w:p>
      <w:pPr>
        <w:spacing w:after="0"/>
        <w:tabs>
          <w:tab w:leader="none" w:pos="6240" w:val="left"/>
        </w:tabs>
        <w:rPr>
          <w:sz w:val="20"/>
          <w:szCs w:val="20"/>
          <w:color w:val="auto"/>
        </w:rPr>
      </w:pPr>
      <w:r>
        <w:rPr>
          <w:rFonts w:ascii="Times New Roman" w:cs="Times New Roman" w:eastAsia="Times New Roman" w:hAnsi="Times New Roman"/>
          <w:sz w:val="13"/>
          <w:szCs w:val="13"/>
          <w:b w:val="1"/>
          <w:bCs w:val="1"/>
          <w:color w:val="auto"/>
        </w:rPr>
        <w:t xml:space="preserve">U.S. person </w:t>
      </w:r>
      <w:r>
        <w:rPr>
          <w:rFonts w:ascii="Times New Roman" w:cs="Times New Roman" w:eastAsia="Times New Roman" w:hAnsi="Times New Roman"/>
          <w:sz w:val="13"/>
          <w:szCs w:val="13"/>
          <w:color w:val="auto"/>
        </w:rPr>
        <w:t>u</w:t>
      </w:r>
      <w:r>
        <w:rPr>
          <w:sz w:val="20"/>
          <w:szCs w:val="20"/>
          <w:color w:val="auto"/>
        </w:rPr>
        <w:tab/>
      </w:r>
      <w:r>
        <w:rPr>
          <w:rFonts w:ascii="Times New Roman" w:cs="Times New Roman" w:eastAsia="Times New Roman" w:hAnsi="Times New Roman"/>
          <w:sz w:val="13"/>
          <w:szCs w:val="13"/>
          <w:b w:val="1"/>
          <w:bCs w:val="1"/>
          <w:color w:val="auto"/>
        </w:rPr>
        <w:t xml:space="preserve">Date </w:t>
      </w:r>
      <w:r>
        <w:rPr>
          <w:rFonts w:ascii="Times New Roman" w:cs="Times New Roman" w:eastAsia="Times New Roman" w:hAnsi="Times New Roman"/>
          <w:sz w:val="13"/>
          <w:szCs w:val="13"/>
          <w:color w:val="auto"/>
        </w:rPr>
        <w:t>u</w:t>
      </w:r>
    </w:p>
    <w:p>
      <w:pPr>
        <w:spacing w:after="0" w:line="133" w:lineRule="exact"/>
        <w:rPr>
          <w:sz w:val="20"/>
          <w:szCs w:val="20"/>
          <w:color w:val="auto"/>
        </w:rPr>
      </w:pPr>
    </w:p>
    <w:p>
      <w:pPr>
        <w:sectPr>
          <w:pgSz w:w="11900" w:h="16838" w:orient="portrait"/>
          <w:cols w:equalWidth="0" w:num="2">
            <w:col w:w="424" w:space="380"/>
            <w:col w:w="10220"/>
          </w:cols>
          <w:pgMar w:left="436" w:top="558"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024"/>
          </w:cols>
          <w:pgMar w:left="436" w:top="558" w:right="439" w:bottom="1440" w:gutter="0" w:footer="0" w:header="0"/>
          <w:type w:val="continuous"/>
        </w:sectPr>
      </w:pPr>
    </w:p>
    <w:bookmarkStart w:id="67" w:name="page68"/>
    <w:bookmarkEnd w:id="67"/>
    <w:p>
      <w:pPr>
        <w:jc w:val="center"/>
        <w:ind w:left="500" w:right="1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YOU MUST COMPLETE THE FOLLOWING CERTIFICATE IF YOU WROTE “APPLIED FOR” IN PART I OF THE SUBSTITUTE FORM W-9.</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AWAITING TAXPAYER IDENTIFICATION NUMBER</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 certify under penalties of perjury that a TIN has not been issued to me, and that I mailed or delivered an application to receive a TIN to the appropriate IRS Center or Social Security Administration Office (or I intend to mail or deliver an application in the near future). I understand that if I do not provide a TIN to the Payor within 60 days, the Payor is required to withhold 24% of all reportable payments made to me thereafter until I provide a TIN and that, under certain circumstances, withholding may begin 7 business days after the Payor receives this Substitute Form W-9.</w:t>
      </w:r>
    </w:p>
    <w:p>
      <w:pPr>
        <w:spacing w:after="0" w:line="328" w:lineRule="exact"/>
        <w:rPr>
          <w:sz w:val="20"/>
          <w:szCs w:val="20"/>
          <w:color w:val="auto"/>
        </w:rPr>
      </w:pPr>
    </w:p>
    <w:p>
      <w:pPr>
        <w:spacing w:after="0"/>
        <w:tabs>
          <w:tab w:leader="none" w:pos="792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17145</wp:posOffset>
            </wp:positionV>
            <wp:extent cx="60775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6077585" cy="8890"/>
                    </a:xfrm>
                    <a:prstGeom prst="rect">
                      <a:avLst/>
                    </a:prstGeom>
                    <a:noFill/>
                  </pic:spPr>
                </pic:pic>
              </a:graphicData>
            </a:graphic>
          </wp:anchor>
        </w:drawing>
      </w:r>
    </w:p>
    <w:p>
      <w:pPr>
        <w:spacing w:after="0" w:line="242" w:lineRule="exact"/>
        <w:rPr>
          <w:sz w:val="20"/>
          <w:szCs w:val="20"/>
          <w:color w:val="auto"/>
        </w:rPr>
      </w:pPr>
    </w:p>
    <w:p>
      <w:pPr>
        <w:ind w:left="760" w:hanging="759"/>
        <w:spacing w:after="0" w:line="262"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NOTE:</w:t>
        <w:tab/>
        <w:t>FAILURE TO COMPLETE AND RETURN THIS FORM MAY RESULT IN A $50 PENALTY IMPOSED BY THE IRS AND IN BACKUP WITHHOLDING OF 24% OF ANY REPORTABLE PAYMENTS. PLEASE REVIEW THE ENCLOSED “GUIDELINES FOR CERTIFICATION OF TAXPAYER IDENTIFICATION NUMBER ON SUBSTITUTE FORM W-9” FOR ADDITIONAL DETAILS.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66" w:right="499" w:bottom="1440" w:gutter="0" w:footer="0" w:header="0"/>
        </w:sectPr>
      </w:pPr>
    </w:p>
    <w:bookmarkStart w:id="68" w:name="page69"/>
    <w:bookmarkEnd w:id="68"/>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GUIDELINES FOR CERTIFICATION OF TAXPAYER IDENTIFICATION NUMBER ON</w:t>
      </w:r>
    </w:p>
    <w:p>
      <w:pPr>
        <w:spacing w:after="0" w:line="3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SUBSTITUTE FORM W-9</w:t>
      </w:r>
    </w:p>
    <w:p>
      <w:pPr>
        <w:spacing w:after="0" w:line="203" w:lineRule="exact"/>
        <w:rPr>
          <w:sz w:val="20"/>
          <w:szCs w:val="20"/>
          <w:color w:val="auto"/>
        </w:rPr>
      </w:pPr>
    </w:p>
    <w:p>
      <w:pPr>
        <w:ind w:left="4"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Guidelines for Determining the Proper Identification Number to Give the Payer</w:t>
      </w:r>
      <w:r>
        <w:rPr>
          <w:rFonts w:ascii="Times New Roman" w:cs="Times New Roman" w:eastAsia="Times New Roman" w:hAnsi="Times New Roman"/>
          <w:sz w:val="18"/>
          <w:szCs w:val="18"/>
          <w:color w:val="auto"/>
        </w:rPr>
        <w:t>—Social Security numbers have nine digits separated by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hyphens: i.e., 000-00-0000. Employer identification numbers have nine digits separated by one hyphen: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00-0000000. The table below will help determine the number to give the payer.</w:t>
      </w:r>
    </w:p>
    <w:p>
      <w:pPr>
        <w:sectPr>
          <w:pgSz w:w="11900" w:h="16838" w:orient="portrait"/>
          <w:cols w:equalWidth="0" w:num="1">
            <w:col w:w="11024"/>
          </w:cols>
          <w:pgMar w:left="436" w:top="266" w:right="439" w:bottom="1440" w:gutter="0" w:footer="0" w:header="0"/>
        </w:sectPr>
      </w:pPr>
    </w:p>
    <w:p>
      <w:pPr>
        <w:spacing w:after="0" w:line="254" w:lineRule="exact"/>
        <w:rPr>
          <w:sz w:val="20"/>
          <w:szCs w:val="20"/>
          <w:color w:val="auto"/>
        </w:rPr>
      </w:pPr>
    </w:p>
    <w:tbl>
      <w:tblPr>
        <w:tblLayout w:type="fixed"/>
        <w:tblInd w:w="4" w:type="dxa"/>
        <w:tblCellMar>
          <w:top w:w="0" w:type="dxa"/>
          <w:left w:w="0" w:type="dxa"/>
          <w:bottom w:w="0" w:type="dxa"/>
          <w:right w:w="0" w:type="dxa"/>
        </w:tblCellMar>
      </w:tblPr>
      <w:tr>
        <w:trPr>
          <w:trHeight w:val="200"/>
        </w:trPr>
        <w:tc>
          <w:tcPr>
            <w:tcW w:w="24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Give the NAME AND</w:t>
            </w:r>
          </w:p>
        </w:tc>
      </w:tr>
      <w:tr>
        <w:trPr>
          <w:trHeight w:val="203"/>
        </w:trPr>
        <w:tc>
          <w:tcPr>
            <w:tcW w:w="2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3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SOCIAL SECURITY</w:t>
            </w:r>
          </w:p>
        </w:tc>
      </w:tr>
      <w:tr>
        <w:trPr>
          <w:trHeight w:val="225"/>
        </w:trPr>
        <w:tc>
          <w:tcPr>
            <w:tcW w:w="2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this type of account:</w:t>
            </w:r>
          </w:p>
        </w:tc>
        <w:tc>
          <w:tcPr>
            <w:tcW w:w="2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18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2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 individual</w:t>
            </w:r>
          </w:p>
        </w:tc>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 individual</w:t>
            </w:r>
          </w:p>
        </w:tc>
      </w:tr>
      <w:tr>
        <w:trPr>
          <w:trHeight w:val="194"/>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2.</w:t>
            </w:r>
          </w:p>
        </w:tc>
        <w:tc>
          <w:tcPr>
            <w:tcW w:w="2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Two or more individuals</w:t>
            </w:r>
          </w:p>
        </w:tc>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 actual owner of the account, or, if</w:t>
            </w:r>
          </w:p>
        </w:tc>
      </w:tr>
      <w:tr>
        <w:trPr>
          <w:trHeight w:val="148"/>
        </w:trPr>
        <w:tc>
          <w:tcPr>
            <w:tcW w:w="240" w:type="dxa"/>
            <w:vAlign w:val="bottom"/>
          </w:tcPr>
          <w:p>
            <w:pPr>
              <w:spacing w:after="0"/>
              <w:rPr>
                <w:sz w:val="12"/>
                <w:szCs w:val="12"/>
                <w:color w:val="auto"/>
              </w:rPr>
            </w:pPr>
          </w:p>
        </w:tc>
        <w:tc>
          <w:tcPr>
            <w:tcW w:w="2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(joint account)</w:t>
            </w:r>
          </w:p>
        </w:tc>
        <w:tc>
          <w:tcPr>
            <w:tcW w:w="23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combined funds, the first individual</w:t>
            </w:r>
          </w:p>
        </w:tc>
      </w:tr>
      <w:tr>
        <w:trPr>
          <w:trHeight w:val="188"/>
        </w:trPr>
        <w:tc>
          <w:tcPr>
            <w:tcW w:w="2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on the account (1)</w:t>
            </w:r>
          </w:p>
        </w:tc>
      </w:tr>
      <w:tr>
        <w:trPr>
          <w:trHeight w:val="217"/>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2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Custodian account of a minor (Uniform</w:t>
            </w:r>
          </w:p>
        </w:tc>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 minor (2)</w:t>
            </w:r>
          </w:p>
        </w:tc>
      </w:tr>
      <w:tr>
        <w:trPr>
          <w:trHeight w:val="188"/>
        </w:trPr>
        <w:tc>
          <w:tcPr>
            <w:tcW w:w="240" w:type="dxa"/>
            <w:vAlign w:val="bottom"/>
          </w:tcPr>
          <w:p>
            <w:pPr>
              <w:spacing w:after="0"/>
              <w:rPr>
                <w:sz w:val="16"/>
                <w:szCs w:val="16"/>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Gift to Minors Act)</w:t>
            </w:r>
          </w:p>
        </w:tc>
        <w:tc>
          <w:tcPr>
            <w:tcW w:w="2380" w:type="dxa"/>
            <w:vAlign w:val="bottom"/>
          </w:tcPr>
          <w:p>
            <w:pPr>
              <w:spacing w:after="0"/>
              <w:rPr>
                <w:sz w:val="16"/>
                <w:szCs w:val="16"/>
                <w:color w:val="auto"/>
              </w:rPr>
            </w:pPr>
          </w:p>
        </w:tc>
      </w:tr>
      <w:tr>
        <w:trPr>
          <w:trHeight w:val="217"/>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4.</w:t>
            </w:r>
          </w:p>
        </w:tc>
        <w:tc>
          <w:tcPr>
            <w:tcW w:w="2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 The usual revocable</w:t>
            </w:r>
          </w:p>
        </w:tc>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 grantor-trustee (1)</w:t>
            </w:r>
          </w:p>
        </w:tc>
      </w:tr>
      <w:tr>
        <w:trPr>
          <w:trHeight w:val="148"/>
        </w:trPr>
        <w:tc>
          <w:tcPr>
            <w:tcW w:w="240" w:type="dxa"/>
            <w:vAlign w:val="bottom"/>
          </w:tcPr>
          <w:p>
            <w:pPr>
              <w:spacing w:after="0"/>
              <w:rPr>
                <w:sz w:val="12"/>
                <w:szCs w:val="12"/>
                <w:color w:val="auto"/>
              </w:rPr>
            </w:pPr>
          </w:p>
        </w:tc>
        <w:tc>
          <w:tcPr>
            <w:tcW w:w="266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savings trust (grantor is</w:t>
            </w:r>
          </w:p>
        </w:tc>
        <w:tc>
          <w:tcPr>
            <w:tcW w:w="2380" w:type="dxa"/>
            <w:vAlign w:val="bottom"/>
          </w:tcPr>
          <w:p>
            <w:pPr>
              <w:spacing w:after="0"/>
              <w:rPr>
                <w:sz w:val="12"/>
                <w:szCs w:val="12"/>
                <w:color w:val="auto"/>
              </w:rPr>
            </w:pPr>
          </w:p>
        </w:tc>
      </w:tr>
      <w:tr>
        <w:trPr>
          <w:trHeight w:val="188"/>
        </w:trPr>
        <w:tc>
          <w:tcPr>
            <w:tcW w:w="240" w:type="dxa"/>
            <w:vAlign w:val="bottom"/>
          </w:tcPr>
          <w:p>
            <w:pPr>
              <w:spacing w:after="0"/>
              <w:rPr>
                <w:sz w:val="16"/>
                <w:szCs w:val="16"/>
                <w:color w:val="auto"/>
              </w:rPr>
            </w:pPr>
          </w:p>
        </w:tc>
        <w:tc>
          <w:tcPr>
            <w:tcW w:w="2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also trustee)</w:t>
            </w:r>
          </w:p>
        </w:tc>
        <w:tc>
          <w:tcPr>
            <w:tcW w:w="2380" w:type="dxa"/>
            <w:vAlign w:val="bottom"/>
          </w:tcPr>
          <w:p>
            <w:pPr>
              <w:spacing w:after="0"/>
              <w:rPr>
                <w:sz w:val="16"/>
                <w:szCs w:val="16"/>
                <w:color w:val="auto"/>
              </w:rPr>
            </w:pPr>
          </w:p>
        </w:tc>
      </w:tr>
      <w:tr>
        <w:trPr>
          <w:trHeight w:val="230"/>
        </w:trPr>
        <w:tc>
          <w:tcPr>
            <w:tcW w:w="240" w:type="dxa"/>
            <w:vAlign w:val="bottom"/>
          </w:tcPr>
          <w:p>
            <w:pPr>
              <w:spacing w:after="0"/>
              <w:rPr>
                <w:sz w:val="20"/>
                <w:szCs w:val="20"/>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 So-called trust account</w:t>
            </w:r>
          </w:p>
        </w:tc>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 actual owner (1)</w:t>
            </w:r>
          </w:p>
        </w:tc>
      </w:tr>
      <w:tr>
        <w:trPr>
          <w:trHeight w:val="148"/>
        </w:trPr>
        <w:tc>
          <w:tcPr>
            <w:tcW w:w="240" w:type="dxa"/>
            <w:vAlign w:val="bottom"/>
          </w:tcPr>
          <w:p>
            <w:pPr>
              <w:spacing w:after="0"/>
              <w:rPr>
                <w:sz w:val="12"/>
                <w:szCs w:val="12"/>
                <w:color w:val="auto"/>
              </w:rPr>
            </w:pPr>
          </w:p>
        </w:tc>
        <w:tc>
          <w:tcPr>
            <w:tcW w:w="26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that is not a legal or valid</w:t>
            </w:r>
          </w:p>
        </w:tc>
        <w:tc>
          <w:tcPr>
            <w:tcW w:w="2380" w:type="dxa"/>
            <w:vAlign w:val="bottom"/>
          </w:tcPr>
          <w:p>
            <w:pPr>
              <w:spacing w:after="0"/>
              <w:rPr>
                <w:sz w:val="12"/>
                <w:szCs w:val="12"/>
                <w:color w:val="auto"/>
              </w:rPr>
            </w:pPr>
          </w:p>
        </w:tc>
      </w:tr>
      <w:tr>
        <w:trPr>
          <w:trHeight w:val="188"/>
        </w:trPr>
        <w:tc>
          <w:tcPr>
            <w:tcW w:w="240" w:type="dxa"/>
            <w:vAlign w:val="bottom"/>
          </w:tcPr>
          <w:p>
            <w:pPr>
              <w:spacing w:after="0"/>
              <w:rPr>
                <w:sz w:val="16"/>
                <w:szCs w:val="16"/>
                <w:color w:val="auto"/>
              </w:rPr>
            </w:pPr>
          </w:p>
        </w:tc>
        <w:tc>
          <w:tcPr>
            <w:tcW w:w="2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trust under state law</w:t>
            </w:r>
          </w:p>
        </w:tc>
        <w:tc>
          <w:tcPr>
            <w:tcW w:w="2380" w:type="dxa"/>
            <w:vAlign w:val="bottom"/>
          </w:tcPr>
          <w:p>
            <w:pPr>
              <w:spacing w:after="0"/>
              <w:rPr>
                <w:sz w:val="16"/>
                <w:szCs w:val="16"/>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5.</w:t>
            </w:r>
          </w:p>
        </w:tc>
        <w:tc>
          <w:tcPr>
            <w:tcW w:w="2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Sole proprietorship or disregarded entity</w:t>
            </w:r>
          </w:p>
        </w:tc>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 owner (3)</w:t>
            </w:r>
          </w:p>
        </w:tc>
      </w:tr>
      <w:tr>
        <w:trPr>
          <w:trHeight w:val="188"/>
        </w:trPr>
        <w:tc>
          <w:tcPr>
            <w:tcW w:w="240" w:type="dxa"/>
            <w:vAlign w:val="bottom"/>
          </w:tcPr>
          <w:p>
            <w:pPr>
              <w:spacing w:after="0"/>
              <w:rPr>
                <w:sz w:val="16"/>
                <w:szCs w:val="16"/>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owned by an individual</w:t>
            </w:r>
          </w:p>
        </w:tc>
        <w:tc>
          <w:tcPr>
            <w:tcW w:w="2380" w:type="dxa"/>
            <w:vAlign w:val="bottom"/>
          </w:tcPr>
          <w:p>
            <w:pPr>
              <w:spacing w:after="0"/>
              <w:rPr>
                <w:sz w:val="16"/>
                <w:szCs w:val="16"/>
                <w:color w:val="auto"/>
              </w:rPr>
            </w:pPr>
          </w:p>
        </w:tc>
      </w:tr>
      <w:tr>
        <w:trPr>
          <w:trHeight w:val="217"/>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6.</w:t>
            </w:r>
          </w:p>
        </w:tc>
        <w:tc>
          <w:tcPr>
            <w:tcW w:w="2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Grantor trust filing under Optional Form</w:t>
            </w:r>
          </w:p>
        </w:tc>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 grantor *</w:t>
            </w:r>
          </w:p>
        </w:tc>
      </w:tr>
      <w:tr>
        <w:trPr>
          <w:trHeight w:val="148"/>
        </w:trPr>
        <w:tc>
          <w:tcPr>
            <w:tcW w:w="240" w:type="dxa"/>
            <w:vAlign w:val="bottom"/>
          </w:tcPr>
          <w:p>
            <w:pPr>
              <w:spacing w:after="0"/>
              <w:rPr>
                <w:sz w:val="12"/>
                <w:szCs w:val="12"/>
                <w:color w:val="auto"/>
              </w:rPr>
            </w:pPr>
          </w:p>
        </w:tc>
        <w:tc>
          <w:tcPr>
            <w:tcW w:w="2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1099 Filing Method 1 (see Regulations</w:t>
            </w:r>
          </w:p>
        </w:tc>
        <w:tc>
          <w:tcPr>
            <w:tcW w:w="2380" w:type="dxa"/>
            <w:vAlign w:val="bottom"/>
          </w:tcPr>
          <w:p>
            <w:pPr>
              <w:spacing w:after="0"/>
              <w:rPr>
                <w:sz w:val="12"/>
                <w:szCs w:val="12"/>
                <w:color w:val="auto"/>
              </w:rPr>
            </w:pPr>
          </w:p>
        </w:tc>
      </w:tr>
      <w:tr>
        <w:trPr>
          <w:trHeight w:val="188"/>
        </w:trPr>
        <w:tc>
          <w:tcPr>
            <w:tcW w:w="240" w:type="dxa"/>
            <w:vAlign w:val="bottom"/>
          </w:tcPr>
          <w:p>
            <w:pPr>
              <w:spacing w:after="0"/>
              <w:rPr>
                <w:sz w:val="16"/>
                <w:szCs w:val="16"/>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Section 1.671-4(b)(2)(i)(A))</w:t>
            </w:r>
          </w:p>
        </w:tc>
        <w:tc>
          <w:tcPr>
            <w:tcW w:w="23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734695</wp:posOffset>
            </wp:positionV>
            <wp:extent cx="33604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26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tcPr>
          <w:p>
            <w:pPr>
              <w:spacing w:after="0"/>
              <w:rPr>
                <w:sz w:val="17"/>
                <w:szCs w:val="17"/>
                <w:color w:val="auto"/>
              </w:rPr>
            </w:pPr>
          </w:p>
        </w:tc>
        <w:tc>
          <w:tcPr>
            <w:tcW w:w="24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Give the NAME AND</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EMPLOYER</w:t>
            </w:r>
          </w:p>
        </w:tc>
        <w:tc>
          <w:tcPr>
            <w:tcW w:w="0" w:type="dxa"/>
            <w:vAlign w:val="bottom"/>
          </w:tcPr>
          <w:p>
            <w:pPr>
              <w:spacing w:after="0"/>
              <w:rPr>
                <w:sz w:val="1"/>
                <w:szCs w:val="1"/>
                <w:color w:val="auto"/>
              </w:rPr>
            </w:pPr>
          </w:p>
        </w:tc>
      </w:tr>
      <w:tr>
        <w:trPr>
          <w:trHeight w:val="203"/>
        </w:trPr>
        <w:tc>
          <w:tcPr>
            <w:tcW w:w="2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For this type of account:</w:t>
            </w:r>
          </w:p>
        </w:tc>
        <w:tc>
          <w:tcPr>
            <w:tcW w:w="24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0" w:type="dxa"/>
            <w:vAlign w:val="bottom"/>
          </w:tcPr>
          <w:p>
            <w:pPr>
              <w:spacing w:after="0"/>
              <w:rPr>
                <w:sz w:val="1"/>
                <w:szCs w:val="1"/>
                <w:color w:val="auto"/>
              </w:rPr>
            </w:pPr>
          </w:p>
        </w:tc>
      </w:tr>
      <w:tr>
        <w:trPr>
          <w:trHeight w:val="215"/>
        </w:trPr>
        <w:tc>
          <w:tcPr>
            <w:tcW w:w="2940" w:type="dxa"/>
            <w:vAlign w:val="bottom"/>
            <w:tcBorders>
              <w:bottom w:val="single" w:sz="8" w:color="auto"/>
            </w:tcBorders>
            <w:gridSpan w:val="2"/>
            <w:vMerge w:val="continue"/>
          </w:tcPr>
          <w:p>
            <w:pPr>
              <w:spacing w:after="0"/>
              <w:rPr>
                <w:sz w:val="18"/>
                <w:szCs w:val="18"/>
                <w:color w:val="auto"/>
              </w:rPr>
            </w:pPr>
          </w:p>
        </w:tc>
        <w:tc>
          <w:tcPr>
            <w:tcW w:w="2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0" w:type="dxa"/>
            <w:vAlign w:val="bottom"/>
          </w:tcPr>
          <w:p>
            <w:pPr>
              <w:spacing w:after="0"/>
              <w:rPr>
                <w:sz w:val="1"/>
                <w:szCs w:val="1"/>
                <w:color w:val="auto"/>
              </w:rPr>
            </w:pPr>
          </w:p>
        </w:tc>
      </w:tr>
      <w:tr>
        <w:trPr>
          <w:trHeight w:val="122"/>
        </w:trPr>
        <w:tc>
          <w:tcPr>
            <w:tcW w:w="26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7.</w:t>
            </w:r>
          </w:p>
        </w:tc>
        <w:tc>
          <w:tcPr>
            <w:tcW w:w="2680" w:type="dxa"/>
            <w:vAlign w:val="bottom"/>
          </w:tcPr>
          <w:p>
            <w:pPr>
              <w:ind w:left="60"/>
              <w:spacing w:after="0" w:line="123" w:lineRule="exact"/>
              <w:rPr>
                <w:sz w:val="20"/>
                <w:szCs w:val="20"/>
                <w:color w:val="auto"/>
              </w:rPr>
            </w:pPr>
            <w:r>
              <w:rPr>
                <w:rFonts w:ascii="Times New Roman" w:cs="Times New Roman" w:eastAsia="Times New Roman" w:hAnsi="Times New Roman"/>
                <w:sz w:val="14"/>
                <w:szCs w:val="14"/>
                <w:color w:val="auto"/>
              </w:rPr>
              <w:t>Disregarded entity not owned by an</w:t>
            </w:r>
          </w:p>
        </w:tc>
        <w:tc>
          <w:tcPr>
            <w:tcW w:w="2460" w:type="dxa"/>
            <w:vAlign w:val="bottom"/>
          </w:tcPr>
          <w:p>
            <w:pPr>
              <w:ind w:left="140"/>
              <w:spacing w:after="0" w:line="123" w:lineRule="exact"/>
              <w:rPr>
                <w:sz w:val="20"/>
                <w:szCs w:val="20"/>
                <w:color w:val="auto"/>
              </w:rPr>
            </w:pPr>
            <w:r>
              <w:rPr>
                <w:rFonts w:ascii="Times New Roman" w:cs="Times New Roman" w:eastAsia="Times New Roman" w:hAnsi="Times New Roman"/>
                <w:sz w:val="14"/>
                <w:szCs w:val="14"/>
                <w:color w:val="auto"/>
              </w:rPr>
              <w:t>The owner</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2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individual</w:t>
            </w: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8.</w:t>
            </w:r>
          </w:p>
        </w:tc>
        <w:tc>
          <w:tcPr>
            <w:tcW w:w="2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 valid Trust, estate or pension trust</w:t>
            </w:r>
          </w:p>
        </w:tc>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Legal entity(4)</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9.</w:t>
            </w:r>
          </w:p>
        </w:tc>
        <w:tc>
          <w:tcPr>
            <w:tcW w:w="2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Corporate or LLC electing corporate status</w:t>
            </w:r>
          </w:p>
        </w:tc>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corporation</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2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on Form 8832 or Form 2553</w:t>
            </w: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10.</w:t>
            </w:r>
          </w:p>
        </w:tc>
        <w:tc>
          <w:tcPr>
            <w:tcW w:w="2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Association, club, religious, charitable,</w:t>
            </w:r>
          </w:p>
        </w:tc>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organization</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26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education, or</w:t>
            </w: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2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tax-exempt organization</w:t>
            </w: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2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Partnership or multi-member LLC</w:t>
            </w:r>
          </w:p>
        </w:tc>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partnership</w:t>
            </w:r>
          </w:p>
        </w:tc>
        <w:tc>
          <w:tcPr>
            <w:tcW w:w="0" w:type="dxa"/>
            <w:vAlign w:val="bottom"/>
          </w:tcPr>
          <w:p>
            <w:pPr>
              <w:spacing w:after="0"/>
              <w:rPr>
                <w:sz w:val="1"/>
                <w:szCs w:val="1"/>
                <w:color w:val="auto"/>
              </w:rPr>
            </w:pPr>
          </w:p>
        </w:tc>
      </w:tr>
      <w:tr>
        <w:trPr>
          <w:trHeight w:val="257"/>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12.</w:t>
            </w:r>
          </w:p>
        </w:tc>
        <w:tc>
          <w:tcPr>
            <w:tcW w:w="2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 broker or registered nominee</w:t>
            </w:r>
          </w:p>
        </w:tc>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broker or nominee</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13.</w:t>
            </w:r>
          </w:p>
        </w:tc>
        <w:tc>
          <w:tcPr>
            <w:tcW w:w="2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Account with the Department</w:t>
            </w:r>
          </w:p>
        </w:tc>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public entity</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26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of Agriculture in the name of</w:t>
            </w: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26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a public entity (such as a</w:t>
            </w: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26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state or local government,</w:t>
            </w: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26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school district or prison) that receives</w:t>
            </w: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2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agricultural program payments</w:t>
            </w: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14.</w:t>
            </w:r>
          </w:p>
        </w:tc>
        <w:tc>
          <w:tcPr>
            <w:tcW w:w="2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Grantor trust filing under the Form 1041</w:t>
            </w:r>
          </w:p>
        </w:tc>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trust</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26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Filing method or the Optional Form 1099</w:t>
            </w: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26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Filing Method 2 (see Regulations section</w:t>
            </w: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2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1.671-4(b)(2)(i)(B))</w:t>
            </w: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2"/>
        </w:trPr>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284" w:space="340"/>
            <w:col w:w="5400"/>
          </w:cols>
          <w:pgMar w:left="436" w:top="266" w:right="439" w:bottom="1440" w:gutter="0" w:footer="0" w:header="0"/>
          <w:type w:val="continuous"/>
        </w:sectPr>
      </w:pPr>
    </w:p>
    <w:p>
      <w:pPr>
        <w:spacing w:after="0" w:line="317" w:lineRule="exact"/>
        <w:rPr>
          <w:sz w:val="20"/>
          <w:szCs w:val="20"/>
          <w:color w:val="auto"/>
        </w:rPr>
      </w:pPr>
    </w:p>
    <w:p>
      <w:pPr>
        <w:ind w:left="424" w:hanging="424"/>
        <w:spacing w:after="0"/>
        <w:tabs>
          <w:tab w:leader="none" w:pos="424"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List first and circle the name of the person whose number you furnish. If only one person on a joint account has a SSN, that person’s number must be furnished.</w:t>
      </w:r>
    </w:p>
    <w:p>
      <w:pPr>
        <w:spacing w:after="0" w:line="3" w:lineRule="exact"/>
        <w:rPr>
          <w:rFonts w:ascii="Times New Roman" w:cs="Times New Roman" w:eastAsia="Times New Roman" w:hAnsi="Times New Roman"/>
          <w:sz w:val="14"/>
          <w:szCs w:val="14"/>
          <w:color w:val="auto"/>
        </w:rPr>
      </w:pPr>
    </w:p>
    <w:p>
      <w:pPr>
        <w:ind w:left="424" w:hanging="424"/>
        <w:spacing w:after="0" w:line="221" w:lineRule="auto"/>
        <w:tabs>
          <w:tab w:leader="none" w:pos="424"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Circle the minor’s name and furnish the minor’s SSN.</w:t>
      </w:r>
    </w:p>
    <w:p>
      <w:pPr>
        <w:ind w:left="424" w:right="280" w:hanging="424"/>
        <w:spacing w:after="0" w:line="221" w:lineRule="auto"/>
        <w:tabs>
          <w:tab w:leader="none" w:pos="424"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must show your individual name, but you may also enter your business or “doing business as” name on the “Business name/disregarded entity” name line. You may use either your SSN or employer identification number (if you have one), but the IRS encourages you to use your SSN.</w:t>
      </w:r>
    </w:p>
    <w:p>
      <w:pPr>
        <w:ind w:left="424" w:right="220" w:hanging="424"/>
        <w:spacing w:after="0" w:line="239" w:lineRule="auto"/>
        <w:tabs>
          <w:tab w:leader="none" w:pos="424"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List first and circle the name of the trust, estate or pension trust. (Do not furnish the TIN of the personal representative or trustee unless the legal entity itself is not designated in the account title.)</w:t>
      </w:r>
    </w:p>
    <w:p>
      <w:pPr>
        <w:spacing w:after="0" w:line="204"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*NOTE:</w:t>
      </w:r>
      <w:r>
        <w:rPr>
          <w:sz w:val="20"/>
          <w:szCs w:val="20"/>
          <w:color w:val="auto"/>
        </w:rPr>
        <w:tab/>
      </w:r>
      <w:r>
        <w:rPr>
          <w:rFonts w:ascii="Times New Roman" w:cs="Times New Roman" w:eastAsia="Times New Roman" w:hAnsi="Times New Roman"/>
          <w:sz w:val="18"/>
          <w:szCs w:val="18"/>
          <w:color w:val="auto"/>
        </w:rPr>
        <w:t>Grantor must also provide a Form W-9 to trustee of trust.</w:t>
      </w:r>
    </w:p>
    <w:p>
      <w:pPr>
        <w:spacing w:after="0" w:line="31" w:lineRule="exact"/>
        <w:rPr>
          <w:sz w:val="20"/>
          <w:szCs w:val="20"/>
          <w:color w:val="auto"/>
        </w:rPr>
      </w:pPr>
    </w:p>
    <w:p>
      <w:pPr>
        <w:ind w:left="984" w:right="160" w:hanging="899"/>
        <w:spacing w:after="0" w:line="260" w:lineRule="auto"/>
        <w:tabs>
          <w:tab w:leader="none" w:pos="964" w:val="left"/>
        </w:tabs>
        <w:rPr>
          <w:sz w:val="20"/>
          <w:szCs w:val="20"/>
          <w:color w:val="auto"/>
        </w:rPr>
      </w:pPr>
      <w:r>
        <w:rPr>
          <w:rFonts w:ascii="Times New Roman" w:cs="Times New Roman" w:eastAsia="Times New Roman" w:hAnsi="Times New Roman"/>
          <w:sz w:val="18"/>
          <w:szCs w:val="18"/>
          <w:b w:val="1"/>
          <w:bCs w:val="1"/>
          <w:color w:val="auto"/>
        </w:rPr>
        <w:t>NOTE:</w:t>
      </w:r>
      <w:r>
        <w:rPr>
          <w:sz w:val="20"/>
          <w:szCs w:val="20"/>
          <w:color w:val="auto"/>
        </w:rPr>
        <w:tab/>
      </w:r>
      <w:r>
        <w:rPr>
          <w:rFonts w:ascii="Times New Roman" w:cs="Times New Roman" w:eastAsia="Times New Roman" w:hAnsi="Times New Roman"/>
          <w:sz w:val="18"/>
          <w:szCs w:val="18"/>
          <w:color w:val="auto"/>
        </w:rPr>
        <w:t>IF NO NAME IS CIRCLED WHEN MORE THAN ONE NAME IS LISTED, THE NUMBER WILL BE CONSIDERED TO BE THAT OF THE FIRST NAME LISTED.</w:t>
      </w:r>
    </w:p>
    <w:p>
      <w:pPr>
        <w:spacing w:after="0" w:line="11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4"/>
          </w:cols>
          <w:pgMar w:left="436" w:top="266" w:right="439" w:bottom="144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INSTRUCTIONS AND GUIDELINES FOR CERTIFICATION OF TAXPAYER IDENTIFICATION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Form</w:t>
      </w:r>
    </w:p>
    <w:p>
      <w:pPr>
        <w:spacing w:after="0" w:line="121"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A person who is required to file an information return with the IRS must get your correct TIN to report, for example, income paid to you, real estate transactions, mortgage interest you paid, acquisition or abandonment of secured property, cancellation of debt or contributions you made to an individual retirement account. Use Substitute Form W-9 to give your correct TIN to the person requesting your TIN and, when applicable, (1) to certify the TIN you are giving is correct (or you are waiting for a number to be issued), (2) to certify you are not subject to backup withholding or (3) to claim exemption from backup withholding if you are an exempt payee. The TIN must match the name given on the Substitute Form W-9.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Obtaining a Number</w:t>
      </w:r>
    </w:p>
    <w:p>
      <w:pPr>
        <w:spacing w:after="0" w:line="121" w:lineRule="exact"/>
        <w:rPr>
          <w:sz w:val="20"/>
          <w:szCs w:val="20"/>
          <w:color w:val="auto"/>
        </w:rPr>
      </w:pPr>
    </w:p>
    <w:p>
      <w:pPr>
        <w:ind w:firstLine="440"/>
        <w:spacing w:after="0" w:line="276" w:lineRule="auto"/>
        <w:rPr>
          <w:sz w:val="20"/>
          <w:szCs w:val="20"/>
          <w:color w:val="auto"/>
        </w:rPr>
      </w:pPr>
      <w:r>
        <w:rPr>
          <w:rFonts w:ascii="Times New Roman" w:cs="Times New Roman" w:eastAsia="Times New Roman" w:hAnsi="Times New Roman"/>
          <w:sz w:val="17"/>
          <w:szCs w:val="17"/>
          <w:color w:val="auto"/>
        </w:rPr>
        <w:t>If you do not have a TIN, apply for one immediately. To apply for an SSN, obtain IRS Form SS-5, Application for a Social Security Number Card, at the local office of the Social Security Administration or on-line at www.socialsecurity.gov/online/ss-5.pdf. You may also get this form by calling</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1-800-772-1213. Use IRS Form W-7, Application for IRS Individual Taxpayer Identification Number (“ITIN”) to apply for an ITIN or IRS Form SS-4, Application for Employer Identification Number, to apply for an EIN. You can get IRS Forms W-7 and SS-4 from the IRS by calling 1-800-TAX-FORM (1-800-829-3676) or from the IRS website at www.irs.gov.</w:t>
      </w:r>
    </w:p>
    <w:p>
      <w:pPr>
        <w:spacing w:after="0" w:line="18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If you do not have a number, apply for a TIN and write “Applied For” in the space for the TIN in Part I, complete the “Certificate of Awaiting Taxpayer Identification Number”, and sign and date the Substitute Form W-9 and return it to the payor. You must provide a payor with a TIN within 60 days. During this 60-day period, a payor has two options for withholding on reportable interest or dividend payments:</w:t>
      </w:r>
    </w:p>
    <w:p>
      <w:pPr>
        <w:spacing w:after="0" w:line="81" w:lineRule="exact"/>
        <w:rPr>
          <w:sz w:val="20"/>
          <w:szCs w:val="20"/>
          <w:color w:val="auto"/>
        </w:rPr>
      </w:pPr>
    </w:p>
    <w:p>
      <w:pPr>
        <w:ind w:left="960" w:right="220" w:hanging="532"/>
        <w:spacing w:after="0" w:line="282"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payor must backup withhold on any withdrawals you make from the account after 7 business days after a payor receives the Substitute Form W-9: or</w:t>
      </w:r>
    </w:p>
    <w:p>
      <w:pPr>
        <w:spacing w:after="0" w:line="67" w:lineRule="exact"/>
        <w:rPr>
          <w:rFonts w:ascii="Times New Roman" w:cs="Times New Roman" w:eastAsia="Times New Roman" w:hAnsi="Times New Roman"/>
          <w:sz w:val="18"/>
          <w:szCs w:val="18"/>
          <w:color w:val="auto"/>
        </w:rPr>
      </w:pPr>
    </w:p>
    <w:p>
      <w:pPr>
        <w:ind w:left="960" w:right="80" w:hanging="532"/>
        <w:spacing w:after="0" w:line="266"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payor must backup withhold on any reportable interest or dividend payments made to your account, regardless of whether you make any withdrawals. Under this option, backup withholding must begin no later than 7 business days after a payor receives the Substitute Form W-9.</w:t>
      </w:r>
    </w:p>
    <w:p>
      <w:pPr>
        <w:spacing w:after="0" w:line="176"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With respect to other reportable payments, if a payor does not receive your TIN within the 60 days, a payor must backup withhold until you furnish your TIN.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NOTE: A domestic entity that is disregarded for U.S. federal income tax purposes that has a foreign owner must use the appropriate Form W-8.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For interest, dividends and broker transactions, you must sign the certification or backup withholding will apply. If you are subject to backup withholding and you are merely providing your correct TIN to a payor, you must cross out item 2 in Part III before signing the form.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Payees and Payments Exempt from Backup Withholding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Payees specifically exempted from backup withholding on ALL payments include the following:</w:t>
      </w:r>
    </w:p>
    <w:p>
      <w:pPr>
        <w:spacing w:after="0" w:line="131" w:lineRule="exact"/>
        <w:rPr>
          <w:sz w:val="20"/>
          <w:szCs w:val="20"/>
          <w:color w:val="auto"/>
        </w:rPr>
      </w:pPr>
    </w:p>
    <w:p>
      <w:pPr>
        <w:jc w:val="both"/>
        <w:ind w:left="960" w:right="160" w:hanging="424"/>
        <w:spacing w:after="0" w:line="266"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organization exempt from tax under section 501(a) of the Internal Revenue Code of 1986, as amended (the “Code”), or an individual retirement account (“IRA”) or a custodial account under section 403(b)(7) of the Code if the account satisfies the requirements of section 401(f)(2) of the Code.</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or any of its agencies or instrumentalities.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70" w:name="page71"/>
    <w:bookmarkEnd w:id="70"/>
    <w:p>
      <w:pPr>
        <w:ind w:left="960" w:hanging="424"/>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State, the District of Columbia, a possession of the United States or any of their political subdivisions or instrumentalities.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government or any of its political subdivisions, agencies or instrumentalities.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international organization or any of its wholly owned agencies or instrumentalities.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payees that may be exempt from backup withholding include the following:</w:t>
      </w:r>
    </w:p>
    <w:p>
      <w:pPr>
        <w:spacing w:after="0" w:line="131" w:lineRule="exact"/>
        <w:rPr>
          <w:sz w:val="20"/>
          <w:szCs w:val="20"/>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central bank of issue.</w:t>
      </w:r>
    </w:p>
    <w:p>
      <w:pPr>
        <w:spacing w:after="0" w:line="130"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in securities or commodities required to register in the United States, the District of Columbia or a possession of the United States.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futures commission merchant registered with the Commodity Futures Trading Commission.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registered at all times during the tax year under the Investment Company Act of 1940.</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common trust fund operated by a bank under section 584(a) of the Code.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middleman known in the investment community as a nominee or custodian.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exempt from tax under section 664 or described in section 4947 of the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of interest not generally subject to backup withholding include the following:</w:t>
      </w:r>
    </w:p>
    <w:p>
      <w:pPr>
        <w:spacing w:after="0" w:line="131" w:lineRule="exact"/>
        <w:rPr>
          <w:sz w:val="20"/>
          <w:szCs w:val="20"/>
          <w:color w:val="auto"/>
        </w:rPr>
      </w:pPr>
    </w:p>
    <w:p>
      <w:pPr>
        <w:ind w:left="960" w:right="280" w:hanging="424"/>
        <w:spacing w:after="0" w:line="282"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interest on obligations issued by individuals. NOTE: You may be subject to backup withholding if this interest is $600 or more and is paid in the course of the payor’s trade or business and you have not provided your current TIN to the payor.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described in section 6049(b)(5) of the Code to non-resident aliens.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on tax-free covenant bonds under section 1451 of the Code.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by certain foreign organizations.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or student loan interest paid to you.</w:t>
      </w:r>
    </w:p>
    <w:p>
      <w:pPr>
        <w:spacing w:after="0" w:line="225"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EXEMPT PAYEES DESCRIBED ABOVE SHOULD FILE A SUBSTITUTE FORM W-9 OR FORM W-8 TO AVOID POSSIBLE ERRONEOUS BACKUP WITHHOLDING. FILE THIS FORM WITH THE PAYOR. FURNISH YOUR TIN. ALSO SIGN AND DATE THE FORM.</w:t>
      </w:r>
    </w:p>
    <w:p>
      <w:pPr>
        <w:spacing w:after="0" w:line="14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Certain payments that are not subject to information reporting are also not subject to backup withholding. For details, see sections 6041, 6041A, 6042, 6044, 6045, 6049, 6050A, 6050N and 6050W of the Code and their regulations.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Act Notice</w:t>
      </w:r>
    </w:p>
    <w:p>
      <w:pPr>
        <w:spacing w:after="0" w:line="121"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Section 6109 of the Code requires you to provide your correct TIN to persons (including federal agencies) who are required to file information returns with the IRS to report interest, dividends or certain other income paid to you; mortgage interest you paid; the acquisition or abandonment of secured property; the cancellation of debt; or contributions you made to an IRA, Archer MSA or HSA. The person collecting this form uses the information on the form to file information returns with the IRS, reporting the above information. Routine uses of this information include giving it to the Department of Justice for civil and criminal litigation and to cities, states, the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440" w:top="270" w:right="559" w:bottom="1440" w:gutter="0" w:footer="0" w:header="0"/>
        </w:sectPr>
      </w:pPr>
    </w:p>
    <w:bookmarkStart w:id="71" w:name="page72"/>
    <w:bookmarkEnd w:id="71"/>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District of Columbia and U.S. possessions for use in administering their laws. The information also may be disclosed to other countries under a treaty, to federal and state agencies to enforce civil and criminal laws or to federal law enforcement and intelligence agencies to combat terrorism. You must provide your TIN whether or not you are required to file a tax return. Under section 3406, payers must generally withhold a percentage of taxable interest, dividend and certain other payments to a payee who does not give a TIN to the payer. Certain penalties may also apply for providing false or fraudulent information.</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Penalties</w:t>
      </w:r>
    </w:p>
    <w:p>
      <w:pPr>
        <w:spacing w:after="0" w:line="131" w:lineRule="exact"/>
        <w:rPr>
          <w:sz w:val="20"/>
          <w:szCs w:val="20"/>
          <w:color w:val="auto"/>
        </w:rPr>
      </w:pPr>
    </w:p>
    <w:p>
      <w:pPr>
        <w:ind w:left="424" w:right="100" w:hanging="424"/>
        <w:spacing w:after="0" w:line="286" w:lineRule="auto"/>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Penalty for Failure to Furnish Taxpayer Identification Number. </w:t>
      </w:r>
      <w:r>
        <w:rPr>
          <w:rFonts w:ascii="Times New Roman" w:cs="Times New Roman" w:eastAsia="Times New Roman" w:hAnsi="Times New Roman"/>
          <w:sz w:val="18"/>
          <w:szCs w:val="18"/>
          <w:color w:val="auto"/>
        </w:rPr>
        <w:t>If you fail to furnish your correct TIN to a payor, you are subject to a penalty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$50 for each such failure unless your failure is due to reasonable cause and not to willful neglect.</w:t>
      </w:r>
    </w:p>
    <w:p>
      <w:pPr>
        <w:spacing w:after="0" w:line="60" w:lineRule="exact"/>
        <w:rPr>
          <w:rFonts w:ascii="Times New Roman" w:cs="Times New Roman" w:eastAsia="Times New Roman" w:hAnsi="Times New Roman"/>
          <w:sz w:val="18"/>
          <w:szCs w:val="18"/>
          <w:color w:val="auto"/>
        </w:rPr>
      </w:pPr>
    </w:p>
    <w:p>
      <w:pPr>
        <w:ind w:left="424" w:right="360" w:hanging="424"/>
        <w:spacing w:after="0" w:line="286" w:lineRule="auto"/>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Civil Penalty for False Information with Respect to Withholding. </w:t>
      </w:r>
      <w:r>
        <w:rPr>
          <w:rFonts w:ascii="Times New Roman" w:cs="Times New Roman" w:eastAsia="Times New Roman" w:hAnsi="Times New Roman"/>
          <w:sz w:val="18"/>
          <w:szCs w:val="18"/>
          <w:color w:val="auto"/>
        </w:rPr>
        <w:t>If you make a false statement with no reasonable basis that results in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backup withholding, you are subject to a penalty of $500.</w:t>
      </w:r>
    </w:p>
    <w:p>
      <w:pPr>
        <w:spacing w:after="0" w:line="60" w:lineRule="exact"/>
        <w:rPr>
          <w:rFonts w:ascii="Times New Roman" w:cs="Times New Roman" w:eastAsia="Times New Roman" w:hAnsi="Times New Roman"/>
          <w:sz w:val="18"/>
          <w:szCs w:val="18"/>
          <w:color w:val="auto"/>
        </w:rPr>
      </w:pPr>
    </w:p>
    <w:p>
      <w:pPr>
        <w:ind w:left="424" w:right="120" w:hanging="424"/>
        <w:spacing w:after="0" w:line="286" w:lineRule="auto"/>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Criminal Penalty for Falsifying Information. </w:t>
      </w:r>
      <w:r>
        <w:rPr>
          <w:rFonts w:ascii="Times New Roman" w:cs="Times New Roman" w:eastAsia="Times New Roman" w:hAnsi="Times New Roman"/>
          <w:sz w:val="18"/>
          <w:szCs w:val="18"/>
          <w:color w:val="auto"/>
        </w:rPr>
        <w:t>Willfully falsifying certifications or affirmations may subject you to criminal penalties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fines and/or imprisonment.</w:t>
      </w:r>
    </w:p>
    <w:p>
      <w:pPr>
        <w:spacing w:after="0" w:line="60" w:lineRule="exact"/>
        <w:rPr>
          <w:rFonts w:ascii="Times New Roman" w:cs="Times New Roman" w:eastAsia="Times New Roman" w:hAnsi="Times New Roman"/>
          <w:sz w:val="18"/>
          <w:szCs w:val="18"/>
          <w:color w:val="auto"/>
        </w:rPr>
      </w:pPr>
    </w:p>
    <w:p>
      <w:pPr>
        <w:ind w:left="424" w:right="280" w:hanging="424"/>
        <w:spacing w:after="0" w:line="286" w:lineRule="auto"/>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Misuse of Tax Identification Numbers. </w:t>
      </w:r>
      <w:r>
        <w:rPr>
          <w:rFonts w:ascii="Times New Roman" w:cs="Times New Roman" w:eastAsia="Times New Roman" w:hAnsi="Times New Roman"/>
          <w:sz w:val="18"/>
          <w:szCs w:val="18"/>
          <w:color w:val="auto"/>
        </w:rPr>
        <w:t>If the requester discloses or uses your TIN in violation of federal law, the requester may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civil and criminal penalties.</w:t>
      </w:r>
    </w:p>
    <w:p>
      <w:pPr>
        <w:spacing w:after="0" w:line="15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FOR ADDITIONAL INFORMATION CONTACT YOUR TAX ADVISOR OR THE IRS.</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70" w:right="47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Union Pacific Corporation</w:t>
      </w:r>
    </w:p>
    <w:p>
      <w:pPr>
        <w:spacing w:after="0" w:line="225"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Offer to Exchange up to $1,047,453,000 Principal Amount Outstanding of 2.973% Notes due 2062 for a Like Principal Amount of 2.973% Notes due 2062 which have been registered under the Securities Act of 1933.</w:t>
      </w:r>
    </w:p>
    <w:p>
      <w:pPr>
        <w:spacing w:after="0" w:line="17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Pursuant to the Prospectus, dated [_______],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Clients: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Enclosed for your consideration is a Prospectus dated [_________], 2021 (the “Prospectus”) and the related letter of transmittal (the “Letter of</w:t>
      </w:r>
    </w:p>
    <w:p>
      <w:pPr>
        <w:spacing w:after="0" w:line="2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Transmittal”) relating to the offer of Union Pacific Corporation, a Utah corporation (the “Company”), to exchange up to $1,047,453,000 aggregate principal amount of registered 2.973% Notes due 2062 of the Company, which will be freely transferable (the “Exchange Notes”), for any and all of the Company’s outstanding 2.973% Notes due 2062, which have certain transfer restrictions (the “Original Notes”), upon the terms and subject to the conditions described in the Prospectus and the related Letter of Transmittal (the “ Exchange Offer”). The Exchange Offer is intended to satisfy certain obligations of the Company contained in the Registration Rights Agreement, dated as of September 16, 2020, among the Company, Credit Suisse Securities (USA) LLC and Wells Fargo Securities, LLC, as lead dealer managers, and the other dealer managers listed on Schedule I thereto.</w:t>
      </w:r>
    </w:p>
    <w:p>
      <w:pPr>
        <w:spacing w:after="0" w:line="190"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This material is being forwarded to you as the beneficial owner of the Original Notes carried by us for your account but not registered in your name. A tender of such Original Notes may only be made by us as the holder of record and pursuant to your instructions, unless you obtain a properly completed bond power from us or arrange to have the Original Notes registered in your name.</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Accordingly, we request instructions as to whether you wish us to tender on your behalf the Original Notes held by us for your account, pursuant to the terms and conditions set forth in the enclosed Prospectus and Letter of Transmittal.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Please forward your instructions to us as promptly as possible in order to permit us to tender the Original Notes on your behalf in accordance with</w:t>
      </w:r>
    </w:p>
    <w:p>
      <w:pPr>
        <w:spacing w:after="0" w:line="2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provisions of the Exchange Offer. The Exchange Offer will expire at 5:00 p.m., New York City time, on [ ], 2021, unless extended by the Company (such date and time, as it may be extended, the “Expiration Date”). Any Original Notes tendered pursuant to the Exchange Offer may be withdrawn any time prior to the Expiration Date.</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Your attention is directed to the following:</w:t>
      </w:r>
    </w:p>
    <w:p>
      <w:pPr>
        <w:spacing w:after="0" w:line="117" w:lineRule="exact"/>
        <w:rPr>
          <w:sz w:val="20"/>
          <w:szCs w:val="20"/>
          <w:color w:val="auto"/>
        </w:rPr>
      </w:pPr>
    </w:p>
    <w:p>
      <w:pPr>
        <w:ind w:left="620" w:hanging="184"/>
        <w:spacing w:after="0"/>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is for any and all Original Notes.</w:t>
      </w:r>
    </w:p>
    <w:p>
      <w:pPr>
        <w:spacing w:after="0" w:line="225" w:lineRule="exact"/>
        <w:rPr>
          <w:rFonts w:ascii="Times New Roman" w:cs="Times New Roman" w:eastAsia="Times New Roman" w:hAnsi="Times New Roman"/>
          <w:sz w:val="18"/>
          <w:szCs w:val="18"/>
          <w:color w:val="auto"/>
        </w:rPr>
      </w:pPr>
    </w:p>
    <w:p>
      <w:pPr>
        <w:ind w:right="40" w:firstLine="436"/>
        <w:spacing w:after="0" w:line="282" w:lineRule="auto"/>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is subject to certain conditions set forth in the Prospectus in the section captioned “The Exchange Offer—Conditions to the Exchange Offer.”</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expires at 5:00 p.m., New York City time, on the Expiration Date, unless extended by the Company.</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If you wish to have us tender your Original Notes, please instruct us to do so by completing, executing and returning to us the instruction form on the back of this letter.</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Letter of Transmittal is furnished to you for information only and may not be used directly by you to tender Original Notes, unless you obtain a properly completed bond power from us or arrange to have the Original Notes registered in your name.</w:t>
      </w:r>
    </w:p>
    <w:p>
      <w:pPr>
        <w:sectPr>
          <w:pgSz w:w="11900" w:h="16838" w:orient="portrait"/>
          <w:cols w:equalWidth="0" w:num="1">
            <w:col w:w="11020"/>
          </w:cols>
          <w:pgMar w:left="440" w:top="117" w:right="4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INSTRUCTIONS WITH RESPECT TO THE EXCHANGE OFFER</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 undersigned acknowledge(s) receipt of this letter and the enclosed materials referred to herein relating to the Exchange Offer made by the Company with respect to the Original Notes.</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This will instruct you to tender the Original Notes held by you for the account of the undersigned, upon and subject to the terms and conditions set forth in the Prospectus and the related Letter of Transmittal.</w:t>
      </w:r>
    </w:p>
    <w:p>
      <w:pPr>
        <w:spacing w:after="0" w:line="162" w:lineRule="exact"/>
        <w:rPr>
          <w:sz w:val="20"/>
          <w:szCs w:val="20"/>
          <w:color w:val="auto"/>
        </w:rPr>
      </w:pPr>
    </w:p>
    <w:p>
      <w:pPr>
        <w:ind w:left="640" w:hanging="204"/>
        <w:spacing w:after="0"/>
        <w:tabs>
          <w:tab w:leader="none" w:pos="640" w:val="left"/>
        </w:tabs>
        <w:numPr>
          <w:ilvl w:val="0"/>
          <w:numId w:val="5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Please tender the Original Notes held by you for the account of the undersigned as indicated below:</w:t>
      </w:r>
    </w:p>
    <w:p>
      <w:pPr>
        <w:spacing w:after="0" w:line="252" w:lineRule="exact"/>
        <w:rPr>
          <w:sz w:val="20"/>
          <w:szCs w:val="20"/>
          <w:color w:val="auto"/>
        </w:rPr>
      </w:pPr>
    </w:p>
    <w:p>
      <w:pPr>
        <w:ind w:left="4420" w:right="420"/>
        <w:spacing w:after="0" w:line="282" w:lineRule="auto"/>
        <w:rPr>
          <w:sz w:val="20"/>
          <w:szCs w:val="20"/>
          <w:color w:val="auto"/>
        </w:rPr>
      </w:pPr>
      <w:r>
        <w:rPr>
          <w:rFonts w:ascii="Times New Roman" w:cs="Times New Roman" w:eastAsia="Times New Roman" w:hAnsi="Times New Roman"/>
          <w:sz w:val="18"/>
          <w:szCs w:val="18"/>
          <w:color w:val="auto"/>
        </w:rPr>
        <w:t>Aggregate Principal Amount of Original Notes (must be in an amount equal to $1,000 principal amount or integral multiples of $1,000 in excess thereof)</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-7620</wp:posOffset>
            </wp:positionV>
            <wp:extent cx="34848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3484880" cy="8255"/>
                    </a:xfrm>
                    <a:prstGeom prst="rect">
                      <a:avLst/>
                    </a:prstGeom>
                    <a:noFill/>
                  </pic:spPr>
                </pic:pic>
              </a:graphicData>
            </a:graphic>
          </wp:anchor>
        </w:drawing>
        <w:drawing>
          <wp:anchor simplePos="0" relativeHeight="251657728" behindDoc="1" locked="0" layoutInCell="0" allowOverlap="1">
            <wp:simplePos x="0" y="0"/>
            <wp:positionH relativeFrom="column">
              <wp:posOffset>2954655</wp:posOffset>
            </wp:positionH>
            <wp:positionV relativeFrom="paragraph">
              <wp:posOffset>128905</wp:posOffset>
            </wp:positionV>
            <wp:extent cx="4000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2.973% Notes due 2062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hanging="204"/>
        <w:spacing w:after="0"/>
        <w:tabs>
          <w:tab w:leader="none" w:pos="640" w:val="left"/>
        </w:tabs>
        <w:numPr>
          <w:ilvl w:val="0"/>
          <w:numId w:val="5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Please do not tender any Original Notes held by you for the account of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308610</wp:posOffset>
            </wp:positionV>
            <wp:extent cx="26828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4309110</wp:posOffset>
            </wp:positionH>
            <wp:positionV relativeFrom="paragraph">
              <wp:posOffset>531495</wp:posOffset>
            </wp:positionV>
            <wp:extent cx="26828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222885</wp:posOffset>
            </wp:positionV>
            <wp:extent cx="26828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4309110</wp:posOffset>
            </wp:positionH>
            <wp:positionV relativeFrom="paragraph">
              <wp:posOffset>445770</wp:posOffset>
            </wp:positionV>
            <wp:extent cx="26828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8"/>
          <w:szCs w:val="18"/>
          <w:color w:val="auto"/>
        </w:rPr>
        <w:t>Please print name(s) here</w:t>
      </w:r>
    </w:p>
    <w:p>
      <w:pPr>
        <w:spacing w:after="0" w:line="27" w:lineRule="exact"/>
        <w:rPr>
          <w:sz w:val="20"/>
          <w:szCs w:val="20"/>
          <w:color w:val="auto"/>
        </w:rPr>
      </w:pPr>
    </w:p>
    <w:p>
      <w:pPr>
        <w:ind w:left="7160"/>
        <w:spacing w:after="0"/>
        <w:tabs>
          <w:tab w:leader="none" w:pos="83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211455</wp:posOffset>
            </wp:positionV>
            <wp:extent cx="26828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4309110</wp:posOffset>
            </wp:positionH>
            <wp:positionV relativeFrom="paragraph">
              <wp:posOffset>434340</wp:posOffset>
            </wp:positionV>
            <wp:extent cx="26828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222885</wp:posOffset>
            </wp:positionV>
            <wp:extent cx="26828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Area Code(s) and 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222885</wp:posOffset>
            </wp:positionV>
            <wp:extent cx="26828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4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7"/>
          <w:szCs w:val="17"/>
          <w:color w:val="auto"/>
        </w:rPr>
        <w:t>Tax Identification or Social Security No(s).</w:t>
      </w:r>
    </w:p>
    <w:p>
      <w:pPr>
        <w:spacing w:after="0" w:line="23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None of the Original Notes held by us for your account will be tendered unless we receive written instructions from you to do so. Unless a specific contrary instruction is given in the space provided, your signature(s) hereon shall constitute an instruction to us to tender all the Original Notes held by us for your account.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Union Pacific Corporation</w:t>
      </w:r>
    </w:p>
    <w:p>
      <w:pPr>
        <w:spacing w:after="0" w:line="225"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Offer to Exchange up to $1,047,453,000 Principal Amount Outstanding of 2.973% Notes due 2062 for a Like Principal Amount of 2.973% Notes due 2062 which have been registered under the Securities Act of 1933.</w:t>
      </w:r>
    </w:p>
    <w:p>
      <w:pPr>
        <w:spacing w:after="0" w:line="17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Pursuant to the Prospectus, dated [_________],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Brokers, Dealers, Commercial Banks, Trust Companies and Other Nominees:</w:t>
      </w:r>
    </w:p>
    <w:p>
      <w:pPr>
        <w:spacing w:after="0" w:line="117" w:lineRule="exact"/>
        <w:rPr>
          <w:sz w:val="20"/>
          <w:szCs w:val="20"/>
          <w:color w:val="auto"/>
        </w:rPr>
      </w:pPr>
    </w:p>
    <w:p>
      <w:pPr>
        <w:ind w:right="200" w:firstLine="440"/>
        <w:spacing w:after="0" w:line="255" w:lineRule="auto"/>
        <w:rPr>
          <w:sz w:val="20"/>
          <w:szCs w:val="20"/>
          <w:color w:val="auto"/>
        </w:rPr>
      </w:pPr>
      <w:r>
        <w:rPr>
          <w:rFonts w:ascii="Times New Roman" w:cs="Times New Roman" w:eastAsia="Times New Roman" w:hAnsi="Times New Roman"/>
          <w:sz w:val="18"/>
          <w:szCs w:val="18"/>
          <w:color w:val="auto"/>
        </w:rPr>
        <w:t>Union Pacific Corporation, a Utah corporation (the “Company”), hereby offers to exchange up to $1,047,453,000 aggregate principal amount of registered 2.973% Notes due 2062 of the Company, which will be freely transferable (the “Exchange Notes”), for any and all of the Company’s outstanding 2.973% Notes due 2062, which have certain transfer restrictions (the “Original Notes”), upon the terms and subject to the conditions described in the Prospectus [_________], 2021 (the “Prospectus”) and the related letter of transmittal (the “Exchange Offer”). The Exchange Offer is</w:t>
      </w:r>
    </w:p>
    <w:p>
      <w:pPr>
        <w:spacing w:after="0" w:line="3" w:lineRule="exact"/>
        <w:rPr>
          <w:sz w:val="20"/>
          <w:szCs w:val="20"/>
          <w:color w:val="auto"/>
        </w:rPr>
      </w:pPr>
    </w:p>
    <w:p>
      <w:pPr>
        <w:jc w:val="both"/>
        <w:ind w:right="440"/>
        <w:spacing w:after="0" w:line="255" w:lineRule="auto"/>
        <w:rPr>
          <w:sz w:val="20"/>
          <w:szCs w:val="20"/>
          <w:color w:val="auto"/>
        </w:rPr>
      </w:pPr>
      <w:r>
        <w:rPr>
          <w:rFonts w:ascii="Times New Roman" w:cs="Times New Roman" w:eastAsia="Times New Roman" w:hAnsi="Times New Roman"/>
          <w:sz w:val="18"/>
          <w:szCs w:val="18"/>
          <w:color w:val="auto"/>
        </w:rPr>
        <w:t>intended to satisfy certain obligations of the Company contained in the Registration Rights Agreement, dated as of September 16, 2020, among the Company, Credit Suisse Securities (USA) LLC and Wells Fargo Securities, LLC, as lead dealer managers, and the other dealer managers listed on Schedule I thereto.</w:t>
      </w:r>
    </w:p>
    <w:p>
      <w:pPr>
        <w:spacing w:after="0" w:line="186"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We are requesting that you contact your clients for whom you hold Original Notes regarding the Exchange Offer. For your information and for forwarding to your clients for whom you hold Original Notes registered in your name or in the name of your nominee, or who hold Original Notes registered in their own names, we are enclosing the following documents:</w:t>
      </w:r>
    </w:p>
    <w:p>
      <w:pPr>
        <w:spacing w:after="0" w:line="68" w:lineRule="exact"/>
        <w:rPr>
          <w:sz w:val="20"/>
          <w:szCs w:val="20"/>
          <w:color w:val="auto"/>
        </w:rPr>
      </w:pPr>
    </w:p>
    <w:p>
      <w:pPr>
        <w:ind w:left="620" w:hanging="184"/>
        <w:spacing w:after="0"/>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Prospectus dated [_________], 2021;</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letter of transmittal (the “Letter of Transmittal”) for your use and for the information of your clients;</w:t>
      </w:r>
    </w:p>
    <w:p>
      <w:pPr>
        <w:spacing w:after="0" w:line="225" w:lineRule="exact"/>
        <w:rPr>
          <w:rFonts w:ascii="Times New Roman" w:cs="Times New Roman" w:eastAsia="Times New Roman" w:hAnsi="Times New Roman"/>
          <w:sz w:val="18"/>
          <w:szCs w:val="18"/>
          <w:color w:val="auto"/>
        </w:rPr>
      </w:pPr>
    </w:p>
    <w:p>
      <w:pPr>
        <w:ind w:right="440" w:firstLine="436"/>
        <w:spacing w:after="0" w:line="282" w:lineRule="auto"/>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letter which may be sent to your clients for whose account you hold Original Notes registered in your name or the name of your nominee, with space provided for obtaining such clients’ instructions with regard to the Exchange Offer;</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Guidelines for Certification of Taxpayer Identification Number on Substitute Form W-9; and</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envelopes addressed to The Bank of New York Mellon Trust Company, N.A., the Exchange Agent.</w:t>
      </w:r>
    </w:p>
    <w:p>
      <w:pPr>
        <w:spacing w:after="0" w:line="225"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Your prompt action is requested. The Exchange Offer will expire at 5:00 p.m., New York City time, on [ ], 2021, unless extended by the Company (such date and time, as it may be extended, the “Expiration Date”). Any Original Notes tendered pursuant to the Exchange Offer may be withdrawn at any time prior to the Expiration Date.</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To participate in the Exchange Offer, a duly executed and properly completed Letter of Transmittal (or facsimile thereof), with any required signature guarantees, and any other documents required by the Letter of Transmittal or an agent’s message from The Depository Trust Company stating that the tendering holder has expressly acknowledged receipt of, and agrees to be bound by and held accountable under, the Letter of Transmittal, must be sent to the Exchange Agent and certificates representing the Original Notes (or confirmation of book-entry transfer of such Original Notes into the Exchange Agent’s account at The Depository Trust Company) must be delivered to the Exchange Agent, all in accordance with the instructions set forth in the Letter of Transmittal and the Prospectus.</w:t>
      </w:r>
    </w:p>
    <w:p>
      <w:pPr>
        <w:sectPr>
          <w:pgSz w:w="11900" w:h="16838" w:orient="portrait"/>
          <w:cols w:equalWidth="0" w:num="1">
            <w:col w:w="11020"/>
          </w:cols>
          <w:pgMar w:left="440" w:top="117" w:right="439" w:bottom="1440" w:gutter="0" w:footer="0" w:header="0"/>
        </w:sectPr>
      </w:pPr>
    </w:p>
    <w:bookmarkStart w:id="75" w:name="page76"/>
    <w:bookmarkEnd w:id="7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inquiries you may have with respect to the procedure for tendering Original Notes or requests for additional copies of the enclosed materials should be directed to the Exchange Agent at its address and telephone number set forth on the front of the Letter of Transmittal.</w:t>
      </w:r>
    </w:p>
    <w:p>
      <w:pPr>
        <w:spacing w:after="0" w:line="16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Union Pacific Corporation</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NOTHING HEREIN OR IN THE ENCLOSED DOCUMENTS SHALL CONSTITUTE YOU OR ANY OTHER PERSON AS AN AGENT OF THE COMPANY OR THE EXCHANGE AGENT, OR AUTHORIZE YOU OR ANY OTHER PERSON TO USE ANY DOCUMENT OR MAKE ANY STATEMENTS ON BEHALF OF ANY OF THEM WITH RESPECT TO THE EXCHANGE OFFER, EXCEPT FOR STATEMENTS EXPRESSLY MADE IN THE PROSPECTUS OR THE LETTER OF TRANSMITTAL.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880"/>
      </w:cols>
      <w:pgMar w:left="440"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decimal"/>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lowerLetter"/>
      <w:start w:val="1"/>
    </w:lvl>
    <w:lvl w:ilvl="1">
      <w:lvlJc w:val="left"/>
      <w:lvlText w:val="-"/>
      <w:numFmt w:val="bullet"/>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2"/>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1."/>
      <w:numFmt w:val="decimal"/>
      <w:start w:val="1"/>
    </w:lvl>
    <w:lvl w:ilvl="1">
      <w:lvlJc w:val="left"/>
      <w:lvlText w:val="-"/>
      <w:numFmt w:val="bullet"/>
      <w:start w:val="1"/>
    </w:lvl>
  </w:abstractNum>
  <w:abstractNum w:abstractNumId="9">
    <w:nsid w:val="5577F8E1"/>
    <w:multiLevelType w:val="hybridMultilevel"/>
    <w:lvl w:ilvl="0">
      <w:lvlJc w:val="left"/>
      <w:lvlText w:val="%1."/>
      <w:numFmt w:val="decimal"/>
      <w:start w:val="4"/>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1)"/>
      <w:numFmt w:val="decimal"/>
      <w:start w:val="1"/>
    </w:lvl>
    <w:lvl w:ilvl="1">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lvl w:ilvl="1">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1)"/>
      <w:numFmt w:val="decimal"/>
      <w:start w:val="1"/>
    </w:lvl>
    <w:lvl w:ilvl="1">
      <w:lvlJc w:val="left"/>
      <w:lvlText w:val="-"/>
      <w:numFmt w:val="bullet"/>
      <w:start w:val="1"/>
    </w:lvl>
  </w:abstractNum>
  <w:abstractNum w:abstractNumId="21">
    <w:nsid w:val="153EA438"/>
    <w:multiLevelType w:val="hybridMultilevel"/>
    <w:lvl w:ilvl="0">
      <w:lvlJc w:val="left"/>
      <w:lvlText w:val="(%1)"/>
      <w:numFmt w:val="decimal"/>
      <w:start w:val="3"/>
    </w:lvl>
  </w:abstractNum>
  <w:abstractNum w:abstractNumId="22">
    <w:nsid w:val="3855585C"/>
    <w:multiLevelType w:val="hybridMultilevel"/>
    <w:lvl w:ilvl="0">
      <w:lvlJc w:val="left"/>
      <w:lvlText w:val="•"/>
      <w:numFmt w:val="bullet"/>
      <w:start w:val="1"/>
    </w:lvl>
    <w:lvl w:ilvl="1">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6">
    <w:nsid w:val="1D4ED43B"/>
    <w:multiLevelType w:val="hybridMultilevel"/>
    <w:lvl w:ilvl="0">
      <w:lvlJc w:val="left"/>
      <w:lvlText w:val="%1"/>
      <w:numFmt w:val="lowerLetter"/>
      <w:start w:val="1"/>
    </w:lvl>
    <w:lvl w:ilvl="1">
      <w:lvlJc w:val="left"/>
      <w:lvlText w:val="(%2)"/>
      <w:numFmt w:val="lowerRoman"/>
      <w:start w:val="1"/>
    </w:lvl>
  </w:abstractNum>
  <w:abstractNum w:abstractNumId="27">
    <w:nsid w:val="725A06FB"/>
    <w:multiLevelType w:val="hybridMultilevel"/>
    <w:lvl w:ilvl="0">
      <w:lvlJc w:val="left"/>
      <w:lvlText w:val="(%1)"/>
      <w:numFmt w:val="lowerLetter"/>
      <w:start w:val="2"/>
    </w:lvl>
    <w:lvl w:ilvl="1">
      <w:lvlJc w:val="left"/>
      <w:lvlText w:val="%2"/>
      <w:numFmt w:val="lowerRoman"/>
      <w:start w:val="1"/>
    </w:lvl>
  </w:abstractNum>
  <w:abstractNum w:abstractNumId="28">
    <w:nsid w:val="2CD89A32"/>
    <w:multiLevelType w:val="hybridMultilevel"/>
    <w:lvl w:ilvl="0">
      <w:lvlJc w:val="left"/>
      <w:lvlText w:val="(%1)"/>
      <w:numFmt w:val="lowerRoman"/>
      <w:start w:val="2"/>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1."/>
      <w:numFmt w:val="decimal"/>
      <w:start w:val="1"/>
    </w:lvl>
    <w:lvl w:ilvl="1">
      <w:lvlJc w:val="left"/>
      <w:lvlText w:val="(%2)"/>
      <w:numFmt w:val="lowerLetter"/>
      <w:start w:val="1"/>
    </w:lvl>
  </w:abstractNum>
  <w:abstractNum w:abstractNumId="31">
    <w:nsid w:val="4B588F54"/>
    <w:multiLevelType w:val="hybridMultilevel"/>
    <w:lvl w:ilvl="0">
      <w:lvlJc w:val="left"/>
      <w:lvlText w:val="%1."/>
      <w:numFmt w:val="decimal"/>
      <w:start w:val="2"/>
    </w:lvl>
  </w:abstractNum>
  <w:abstractNum w:abstractNumId="32">
    <w:nsid w:val="542289EC"/>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33">
    <w:nsid w:val="6DE91B18"/>
    <w:multiLevelType w:val="hybridMultilevel"/>
    <w:lvl w:ilvl="0">
      <w:lvlJc w:val="left"/>
      <w:lvlText w:val="%1."/>
      <w:numFmt w:val="decimal"/>
      <w:start w:val="4"/>
    </w:lvl>
  </w:abstractNum>
  <w:abstractNum w:abstractNumId="34">
    <w:nsid w:val="38437FDB"/>
    <w:multiLevelType w:val="hybridMultilevel"/>
    <w:lvl w:ilvl="0">
      <w:lvlJc w:val="left"/>
      <w:lvlText w:val="%1."/>
      <w:numFmt w:val="decimal"/>
      <w:start w:val="6"/>
    </w:lvl>
    <w:lvl w:ilvl="1">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1."/>
      <w:numFmt w:val="decimal"/>
      <w:start w:val="2"/>
    </w:lvl>
  </w:abstractNum>
  <w:abstractNum w:abstractNumId="40">
    <w:nsid w:val="3DC240FB"/>
    <w:multiLevelType w:val="hybridMultilevel"/>
    <w:lvl w:ilvl="0">
      <w:lvlJc w:val="left"/>
      <w:lvlText w:val="%1."/>
      <w:numFmt w:val="decimal"/>
      <w:start w:val="3"/>
    </w:lvl>
  </w:abstractNum>
  <w:abstractNum w:abstractNumId="41">
    <w:nsid w:val="1BA026FA"/>
    <w:multiLevelType w:val="hybridMultilevel"/>
    <w:lvl w:ilvl="0">
      <w:lvlJc w:val="left"/>
      <w:lvlText w:val="%1."/>
      <w:numFmt w:val="decimal"/>
      <w:start w:val="4"/>
    </w:lvl>
  </w:abstractNum>
  <w:abstractNum w:abstractNumId="42">
    <w:nsid w:val="79A1DEAA"/>
    <w:multiLevelType w:val="hybridMultilevel"/>
    <w:lvl w:ilvl="0">
      <w:lvlJc w:val="left"/>
      <w:lvlText w:val="%1."/>
      <w:numFmt w:val="decimal"/>
      <w:start w:val="5"/>
    </w:lvl>
  </w:abstractNum>
  <w:abstractNum w:abstractNumId="43">
    <w:nsid w:val="75C6C33A"/>
    <w:multiLevelType w:val="hybridMultilevel"/>
    <w:lvl w:ilvl="0">
      <w:lvlJc w:val="left"/>
      <w:lvlText w:val="%1."/>
      <w:numFmt w:val="decimal"/>
      <w:start w:val="6"/>
    </w:lvl>
  </w:abstractNum>
  <w:abstractNum w:abstractNumId="44">
    <w:nsid w:val="12E685FB"/>
    <w:multiLevelType w:val="hybridMultilevel"/>
    <w:lvl w:ilvl="0">
      <w:lvlJc w:val="left"/>
      <w:lvlText w:val="%1."/>
      <w:numFmt w:val="decimal"/>
      <w:start w:val="7"/>
    </w:lvl>
  </w:abstractNum>
  <w:abstractNum w:abstractNumId="45">
    <w:nsid w:val="70C6A529"/>
    <w:multiLevelType w:val="hybridMultilevel"/>
    <w:lvl w:ilvl="0">
      <w:lvlJc w:val="left"/>
      <w:lvlText w:val="%1."/>
      <w:numFmt w:val="decimal"/>
      <w:start w:val="8"/>
    </w:lvl>
  </w:abstractNum>
  <w:abstractNum w:abstractNumId="46">
    <w:nsid w:val="520EEDD1"/>
    <w:multiLevelType w:val="hybridMultilevel"/>
    <w:lvl w:ilvl="0">
      <w:lvlJc w:val="left"/>
      <w:lvlText w:val="%1."/>
      <w:numFmt w:val="decimal"/>
      <w:start w:val="9"/>
    </w:lvl>
  </w:abstractNum>
  <w:abstractNum w:abstractNumId="47">
    <w:nsid w:val="374A3FE6"/>
    <w:multiLevelType w:val="hybridMultilevel"/>
    <w:lvl w:ilvl="0">
      <w:lvlJc w:val="left"/>
      <w:lvlText w:val="%1."/>
      <w:numFmt w:val="decimal"/>
      <w:start w:val="10"/>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1."/>
      <w:numFmt w:val="decimal"/>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28" Type="http://schemas.openxmlformats.org/officeDocument/2006/relationships/hyperlink" Target="http://www.sec.gov/ix?doc=/Archives/edgar/data/100885/000010088521000068/unp-20201231x10k.htm" TargetMode="External"/><Relationship Id="rId75" Type="http://schemas.openxmlformats.org/officeDocument/2006/relationships/hyperlink" Target="http://www.sec.gov/Archives/edgar/data/100885/000119312514280047/d761509dex3a.htm" TargetMode="External"/><Relationship Id="rId76" Type="http://schemas.openxmlformats.org/officeDocument/2006/relationships/hyperlink" Target="http://www.sec.gov/Archives/edgar/data/100885/000010088515000208/unp-20151119ex32a605ee0.htm" TargetMode="External"/><Relationship Id="rId77" Type="http://schemas.openxmlformats.org/officeDocument/2006/relationships/hyperlink" Target="http://www.sec.gov/Archives/edgar/data/100885/0000930661-99-000779.txt" TargetMode="External"/><Relationship Id="rId78" Type="http://schemas.openxmlformats.org/officeDocument/2006/relationships/hyperlink" Target="http://www.sec.gov/Archives/edgar/data/100885/0000950123-95-001390.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2021-02-10T14:32:01Z</dcterms:created>
  <dcterms:modified xsi:type="dcterms:W3CDTF">2021-02-10T14:32:01Z</dcterms:modified>
</cp:coreProperties>
</file>