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66675</wp:posOffset>
            </wp:positionH>
            <wp:positionV relativeFrom="paragraph">
              <wp:posOffset>149225</wp:posOffset>
            </wp:positionV>
            <wp:extent cx="560006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00065" cy="1714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123190</wp:posOffset>
            </wp:positionV>
            <wp:extent cx="56000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00065" cy="8890"/>
                    </a:xfrm>
                    <a:prstGeom prst="rect">
                      <a:avLst/>
                    </a:prstGeom>
                    <a:noFill/>
                  </pic:spPr>
                </pic:pic>
              </a:graphicData>
            </a:graphic>
          </wp:anchor>
        </w:drawing>
      </w:r>
    </w:p>
    <w:p>
      <w:pPr>
        <w:spacing w:after="0" w:line="265"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UNITED STATES</w:t>
      </w:r>
    </w:p>
    <w:p>
      <w:pPr>
        <w:jc w:val="center"/>
        <w:spacing w:after="0" w:line="208" w:lineRule="auto"/>
        <w:rPr>
          <w:sz w:val="20"/>
          <w:szCs w:val="20"/>
          <w:color w:val="auto"/>
        </w:rPr>
      </w:pPr>
      <w:r>
        <w:rPr>
          <w:rFonts w:ascii="Arial" w:cs="Arial" w:eastAsia="Arial" w:hAnsi="Arial"/>
          <w:sz w:val="23"/>
          <w:szCs w:val="23"/>
          <w:b w:val="1"/>
          <w:bCs w:val="1"/>
          <w:color w:val="auto"/>
        </w:rPr>
        <w:t>SECURITIES AND EXCHANGE COMMISSION</w:t>
      </w:r>
    </w:p>
    <w:p>
      <w:pPr>
        <w:jc w:val="center"/>
        <w:spacing w:after="0"/>
        <w:rPr>
          <w:sz w:val="20"/>
          <w:szCs w:val="20"/>
          <w:color w:val="auto"/>
        </w:rPr>
      </w:pPr>
      <w:r>
        <w:rPr>
          <w:rFonts w:ascii="Arial" w:cs="Arial" w:eastAsia="Arial" w:hAnsi="Arial"/>
          <w:sz w:val="23"/>
          <w:szCs w:val="23"/>
          <w:b w:val="1"/>
          <w:bCs w:val="1"/>
          <w:color w:val="auto"/>
        </w:rPr>
        <w:t>WASHINGTON, D.C. 20549</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ind w:left="100"/>
        <w:spacing w:after="0"/>
        <w:rPr>
          <w:sz w:val="20"/>
          <w:szCs w:val="20"/>
          <w:color w:val="auto"/>
        </w:rPr>
      </w:pPr>
      <w:r>
        <w:rPr>
          <w:rFonts w:ascii="Arial" w:cs="Arial" w:eastAsia="Arial" w:hAnsi="Arial"/>
          <w:sz w:val="16"/>
          <w:szCs w:val="16"/>
          <w:i w:val="1"/>
          <w:iCs w:val="1"/>
          <w:color w:val="auto"/>
        </w:rPr>
        <w:t>(Mark One)</w:t>
      </w:r>
    </w:p>
    <w:p>
      <w:pPr>
        <w:spacing w:after="0" w:line="151" w:lineRule="exact"/>
        <w:rPr>
          <w:sz w:val="24"/>
          <w:szCs w:val="24"/>
          <w:color w:val="auto"/>
        </w:rPr>
      </w:pPr>
    </w:p>
    <w:p>
      <w:pPr>
        <w:ind w:left="560" w:right="459" w:hanging="455"/>
        <w:spacing w:after="0" w:line="227" w:lineRule="auto"/>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jc w:val="center"/>
        <w:spacing w:after="0" w:line="238" w:lineRule="auto"/>
        <w:rPr>
          <w:sz w:val="20"/>
          <w:szCs w:val="20"/>
          <w:color w:val="auto"/>
        </w:rPr>
      </w:pPr>
      <w:r>
        <w:rPr>
          <w:rFonts w:ascii="Arial" w:cs="Arial" w:eastAsia="Arial" w:hAnsi="Arial"/>
          <w:sz w:val="22"/>
          <w:szCs w:val="22"/>
          <w:b w:val="1"/>
          <w:bCs w:val="1"/>
          <w:color w:val="auto"/>
        </w:rPr>
        <w:t>For the quarterly period ended September 30, 2017</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OR</w:t>
      </w:r>
    </w:p>
    <w:p>
      <w:pPr>
        <w:spacing w:after="0" w:line="161" w:lineRule="exact"/>
        <w:rPr>
          <w:sz w:val="24"/>
          <w:szCs w:val="24"/>
          <w:color w:val="auto"/>
        </w:rPr>
      </w:pPr>
    </w:p>
    <w:p>
      <w:pPr>
        <w:ind w:left="500" w:right="499" w:hanging="395"/>
        <w:spacing w:after="0" w:line="227" w:lineRule="auto"/>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35" w:lineRule="exact"/>
        <w:rPr>
          <w:sz w:val="24"/>
          <w:szCs w:val="24"/>
          <w:color w:val="auto"/>
        </w:rPr>
      </w:pPr>
    </w:p>
    <w:p>
      <w:pPr>
        <w:ind w:left="2220"/>
        <w:spacing w:after="0"/>
        <w:rPr>
          <w:sz w:val="20"/>
          <w:szCs w:val="20"/>
          <w:color w:val="auto"/>
        </w:rPr>
      </w:pPr>
      <w:r>
        <w:rPr>
          <w:rFonts w:ascii="Arial" w:cs="Arial" w:eastAsia="Arial" w:hAnsi="Arial"/>
          <w:sz w:val="17"/>
          <w:szCs w:val="17"/>
          <w:color w:val="auto"/>
        </w:rPr>
        <w:t>For the transition period from __________ to ____________</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7"/>
          <w:szCs w:val="17"/>
          <w:b w:val="1"/>
          <w:bCs w:val="1"/>
          <w:i w:val="1"/>
          <w:iCs w:val="1"/>
          <w:color w:val="auto"/>
        </w:rPr>
        <w:t>Commission File Number 1-6075</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UNION PACIFIC CORPORATION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7"/>
          <w:szCs w:val="17"/>
          <w:color w:val="auto"/>
        </w:rPr>
        <w:t>Exact name of registrant as specified in its charter)</w:t>
      </w:r>
    </w:p>
    <w:p>
      <w:pPr>
        <w:spacing w:after="0" w:line="44" w:lineRule="exact"/>
        <w:rPr>
          <w:sz w:val="24"/>
          <w:szCs w:val="24"/>
          <w:color w:val="auto"/>
        </w:rPr>
      </w:pPr>
    </w:p>
    <w:tbl>
      <w:tblPr>
        <w:tblLayout w:type="fixed"/>
        <w:tblInd w:w="900" w:type="dxa"/>
        <w:tblCellMar>
          <w:top w:w="0" w:type="dxa"/>
          <w:left w:w="0" w:type="dxa"/>
          <w:bottom w:w="0" w:type="dxa"/>
          <w:right w:w="0" w:type="dxa"/>
        </w:tblCellMar>
      </w:tblPr>
      <w:tr>
        <w:trPr>
          <w:trHeight w:val="230"/>
        </w:trPr>
        <w:tc>
          <w:tcPr>
            <w:tcW w:w="3840" w:type="dxa"/>
            <w:vAlign w:val="bottom"/>
          </w:tcPr>
          <w:p>
            <w:pPr>
              <w:jc w:val="center"/>
              <w:ind w:right="1530"/>
              <w:spacing w:after="0"/>
              <w:rPr>
                <w:sz w:val="20"/>
                <w:szCs w:val="20"/>
                <w:color w:val="auto"/>
              </w:rPr>
            </w:pPr>
            <w:r>
              <w:rPr>
                <w:rFonts w:ascii="Arial" w:cs="Arial" w:eastAsia="Arial" w:hAnsi="Arial"/>
                <w:sz w:val="20"/>
                <w:szCs w:val="20"/>
                <w:b w:val="1"/>
                <w:bCs w:val="1"/>
                <w:color w:val="auto"/>
                <w:w w:val="97"/>
              </w:rPr>
              <w:t>UTAH</w:t>
            </w:r>
          </w:p>
        </w:tc>
        <w:tc>
          <w:tcPr>
            <w:tcW w:w="2940" w:type="dxa"/>
            <w:vAlign w:val="bottom"/>
          </w:tcPr>
          <w:p>
            <w:pPr>
              <w:jc w:val="center"/>
              <w:ind w:left="1510"/>
              <w:spacing w:after="0"/>
              <w:rPr>
                <w:sz w:val="20"/>
                <w:szCs w:val="20"/>
                <w:color w:val="auto"/>
              </w:rPr>
            </w:pPr>
            <w:r>
              <w:rPr>
                <w:rFonts w:ascii="Arial" w:cs="Arial" w:eastAsia="Arial" w:hAnsi="Arial"/>
                <w:sz w:val="20"/>
                <w:szCs w:val="20"/>
                <w:b w:val="1"/>
                <w:bCs w:val="1"/>
                <w:color w:val="auto"/>
                <w:w w:val="99"/>
              </w:rPr>
              <w:t>13-2626465</w:t>
            </w:r>
          </w:p>
        </w:tc>
      </w:tr>
      <w:tr>
        <w:trPr>
          <w:trHeight w:val="176"/>
        </w:trPr>
        <w:tc>
          <w:tcPr>
            <w:tcW w:w="3840" w:type="dxa"/>
            <w:vAlign w:val="bottom"/>
          </w:tcPr>
          <w:p>
            <w:pPr>
              <w:jc w:val="center"/>
              <w:ind w:right="1530"/>
              <w:spacing w:after="0" w:line="176" w:lineRule="exact"/>
              <w:rPr>
                <w:sz w:val="20"/>
                <w:szCs w:val="20"/>
                <w:color w:val="auto"/>
              </w:rPr>
            </w:pPr>
            <w:r>
              <w:rPr>
                <w:rFonts w:ascii="Arial" w:cs="Arial" w:eastAsia="Arial" w:hAnsi="Arial"/>
                <w:sz w:val="17"/>
                <w:szCs w:val="17"/>
                <w:color w:val="auto"/>
              </w:rPr>
              <w:t>(State or other jurisdiction of</w:t>
            </w:r>
          </w:p>
        </w:tc>
        <w:tc>
          <w:tcPr>
            <w:tcW w:w="2940" w:type="dxa"/>
            <w:vAlign w:val="bottom"/>
          </w:tcPr>
          <w:p>
            <w:pPr>
              <w:jc w:val="center"/>
              <w:ind w:left="1510"/>
              <w:spacing w:after="0" w:line="176" w:lineRule="exact"/>
              <w:rPr>
                <w:sz w:val="20"/>
                <w:szCs w:val="20"/>
                <w:color w:val="auto"/>
              </w:rPr>
            </w:pPr>
            <w:r>
              <w:rPr>
                <w:rFonts w:ascii="Arial" w:cs="Arial" w:eastAsia="Arial" w:hAnsi="Arial"/>
                <w:sz w:val="17"/>
                <w:szCs w:val="17"/>
                <w:color w:val="auto"/>
              </w:rPr>
              <w:t>(I.R.S. Employer</w:t>
            </w:r>
          </w:p>
        </w:tc>
      </w:tr>
      <w:tr>
        <w:trPr>
          <w:trHeight w:val="205"/>
        </w:trPr>
        <w:tc>
          <w:tcPr>
            <w:tcW w:w="3840" w:type="dxa"/>
            <w:vAlign w:val="bottom"/>
          </w:tcPr>
          <w:p>
            <w:pPr>
              <w:jc w:val="center"/>
              <w:ind w:right="1530"/>
              <w:spacing w:after="0"/>
              <w:rPr>
                <w:sz w:val="20"/>
                <w:szCs w:val="20"/>
                <w:color w:val="auto"/>
              </w:rPr>
            </w:pPr>
            <w:r>
              <w:rPr>
                <w:rFonts w:ascii="Arial" w:cs="Arial" w:eastAsia="Arial" w:hAnsi="Arial"/>
                <w:sz w:val="17"/>
                <w:szCs w:val="17"/>
                <w:color w:val="auto"/>
              </w:rPr>
              <w:t>incorporation or organization)</w:t>
            </w:r>
          </w:p>
        </w:tc>
        <w:tc>
          <w:tcPr>
            <w:tcW w:w="2940" w:type="dxa"/>
            <w:vAlign w:val="bottom"/>
          </w:tcPr>
          <w:p>
            <w:pPr>
              <w:jc w:val="center"/>
              <w:ind w:left="1510"/>
              <w:spacing w:after="0"/>
              <w:rPr>
                <w:sz w:val="20"/>
                <w:szCs w:val="20"/>
                <w:color w:val="auto"/>
              </w:rPr>
            </w:pPr>
            <w:r>
              <w:rPr>
                <w:rFonts w:ascii="Arial" w:cs="Arial" w:eastAsia="Arial" w:hAnsi="Arial"/>
                <w:sz w:val="17"/>
                <w:szCs w:val="17"/>
                <w:color w:val="auto"/>
              </w:rPr>
              <w:t>Identification No.)</w:t>
            </w:r>
          </w:p>
        </w:tc>
      </w:tr>
    </w:tbl>
    <w:p>
      <w:pPr>
        <w:spacing w:after="0" w:line="5" w:lineRule="exact"/>
        <w:rPr>
          <w:sz w:val="24"/>
          <w:szCs w:val="24"/>
          <w:color w:val="auto"/>
        </w:rPr>
      </w:pPr>
    </w:p>
    <w:p>
      <w:pPr>
        <w:ind w:left="2620"/>
        <w:spacing w:after="0"/>
        <w:rPr>
          <w:sz w:val="20"/>
          <w:szCs w:val="20"/>
          <w:color w:val="auto"/>
        </w:rPr>
      </w:pPr>
      <w:r>
        <w:rPr>
          <w:rFonts w:ascii="Arial" w:cs="Arial" w:eastAsia="Arial" w:hAnsi="Arial"/>
          <w:sz w:val="17"/>
          <w:szCs w:val="17"/>
          <w:b w:val="1"/>
          <w:bCs w:val="1"/>
          <w:color w:val="auto"/>
        </w:rPr>
        <w:t>1400 DOUGLAS STREET, OMAHA, NEBRASKA</w:t>
      </w:r>
    </w:p>
    <w:p>
      <w:pPr>
        <w:ind w:left="3060"/>
        <w:spacing w:after="0"/>
        <w:rPr>
          <w:sz w:val="20"/>
          <w:szCs w:val="20"/>
          <w:color w:val="auto"/>
        </w:rPr>
      </w:pPr>
      <w:r>
        <w:rPr>
          <w:rFonts w:ascii="Arial" w:cs="Arial" w:eastAsia="Arial" w:hAnsi="Arial"/>
          <w:sz w:val="17"/>
          <w:szCs w:val="17"/>
          <w:color w:val="auto"/>
        </w:rPr>
        <w:t>(Address of principal executive offices)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68179</w:t>
      </w:r>
    </w:p>
    <w:p>
      <w:pPr>
        <w:jc w:val="center"/>
        <w:spacing w:after="0"/>
        <w:rPr>
          <w:sz w:val="20"/>
          <w:szCs w:val="20"/>
          <w:color w:val="auto"/>
        </w:rPr>
      </w:pPr>
      <w:r>
        <w:rPr>
          <w:rFonts w:ascii="Arial" w:cs="Arial" w:eastAsia="Arial" w:hAnsi="Arial"/>
          <w:sz w:val="17"/>
          <w:szCs w:val="17"/>
          <w:color w:val="auto"/>
        </w:rPr>
        <w:t>(Zip Code)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(402) 544-5000</w:t>
      </w:r>
    </w:p>
    <w:p>
      <w:pPr>
        <w:jc w:val="center"/>
        <w:spacing w:after="0"/>
        <w:rPr>
          <w:sz w:val="20"/>
          <w:szCs w:val="20"/>
          <w:color w:val="auto"/>
        </w:rPr>
      </w:pPr>
      <w:r>
        <w:rPr>
          <w:rFonts w:ascii="Arial" w:cs="Arial" w:eastAsia="Arial" w:hAnsi="Arial"/>
          <w:sz w:val="17"/>
          <w:szCs w:val="17"/>
          <w:color w:val="auto"/>
        </w:rPr>
        <w:t>(Registrant’s telephone number, including area code)</w:t>
      </w:r>
    </w:p>
    <w:p>
      <w:pPr>
        <w:spacing w:after="0" w:line="48" w:lineRule="exact"/>
        <w:rPr>
          <w:sz w:val="24"/>
          <w:szCs w:val="24"/>
          <w:color w:val="auto"/>
        </w:rPr>
      </w:pPr>
    </w:p>
    <w:p>
      <w:pPr>
        <w:jc w:val="both"/>
        <w:ind w:left="100" w:right="99"/>
        <w:spacing w:after="0" w:line="199"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7720"/>
        <w:spacing w:after="0" w:line="207" w:lineRule="exact"/>
        <w:tabs>
          <w:tab w:leader="none" w:pos="8460" w:val="left"/>
        </w:tabs>
        <w:rPr>
          <w:sz w:val="20"/>
          <w:szCs w:val="20"/>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Yes</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No</w:t>
      </w:r>
    </w:p>
    <w:p>
      <w:pPr>
        <w:spacing w:after="0" w:line="62" w:lineRule="exact"/>
        <w:rPr>
          <w:sz w:val="24"/>
          <w:szCs w:val="24"/>
          <w:color w:val="auto"/>
        </w:rPr>
      </w:pPr>
    </w:p>
    <w:p>
      <w:pPr>
        <w:jc w:val="both"/>
        <w:ind w:left="100" w:right="99"/>
        <w:spacing w:after="0" w:line="199" w:lineRule="auto"/>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 w:lineRule="exact"/>
        <w:rPr>
          <w:sz w:val="24"/>
          <w:szCs w:val="24"/>
          <w:color w:val="auto"/>
        </w:rPr>
      </w:pPr>
    </w:p>
    <w:p>
      <w:pPr>
        <w:ind w:left="7720"/>
        <w:spacing w:after="0" w:line="207" w:lineRule="exact"/>
        <w:tabs>
          <w:tab w:leader="none" w:pos="8460" w:val="left"/>
        </w:tabs>
        <w:rPr>
          <w:sz w:val="20"/>
          <w:szCs w:val="20"/>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Yes</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No</w:t>
      </w:r>
    </w:p>
    <w:p>
      <w:pPr>
        <w:spacing w:after="0" w:line="62" w:lineRule="exact"/>
        <w:rPr>
          <w:sz w:val="24"/>
          <w:szCs w:val="24"/>
          <w:color w:val="auto"/>
        </w:rPr>
      </w:pPr>
    </w:p>
    <w:p>
      <w:pPr>
        <w:jc w:val="both"/>
        <w:ind w:left="100" w:right="99"/>
        <w:spacing w:after="0" w:line="21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 w:lineRule="exact"/>
        <w:rPr>
          <w:sz w:val="24"/>
          <w:szCs w:val="24"/>
          <w:color w:val="auto"/>
        </w:rPr>
      </w:pPr>
    </w:p>
    <w:p>
      <w:pPr>
        <w:ind w:left="100" w:right="719" w:firstLine="117"/>
        <w:spacing w:after="0" w:line="246" w:lineRule="exact"/>
        <w:rPr>
          <w:sz w:val="20"/>
          <w:szCs w:val="20"/>
          <w:color w:val="auto"/>
        </w:rPr>
      </w:pPr>
      <w:r>
        <w:rPr>
          <w:rFonts w:ascii="Arial" w:cs="Arial" w:eastAsia="Arial" w:hAnsi="Arial"/>
          <w:sz w:val="17"/>
          <w:szCs w:val="17"/>
          <w:color w:val="auto"/>
        </w:rPr>
        <w:t xml:space="preserve">Large 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Non-accelerated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Smaller reporting company </w:t>
      </w:r>
      <w:r>
        <w:rPr>
          <w:rFonts w:ascii="MS PGothic" w:cs="MS PGothic" w:eastAsia="MS PGothic" w:hAnsi="MS PGothic"/>
          <w:sz w:val="17"/>
          <w:szCs w:val="17"/>
          <w:color w:val="auto"/>
        </w:rPr>
        <w:t>☐</w:t>
      </w:r>
      <w:r>
        <w:rPr>
          <w:rFonts w:ascii="Arial" w:cs="Arial" w:eastAsia="Arial" w:hAnsi="Arial"/>
          <w:sz w:val="17"/>
          <w:szCs w:val="17"/>
          <w:color w:val="auto"/>
        </w:rPr>
        <w:t xml:space="preserve"> Indicate by check mark whether the registrant is a shell company (as defined in Rule 12b-2 of the Act).</w:t>
      </w:r>
    </w:p>
    <w:p>
      <w:pPr>
        <w:spacing w:after="0" w:line="1" w:lineRule="exact"/>
        <w:rPr>
          <w:sz w:val="24"/>
          <w:szCs w:val="24"/>
          <w:color w:val="auto"/>
        </w:rPr>
      </w:pPr>
    </w:p>
    <w:p>
      <w:pPr>
        <w:ind w:left="7780"/>
        <w:spacing w:after="0" w:line="196" w:lineRule="exact"/>
        <w:tabs>
          <w:tab w:leader="none" w:pos="8480" w:val="left"/>
        </w:tabs>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91" w:lineRule="exact"/>
        <w:rPr>
          <w:sz w:val="24"/>
          <w:szCs w:val="24"/>
          <w:color w:val="auto"/>
        </w:rPr>
      </w:pPr>
    </w:p>
    <w:p>
      <w:pPr>
        <w:jc w:val="both"/>
        <w:ind w:left="100" w:right="99"/>
        <w:spacing w:after="0" w:line="20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 w:lineRule="exact"/>
        <w:rPr>
          <w:sz w:val="24"/>
          <w:szCs w:val="24"/>
          <w:color w:val="auto"/>
        </w:rPr>
      </w:pPr>
    </w:p>
    <w:p>
      <w:pPr>
        <w:ind w:left="6380"/>
        <w:spacing w:after="0" w:line="207" w:lineRule="exact"/>
        <w:tabs>
          <w:tab w:leader="none" w:pos="87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54" w:lineRule="exact"/>
        <w:rPr>
          <w:sz w:val="24"/>
          <w:szCs w:val="24"/>
          <w:color w:val="auto"/>
        </w:rPr>
      </w:pPr>
    </w:p>
    <w:p>
      <w:pPr>
        <w:jc w:val="both"/>
        <w:ind w:left="100" w:right="99"/>
        <w:spacing w:after="0" w:line="201"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3" w:lineRule="exact"/>
        <w:rPr>
          <w:sz w:val="24"/>
          <w:szCs w:val="24"/>
          <w:color w:val="auto"/>
        </w:rPr>
      </w:pPr>
    </w:p>
    <w:p>
      <w:pPr>
        <w:ind w:left="8760"/>
        <w:spacing w:after="0" w:line="161" w:lineRule="exact"/>
        <w:rPr>
          <w:sz w:val="20"/>
          <w:szCs w:val="20"/>
          <w:color w:val="auto"/>
        </w:rPr>
      </w:pPr>
      <w:r>
        <w:rPr>
          <w:rFonts w:ascii="MS PGothic" w:cs="MS PGothic" w:eastAsia="MS PGothic" w:hAnsi="MS PGothic"/>
          <w:sz w:val="16"/>
          <w:szCs w:val="16"/>
          <w:color w:val="auto"/>
        </w:rPr>
        <w:t>☐</w:t>
      </w:r>
    </w:p>
    <w:p>
      <w:pPr>
        <w:spacing w:after="0" w:line="14" w:lineRule="exact"/>
        <w:rPr>
          <w:sz w:val="24"/>
          <w:szCs w:val="24"/>
          <w:color w:val="auto"/>
        </w:rPr>
      </w:pPr>
    </w:p>
    <w:p>
      <w:pPr>
        <w:ind w:left="100"/>
        <w:spacing w:after="0"/>
        <w:rPr>
          <w:sz w:val="20"/>
          <w:szCs w:val="20"/>
          <w:color w:val="auto"/>
        </w:rPr>
      </w:pPr>
      <w:r>
        <w:rPr>
          <w:rFonts w:ascii="Arial" w:cs="Arial" w:eastAsia="Arial" w:hAnsi="Arial"/>
          <w:sz w:val="17"/>
          <w:szCs w:val="17"/>
          <w:color w:val="auto"/>
        </w:rPr>
        <w:t>As of October 20, 2017, there were 787,168,815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66675</wp:posOffset>
            </wp:positionH>
            <wp:positionV relativeFrom="paragraph">
              <wp:posOffset>85725</wp:posOffset>
            </wp:positionV>
            <wp:extent cx="56000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00065"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42545</wp:posOffset>
            </wp:positionV>
            <wp:extent cx="560006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00065" cy="1714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441960</wp:posOffset>
            </wp:positionV>
            <wp:extent cx="5642610"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211" w:right="1440" w:bottom="1440" w:gutter="0" w:footer="0" w:header="0"/>
        </w:sectPr>
      </w:pPr>
    </w:p>
    <w:bookmarkStart w:id="1" w:name="page2"/>
    <w:bookmarkEnd w:id="1"/>
    <w:tbl>
      <w:tblPr>
        <w:tblLayout w:type="fixed"/>
        <w:tblInd w:w="100" w:type="dxa"/>
        <w:tblCellMar>
          <w:top w:w="0" w:type="dxa"/>
          <w:left w:w="0" w:type="dxa"/>
          <w:bottom w:w="0" w:type="dxa"/>
          <w:right w:w="0" w:type="dxa"/>
        </w:tblCellMar>
      </w:tblPr>
      <w:tr>
        <w:trPr>
          <w:trHeight w:val="207"/>
        </w:trPr>
        <w:tc>
          <w:tcPr>
            <w:tcW w:w="8760" w:type="dxa"/>
            <w:vAlign w:val="bottom"/>
            <w:gridSpan w:val="36"/>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3"/>
        </w:trPr>
        <w:tc>
          <w:tcPr>
            <w:tcW w:w="3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560" w:type="dxa"/>
            <w:vAlign w:val="bottom"/>
            <w:gridSpan w:val="19"/>
          </w:tcPr>
          <w:p>
            <w:pPr>
              <w:jc w:val="center"/>
              <w:ind w:right="3140"/>
              <w:spacing w:after="0"/>
              <w:rPr>
                <w:sz w:val="20"/>
                <w:szCs w:val="20"/>
                <w:color w:val="auto"/>
              </w:rPr>
            </w:pPr>
            <w:r>
              <w:rPr>
                <w:rFonts w:ascii="Arial" w:cs="Arial" w:eastAsia="Arial" w:hAnsi="Arial"/>
                <w:sz w:val="18"/>
                <w:szCs w:val="18"/>
                <w:b w:val="1"/>
                <w:bCs w:val="1"/>
                <w:color w:val="auto"/>
                <w:w w:val="99"/>
              </w:rPr>
              <w:t>TABLE OF CONTENTS</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20" w:type="dxa"/>
            <w:vAlign w:val="bottom"/>
            <w:gridSpan w:val="21"/>
          </w:tcPr>
          <w:p>
            <w:pPr>
              <w:jc w:val="center"/>
              <w:ind w:right="2860"/>
              <w:spacing w:after="0" w:line="176" w:lineRule="exact"/>
              <w:rPr>
                <w:sz w:val="20"/>
                <w:szCs w:val="20"/>
                <w:color w:val="auto"/>
              </w:rPr>
            </w:pPr>
            <w:r>
              <w:rPr>
                <w:rFonts w:ascii="Arial" w:cs="Arial" w:eastAsia="Arial" w:hAnsi="Arial"/>
                <w:sz w:val="18"/>
                <w:szCs w:val="18"/>
                <w:b w:val="1"/>
                <w:bCs w:val="1"/>
                <w:color w:val="auto"/>
                <w:w w:val="98"/>
              </w:rPr>
              <w:t>UNION PACIFIC CORPORATION</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20" w:type="dxa"/>
            <w:vAlign w:val="bottom"/>
            <w:gridSpan w:val="21"/>
          </w:tcPr>
          <w:p>
            <w:pPr>
              <w:jc w:val="center"/>
              <w:ind w:right="2880"/>
              <w:spacing w:after="0"/>
              <w:rPr>
                <w:sz w:val="20"/>
                <w:szCs w:val="20"/>
                <w:color w:val="auto"/>
              </w:rPr>
            </w:pPr>
            <w:r>
              <w:rPr>
                <w:rFonts w:ascii="Arial" w:cs="Arial" w:eastAsia="Arial" w:hAnsi="Arial"/>
                <w:sz w:val="18"/>
                <w:szCs w:val="18"/>
                <w:b w:val="1"/>
                <w:bCs w:val="1"/>
                <w:color w:val="auto"/>
                <w:w w:val="98"/>
              </w:rPr>
              <w:t>AND SUBSIDIARY COMPANIES</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60" w:type="dxa"/>
            <w:vAlign w:val="bottom"/>
            <w:tcBorders>
              <w:bottom w:val="single" w:sz="8" w:color="0000EE"/>
            </w:tcBorders>
            <w:gridSpan w:val="8"/>
          </w:tcPr>
          <w:p>
            <w:pPr>
              <w:jc w:val="center"/>
              <w:spacing w:after="0"/>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PART I. FINANCIAL INFORMATION</w:t>
              </w:r>
            </w:hyperlink>
          </w:p>
        </w:tc>
        <w:tc>
          <w:tcPr>
            <w:tcW w:w="2860" w:type="dxa"/>
            <w:vAlign w:val="bottom"/>
            <w:gridSpan w:val="13"/>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320" w:type="dxa"/>
            <w:vAlign w:val="bottom"/>
          </w:tcPr>
          <w:p>
            <w:pPr>
              <w:spacing w:after="0"/>
              <w:rPr>
                <w:sz w:val="24"/>
                <w:szCs w:val="24"/>
                <w:color w:val="auto"/>
              </w:rPr>
            </w:pPr>
          </w:p>
        </w:tc>
        <w:tc>
          <w:tcPr>
            <w:tcW w:w="560" w:type="dxa"/>
            <w:vAlign w:val="bottom"/>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Item 1.</w:t>
              </w:r>
            </w:hyperlink>
          </w:p>
        </w:tc>
        <w:tc>
          <w:tcPr>
            <w:tcW w:w="300" w:type="dxa"/>
            <w:vAlign w:val="bottom"/>
            <w:gridSpan w:val="2"/>
          </w:tcPr>
          <w:p>
            <w:pPr>
              <w:spacing w:after="0"/>
              <w:rPr>
                <w:sz w:val="24"/>
                <w:szCs w:val="24"/>
                <w:color w:val="auto"/>
              </w:rPr>
            </w:pPr>
          </w:p>
        </w:tc>
        <w:tc>
          <w:tcPr>
            <w:tcW w:w="7580" w:type="dxa"/>
            <w:vAlign w:val="bottom"/>
            <w:gridSpan w:val="32"/>
          </w:tcPr>
          <w:p>
            <w:pPr>
              <w:ind w:left="100"/>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Financial Statements:</w:t>
              </w:r>
            </w:hyperlink>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320" w:type="dxa"/>
            <w:vAlign w:val="bottom"/>
            <w:gridSpan w:val="3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INCOME (Unaudited)</w:t>
              </w:r>
            </w:hyperlink>
          </w:p>
        </w:tc>
        <w:tc>
          <w:tcPr>
            <w:tcW w:w="340" w:type="dxa"/>
            <w:vAlign w:val="bottom"/>
            <w:vMerge w:val="restart"/>
          </w:tcPr>
          <w:p>
            <w:pPr>
              <w:ind w:lef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5580" w:type="dxa"/>
            <w:vAlign w:val="bottom"/>
            <w:tcBorders>
              <w:top w:val="single" w:sz="8" w:color="0000EE"/>
            </w:tcBorders>
            <w:gridSpan w:val="20"/>
          </w:tcPr>
          <w:p>
            <w:pPr>
              <w:spacing w:after="0" w:line="156" w:lineRule="exact"/>
              <w:rPr>
                <w:rFonts w:ascii="Arial" w:cs="Arial" w:eastAsia="Arial" w:hAnsi="Arial"/>
                <w:sz w:val="18"/>
                <w:szCs w:val="18"/>
                <w:color w:val="0000EE"/>
              </w:rPr>
            </w:pPr>
            <w:hyperlink w:anchor="page3">
              <w:r>
                <w:rPr>
                  <w:rFonts w:ascii="Arial" w:cs="Arial" w:eastAsia="Arial" w:hAnsi="Arial"/>
                  <w:sz w:val="18"/>
                  <w:szCs w:val="18"/>
                  <w:color w:val="0000EE"/>
                </w:rPr>
                <w:t>For the Three Months Ended September 30, 2017 and 2016</w:t>
              </w:r>
            </w:hyperlink>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320" w:type="dxa"/>
            <w:vAlign w:val="bottom"/>
            <w:gridSpan w:val="3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COMPREHENSIVE INCOME</w:t>
              </w:r>
            </w:hyperlink>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6460" w:type="dxa"/>
            <w:vAlign w:val="bottom"/>
            <w:tcBorders>
              <w:top w:val="single" w:sz="8" w:color="0000EE"/>
            </w:tcBorders>
            <w:gridSpan w:val="25"/>
          </w:tcPr>
          <w:p>
            <w:pPr>
              <w:ind w:left="100"/>
              <w:spacing w:after="0" w:line="156" w:lineRule="exact"/>
              <w:rPr>
                <w:rFonts w:ascii="Arial" w:cs="Arial" w:eastAsia="Arial" w:hAnsi="Arial"/>
                <w:sz w:val="18"/>
                <w:szCs w:val="18"/>
                <w:color w:val="0000EE"/>
              </w:rPr>
            </w:pPr>
            <w:hyperlink w:anchor="page3">
              <w:r>
                <w:rPr>
                  <w:rFonts w:ascii="Arial" w:cs="Arial" w:eastAsia="Arial" w:hAnsi="Arial"/>
                  <w:sz w:val="18"/>
                  <w:szCs w:val="18"/>
                  <w:color w:val="0000EE"/>
                </w:rPr>
                <w:t>(Unaudited)</w:t>
              </w:r>
            </w:hyperlink>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vMerge w:val="restart"/>
          </w:tcPr>
          <w:p>
            <w:pPr>
              <w:ind w:lef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0" w:type="dxa"/>
            <w:vAlign w:val="bottom"/>
            <w:gridSpan w:val="27"/>
          </w:tcPr>
          <w:p>
            <w:pPr>
              <w:spacing w:after="0" w:line="156" w:lineRule="exact"/>
              <w:rPr>
                <w:rFonts w:ascii="Arial" w:cs="Arial" w:eastAsia="Arial" w:hAnsi="Arial"/>
                <w:sz w:val="18"/>
                <w:szCs w:val="18"/>
                <w:color w:val="0000EE"/>
              </w:rPr>
            </w:pPr>
            <w:hyperlink w:anchor="page3">
              <w:r>
                <w:rPr>
                  <w:rFonts w:ascii="Arial" w:cs="Arial" w:eastAsia="Arial" w:hAnsi="Arial"/>
                  <w:sz w:val="18"/>
                  <w:szCs w:val="18"/>
                  <w:color w:val="0000EE"/>
                </w:rPr>
                <w:t>For the Three Months Ended September 30, 2017 and 2016</w:t>
              </w:r>
            </w:hyperlink>
          </w:p>
        </w:tc>
        <w:tc>
          <w:tcPr>
            <w:tcW w:w="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320" w:type="dxa"/>
            <w:vAlign w:val="bottom"/>
            <w:gridSpan w:val="3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INCOME (Unaudited)</w:t>
              </w:r>
            </w:hyperlink>
          </w:p>
        </w:tc>
        <w:tc>
          <w:tcPr>
            <w:tcW w:w="340" w:type="dxa"/>
            <w:vAlign w:val="bottom"/>
            <w:vMerge w:val="restart"/>
          </w:tcPr>
          <w:p>
            <w:pPr>
              <w:ind w:left="1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4700" w:type="dxa"/>
            <w:vAlign w:val="bottom"/>
            <w:tcBorders>
              <w:top w:val="single" w:sz="8" w:color="0000EE"/>
              <w:bottom w:val="single" w:sz="8" w:color="0000EE"/>
            </w:tcBorders>
            <w:gridSpan w:val="18"/>
          </w:tcPr>
          <w:p>
            <w:pPr>
              <w:spacing w:after="0" w:line="156"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For the Nine Months Ended September 30, 2017 and 2016</w:t>
              </w:r>
            </w:hyperlink>
          </w:p>
        </w:tc>
        <w:tc>
          <w:tcPr>
            <w:tcW w:w="880" w:type="dxa"/>
            <w:vAlign w:val="bottom"/>
            <w:tcBorders>
              <w:top w:val="single" w:sz="8" w:color="0000EE"/>
            </w:tcBorders>
            <w:gridSpan w:val="2"/>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320" w:type="dxa"/>
            <w:vAlign w:val="bottom"/>
            <w:gridSpan w:val="3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COMPREHENSIVE INCOME</w:t>
              </w:r>
            </w:hyperlink>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6460" w:type="dxa"/>
            <w:vAlign w:val="bottom"/>
            <w:tcBorders>
              <w:top w:val="single" w:sz="8" w:color="0000EE"/>
            </w:tcBorders>
            <w:gridSpan w:val="25"/>
          </w:tcPr>
          <w:p>
            <w:pPr>
              <w:ind w:left="100"/>
              <w:spacing w:after="0" w:line="156" w:lineRule="exact"/>
              <w:rPr>
                <w:rFonts w:ascii="Arial" w:cs="Arial" w:eastAsia="Arial" w:hAnsi="Arial"/>
                <w:sz w:val="18"/>
                <w:szCs w:val="18"/>
                <w:color w:val="0000EE"/>
              </w:rPr>
            </w:pPr>
            <w:hyperlink w:anchor="page4">
              <w:r>
                <w:rPr>
                  <w:rFonts w:ascii="Arial" w:cs="Arial" w:eastAsia="Arial" w:hAnsi="Arial"/>
                  <w:sz w:val="18"/>
                  <w:szCs w:val="18"/>
                  <w:color w:val="0000EE"/>
                </w:rPr>
                <w:t>(Unaudited)</w:t>
              </w:r>
            </w:hyperlink>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vMerge w:val="restart"/>
          </w:tcPr>
          <w:p>
            <w:pPr>
              <w:ind w:left="1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700" w:type="dxa"/>
            <w:vAlign w:val="bottom"/>
            <w:tcBorders>
              <w:bottom w:val="single" w:sz="8" w:color="0000EE"/>
            </w:tcBorders>
            <w:gridSpan w:val="18"/>
          </w:tcPr>
          <w:p>
            <w:pPr>
              <w:spacing w:after="0" w:line="156"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For the Nine Months Ended September 30, 2017 and 2016</w:t>
              </w:r>
            </w:hyperlink>
          </w:p>
        </w:tc>
        <w:tc>
          <w:tcPr>
            <w:tcW w:w="2300" w:type="dxa"/>
            <w:vAlign w:val="bottom"/>
            <w:gridSpan w:val="9"/>
          </w:tcPr>
          <w:p>
            <w:pPr>
              <w:spacing w:after="0"/>
              <w:rPr>
                <w:sz w:val="13"/>
                <w:szCs w:val="13"/>
                <w:color w:val="auto"/>
              </w:rPr>
            </w:pPr>
          </w:p>
        </w:tc>
        <w:tc>
          <w:tcPr>
            <w:tcW w:w="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320" w:type="dxa"/>
            <w:vAlign w:val="bottom"/>
            <w:gridSpan w:val="3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FINANCIAL POSITION (Unaudited)</w:t>
              </w:r>
            </w:hyperlink>
          </w:p>
        </w:tc>
        <w:tc>
          <w:tcPr>
            <w:tcW w:w="340" w:type="dxa"/>
            <w:vAlign w:val="bottom"/>
            <w:vMerge w:val="restart"/>
          </w:tcPr>
          <w:p>
            <w:pPr>
              <w:ind w:lef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3840" w:type="dxa"/>
            <w:vAlign w:val="bottom"/>
            <w:tcBorders>
              <w:top w:val="single" w:sz="8" w:color="0000EE"/>
              <w:bottom w:val="single" w:sz="8" w:color="0000EE"/>
            </w:tcBorders>
            <w:gridSpan w:val="12"/>
          </w:tcPr>
          <w:p>
            <w:pPr>
              <w:spacing w:after="0" w:line="156"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At September 30, 2017 and December 31, 2016</w:t>
              </w:r>
            </w:hyperlink>
          </w:p>
        </w:tc>
        <w:tc>
          <w:tcPr>
            <w:tcW w:w="2880" w:type="dxa"/>
            <w:vAlign w:val="bottom"/>
            <w:tcBorders>
              <w:top w:val="single" w:sz="8" w:color="0000EE"/>
            </w:tcBorders>
            <w:gridSpan w:val="13"/>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320" w:type="dxa"/>
            <w:vAlign w:val="bottom"/>
            <w:gridSpan w:val="3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(Unaudited)</w:t>
              </w:r>
            </w:hyperlink>
          </w:p>
        </w:tc>
        <w:tc>
          <w:tcPr>
            <w:tcW w:w="340" w:type="dxa"/>
            <w:vAlign w:val="bottom"/>
            <w:vMerge w:val="restart"/>
          </w:tcPr>
          <w:p>
            <w:pPr>
              <w:ind w:lef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4700" w:type="dxa"/>
            <w:vAlign w:val="bottom"/>
            <w:tcBorders>
              <w:top w:val="single" w:sz="8" w:color="0000EE"/>
              <w:bottom w:val="single" w:sz="8" w:color="0000EE"/>
            </w:tcBorders>
            <w:gridSpan w:val="18"/>
          </w:tcPr>
          <w:p>
            <w:pPr>
              <w:spacing w:after="0" w:line="156"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For the Nine Months Ended September 30, 2017 and 2016</w:t>
              </w:r>
            </w:hyperlink>
          </w:p>
        </w:tc>
        <w:tc>
          <w:tcPr>
            <w:tcW w:w="1360" w:type="dxa"/>
            <w:vAlign w:val="bottom"/>
            <w:tcBorders>
              <w:top w:val="single" w:sz="8" w:color="0000EE"/>
            </w:tcBorders>
            <w:gridSpan w:val="4"/>
          </w:tcPr>
          <w:p>
            <w:pPr>
              <w:spacing w:after="0"/>
              <w:rPr>
                <w:sz w:val="13"/>
                <w:szCs w:val="13"/>
                <w:color w:val="auto"/>
              </w:rPr>
            </w:pPr>
          </w:p>
        </w:tc>
        <w:tc>
          <w:tcPr>
            <w:tcW w:w="540" w:type="dxa"/>
            <w:vAlign w:val="bottom"/>
            <w:gridSpan w:val="2"/>
          </w:tcPr>
          <w:p>
            <w:pPr>
              <w:spacing w:after="0"/>
              <w:rPr>
                <w:sz w:val="13"/>
                <w:szCs w:val="13"/>
                <w:color w:val="auto"/>
              </w:rPr>
            </w:pPr>
          </w:p>
        </w:tc>
        <w:tc>
          <w:tcPr>
            <w:tcW w:w="28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320" w:type="dxa"/>
            <w:vAlign w:val="bottom"/>
            <w:gridSpan w:val="30"/>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CHANGES IN COMMON</w:t>
              </w:r>
            </w:hyperlink>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6120" w:type="dxa"/>
            <w:vAlign w:val="bottom"/>
            <w:tcBorders>
              <w:top w:val="single" w:sz="8" w:color="0000EE"/>
            </w:tcBorders>
            <w:gridSpan w:val="23"/>
          </w:tcPr>
          <w:p>
            <w:pPr>
              <w:ind w:left="100"/>
              <w:spacing w:after="0" w:line="154" w:lineRule="exact"/>
              <w:rPr>
                <w:rFonts w:ascii="Arial" w:cs="Arial" w:eastAsia="Arial" w:hAnsi="Arial"/>
                <w:sz w:val="17"/>
                <w:szCs w:val="17"/>
                <w:color w:val="0000EE"/>
              </w:rPr>
            </w:pPr>
            <w:hyperlink w:anchor="page7">
              <w:r>
                <w:rPr>
                  <w:rFonts w:ascii="Arial" w:cs="Arial" w:eastAsia="Arial" w:hAnsi="Arial"/>
                  <w:sz w:val="17"/>
                  <w:szCs w:val="17"/>
                  <w:color w:val="0000EE"/>
                </w:rPr>
                <w:t>SHAREHOLDERS’ EQUITY (Unaudited)</w:t>
              </w:r>
            </w:hyperlink>
          </w:p>
        </w:tc>
        <w:tc>
          <w:tcPr>
            <w:tcW w:w="720" w:type="dxa"/>
            <w:vAlign w:val="bottom"/>
            <w:gridSpan w:val="3"/>
          </w:tcPr>
          <w:p>
            <w:pPr>
              <w:spacing w:after="0"/>
              <w:rPr>
                <w:sz w:val="13"/>
                <w:szCs w:val="13"/>
                <w:color w:val="auto"/>
              </w:rPr>
            </w:pPr>
          </w:p>
        </w:tc>
        <w:tc>
          <w:tcPr>
            <w:tcW w:w="28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3100" w:type="dxa"/>
            <w:vAlign w:val="bottom"/>
            <w:tcBorders>
              <w:top w:val="single" w:sz="8" w:color="0000EE"/>
            </w:tcBorders>
            <w:gridSpan w:val="10"/>
          </w:tcPr>
          <w:p>
            <w:pPr>
              <w:spacing w:after="0" w:line="157" w:lineRule="exact"/>
              <w:rPr>
                <w:rFonts w:ascii="Arial" w:cs="Arial" w:eastAsia="Arial" w:hAnsi="Arial"/>
                <w:sz w:val="18"/>
                <w:szCs w:val="18"/>
                <w:color w:val="0000EE"/>
                <w:w w:val="98"/>
              </w:rPr>
            </w:pPr>
            <w:hyperlink w:anchor="page7">
              <w:r>
                <w:rPr>
                  <w:rFonts w:ascii="Arial" w:cs="Arial" w:eastAsia="Arial" w:hAnsi="Arial"/>
                  <w:sz w:val="18"/>
                  <w:szCs w:val="18"/>
                  <w:color w:val="0000EE"/>
                  <w:w w:val="98"/>
                </w:rPr>
                <w:t>For the Nine Months Ended September</w:t>
              </w:r>
            </w:hyperlink>
          </w:p>
        </w:tc>
        <w:tc>
          <w:tcPr>
            <w:tcW w:w="3900" w:type="dxa"/>
            <w:vAlign w:val="bottom"/>
            <w:gridSpan w:val="17"/>
          </w:tcPr>
          <w:p>
            <w:pPr>
              <w:ind w:left="80"/>
              <w:spacing w:after="0" w:line="157" w:lineRule="exact"/>
              <w:rPr>
                <w:rFonts w:ascii="Arial" w:cs="Arial" w:eastAsia="Arial" w:hAnsi="Arial"/>
                <w:sz w:val="18"/>
                <w:szCs w:val="18"/>
                <w:color w:val="0000EE"/>
              </w:rPr>
            </w:pPr>
            <w:hyperlink w:anchor="page7">
              <w:r>
                <w:rPr>
                  <w:rFonts w:ascii="Arial" w:cs="Arial" w:eastAsia="Arial" w:hAnsi="Arial"/>
                  <w:sz w:val="18"/>
                  <w:szCs w:val="18"/>
                  <w:color w:val="0000EE"/>
                </w:rPr>
                <w:t>30, 2017 and 2016</w:t>
              </w:r>
            </w:hyperlink>
          </w:p>
        </w:tc>
        <w:tc>
          <w:tcPr>
            <w:tcW w:w="340" w:type="dxa"/>
            <w:vAlign w:val="bottom"/>
          </w:tcPr>
          <w:p>
            <w:pPr>
              <w:ind w:left="140"/>
              <w:spacing w:after="0" w:line="157"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92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920" w:type="dxa"/>
            <w:vAlign w:val="bottom"/>
            <w:gridSpan w:val="7"/>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320" w:type="dxa"/>
            <w:vAlign w:val="bottom"/>
            <w:gridSpan w:val="30"/>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THE CONDENSED CONSOLIDATED FINANCIAL STATEMENTS (Unaudited)</w:t>
              </w:r>
            </w:hyperlink>
          </w:p>
        </w:tc>
        <w:tc>
          <w:tcPr>
            <w:tcW w:w="340" w:type="dxa"/>
            <w:vAlign w:val="bottom"/>
          </w:tcPr>
          <w:p>
            <w:pPr>
              <w:ind w:left="1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92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40" w:type="dxa"/>
            <w:vAlign w:val="bottom"/>
            <w:gridSpan w:val="8"/>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320" w:type="dxa"/>
            <w:vAlign w:val="bottom"/>
          </w:tcPr>
          <w:p>
            <w:pPr>
              <w:spacing w:after="0"/>
              <w:rPr>
                <w:sz w:val="24"/>
                <w:szCs w:val="24"/>
                <w:color w:val="auto"/>
              </w:rPr>
            </w:pPr>
          </w:p>
        </w:tc>
        <w:tc>
          <w:tcPr>
            <w:tcW w:w="560" w:type="dxa"/>
            <w:vAlign w:val="bottom"/>
          </w:tcPr>
          <w:p>
            <w:pPr>
              <w:spacing w:after="0"/>
              <w:rPr>
                <w:rFonts w:ascii="Arial" w:cs="Arial" w:eastAsia="Arial" w:hAnsi="Arial"/>
                <w:sz w:val="18"/>
                <w:szCs w:val="18"/>
                <w:color w:val="0000EE"/>
                <w:w w:val="98"/>
              </w:rPr>
            </w:pPr>
            <w:hyperlink w:anchor="page24">
              <w:r>
                <w:rPr>
                  <w:rFonts w:ascii="Arial" w:cs="Arial" w:eastAsia="Arial" w:hAnsi="Arial"/>
                  <w:sz w:val="18"/>
                  <w:szCs w:val="18"/>
                  <w:color w:val="0000EE"/>
                  <w:w w:val="98"/>
                </w:rPr>
                <w:t>Item 2.</w:t>
              </w:r>
            </w:hyperlink>
          </w:p>
        </w:tc>
        <w:tc>
          <w:tcPr>
            <w:tcW w:w="300" w:type="dxa"/>
            <w:vAlign w:val="bottom"/>
            <w:gridSpan w:val="2"/>
          </w:tcPr>
          <w:p>
            <w:pPr>
              <w:spacing w:after="0"/>
              <w:rPr>
                <w:sz w:val="24"/>
                <w:szCs w:val="24"/>
                <w:color w:val="auto"/>
              </w:rPr>
            </w:pPr>
          </w:p>
        </w:tc>
        <w:tc>
          <w:tcPr>
            <w:tcW w:w="7580" w:type="dxa"/>
            <w:vAlign w:val="bottom"/>
            <w:gridSpan w:val="32"/>
          </w:tcPr>
          <w:p>
            <w:pPr>
              <w:ind w:left="100"/>
              <w:spacing w:after="0"/>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340" w:type="dxa"/>
            <w:vAlign w:val="bottom"/>
          </w:tcPr>
          <w:p>
            <w:pPr>
              <w:ind w:left="140"/>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92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40" w:type="dxa"/>
            <w:vAlign w:val="bottom"/>
            <w:gridSpan w:val="8"/>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320" w:type="dxa"/>
            <w:vAlign w:val="bottom"/>
          </w:tcPr>
          <w:p>
            <w:pPr>
              <w:spacing w:after="0"/>
              <w:rPr>
                <w:sz w:val="24"/>
                <w:szCs w:val="24"/>
                <w:color w:val="auto"/>
              </w:rPr>
            </w:pPr>
          </w:p>
        </w:tc>
        <w:tc>
          <w:tcPr>
            <w:tcW w:w="560" w:type="dxa"/>
            <w:vAlign w:val="bottom"/>
          </w:tcPr>
          <w:p>
            <w:pPr>
              <w:spacing w:after="0"/>
              <w:rPr>
                <w:rFonts w:ascii="Arial" w:cs="Arial" w:eastAsia="Arial" w:hAnsi="Arial"/>
                <w:sz w:val="18"/>
                <w:szCs w:val="18"/>
                <w:color w:val="0000EE"/>
                <w:w w:val="98"/>
              </w:rPr>
            </w:pPr>
            <w:hyperlink w:anchor="page34">
              <w:r>
                <w:rPr>
                  <w:rFonts w:ascii="Arial" w:cs="Arial" w:eastAsia="Arial" w:hAnsi="Arial"/>
                  <w:sz w:val="18"/>
                  <w:szCs w:val="18"/>
                  <w:color w:val="0000EE"/>
                  <w:w w:val="98"/>
                </w:rPr>
                <w:t>Item 3.</w:t>
              </w:r>
            </w:hyperlink>
          </w:p>
        </w:tc>
        <w:tc>
          <w:tcPr>
            <w:tcW w:w="300" w:type="dxa"/>
            <w:vAlign w:val="bottom"/>
            <w:gridSpan w:val="2"/>
          </w:tcPr>
          <w:p>
            <w:pPr>
              <w:spacing w:after="0"/>
              <w:rPr>
                <w:sz w:val="24"/>
                <w:szCs w:val="24"/>
                <w:color w:val="auto"/>
              </w:rPr>
            </w:pPr>
          </w:p>
        </w:tc>
        <w:tc>
          <w:tcPr>
            <w:tcW w:w="7580" w:type="dxa"/>
            <w:vAlign w:val="bottom"/>
            <w:gridSpan w:val="32"/>
          </w:tcPr>
          <w:p>
            <w:pPr>
              <w:ind w:left="100"/>
              <w:spacing w:after="0"/>
              <w:rPr>
                <w:rFonts w:ascii="Arial" w:cs="Arial" w:eastAsia="Arial" w:hAnsi="Arial"/>
                <w:sz w:val="18"/>
                <w:szCs w:val="18"/>
                <w:color w:val="0000EE"/>
              </w:rPr>
            </w:pPr>
            <w:hyperlink w:anchor="page34">
              <w:r>
                <w:rPr>
                  <w:rFonts w:ascii="Arial" w:cs="Arial" w:eastAsia="Arial" w:hAnsi="Arial"/>
                  <w:sz w:val="18"/>
                  <w:szCs w:val="18"/>
                  <w:color w:val="0000EE"/>
                </w:rPr>
                <w:t>Quantitative and Qualitative Disclosures About Market Risk</w:t>
              </w:r>
            </w:hyperlink>
          </w:p>
        </w:tc>
        <w:tc>
          <w:tcPr>
            <w:tcW w:w="340" w:type="dxa"/>
            <w:vAlign w:val="bottom"/>
          </w:tcPr>
          <w:p>
            <w:pPr>
              <w:ind w:left="140"/>
              <w:spacing w:after="0"/>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92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40" w:type="dxa"/>
            <w:vAlign w:val="bottom"/>
            <w:gridSpan w:val="11"/>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320" w:type="dxa"/>
            <w:vAlign w:val="bottom"/>
          </w:tcPr>
          <w:p>
            <w:pPr>
              <w:spacing w:after="0"/>
              <w:rPr>
                <w:sz w:val="24"/>
                <w:szCs w:val="24"/>
                <w:color w:val="auto"/>
              </w:rPr>
            </w:pPr>
          </w:p>
        </w:tc>
        <w:tc>
          <w:tcPr>
            <w:tcW w:w="560" w:type="dxa"/>
            <w:vAlign w:val="bottom"/>
          </w:tcPr>
          <w:p>
            <w:pPr>
              <w:spacing w:after="0"/>
              <w:rPr>
                <w:rFonts w:ascii="Arial" w:cs="Arial" w:eastAsia="Arial" w:hAnsi="Arial"/>
                <w:sz w:val="18"/>
                <w:szCs w:val="18"/>
                <w:color w:val="0000EE"/>
                <w:w w:val="98"/>
              </w:rPr>
            </w:pPr>
            <w:hyperlink w:anchor="page35">
              <w:r>
                <w:rPr>
                  <w:rFonts w:ascii="Arial" w:cs="Arial" w:eastAsia="Arial" w:hAnsi="Arial"/>
                  <w:sz w:val="18"/>
                  <w:szCs w:val="18"/>
                  <w:color w:val="0000EE"/>
                  <w:w w:val="98"/>
                </w:rPr>
                <w:t>Item 4.</w:t>
              </w:r>
            </w:hyperlink>
          </w:p>
        </w:tc>
        <w:tc>
          <w:tcPr>
            <w:tcW w:w="300" w:type="dxa"/>
            <w:vAlign w:val="bottom"/>
            <w:gridSpan w:val="2"/>
          </w:tcPr>
          <w:p>
            <w:pPr>
              <w:spacing w:after="0"/>
              <w:rPr>
                <w:sz w:val="24"/>
                <w:szCs w:val="24"/>
                <w:color w:val="auto"/>
              </w:rPr>
            </w:pPr>
          </w:p>
        </w:tc>
        <w:tc>
          <w:tcPr>
            <w:tcW w:w="7580" w:type="dxa"/>
            <w:vAlign w:val="bottom"/>
            <w:gridSpan w:val="32"/>
          </w:tcPr>
          <w:p>
            <w:pPr>
              <w:ind w:left="100"/>
              <w:spacing w:after="0"/>
              <w:rPr>
                <w:rFonts w:ascii="Arial" w:cs="Arial" w:eastAsia="Arial" w:hAnsi="Arial"/>
                <w:sz w:val="18"/>
                <w:szCs w:val="18"/>
                <w:color w:val="0000EE"/>
              </w:rPr>
            </w:pPr>
            <w:hyperlink w:anchor="page35">
              <w:r>
                <w:rPr>
                  <w:rFonts w:ascii="Arial" w:cs="Arial" w:eastAsia="Arial" w:hAnsi="Arial"/>
                  <w:sz w:val="18"/>
                  <w:szCs w:val="18"/>
                  <w:color w:val="0000EE"/>
                </w:rPr>
                <w:t>Controls and Procedures</w:t>
              </w:r>
            </w:hyperlink>
          </w:p>
        </w:tc>
        <w:tc>
          <w:tcPr>
            <w:tcW w:w="340" w:type="dxa"/>
            <w:vAlign w:val="bottom"/>
          </w:tcPr>
          <w:p>
            <w:pPr>
              <w:ind w:left="140"/>
              <w:spacing w:after="0"/>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640" w:type="dxa"/>
            <w:vAlign w:val="bottom"/>
            <w:gridSpan w:val="11"/>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80" w:type="dxa"/>
            <w:vAlign w:val="bottom"/>
            <w:gridSpan w:val="20"/>
          </w:tcPr>
          <w:p>
            <w:pPr>
              <w:jc w:val="center"/>
              <w:ind w:right="3020"/>
              <w:spacing w:after="0"/>
              <w:rPr>
                <w:rFonts w:ascii="Arial" w:cs="Arial" w:eastAsia="Arial" w:hAnsi="Arial"/>
                <w:sz w:val="18"/>
                <w:szCs w:val="18"/>
                <w:b w:val="1"/>
                <w:bCs w:val="1"/>
                <w:color w:val="0000EE"/>
                <w:w w:val="98"/>
              </w:rPr>
            </w:pPr>
            <w:hyperlink w:anchor="page35">
              <w:r>
                <w:rPr>
                  <w:rFonts w:ascii="Arial" w:cs="Arial" w:eastAsia="Arial" w:hAnsi="Arial"/>
                  <w:sz w:val="18"/>
                  <w:szCs w:val="18"/>
                  <w:b w:val="1"/>
                  <w:bCs w:val="1"/>
                  <w:color w:val="0000EE"/>
                  <w:w w:val="98"/>
                </w:rPr>
                <w:t>PART II. OTHER INFORMATION</w:t>
              </w:r>
            </w:hyperlink>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320" w:type="dxa"/>
            <w:vAlign w:val="bottom"/>
          </w:tcPr>
          <w:p>
            <w:pPr>
              <w:spacing w:after="0"/>
              <w:rPr>
                <w:sz w:val="24"/>
                <w:szCs w:val="24"/>
                <w:color w:val="auto"/>
              </w:rPr>
            </w:pPr>
          </w:p>
        </w:tc>
        <w:tc>
          <w:tcPr>
            <w:tcW w:w="560" w:type="dxa"/>
            <w:vAlign w:val="bottom"/>
          </w:tcPr>
          <w:p>
            <w:pPr>
              <w:spacing w:after="0"/>
              <w:rPr>
                <w:rFonts w:ascii="Arial" w:cs="Arial" w:eastAsia="Arial" w:hAnsi="Arial"/>
                <w:sz w:val="18"/>
                <w:szCs w:val="18"/>
                <w:color w:val="0000EE"/>
                <w:w w:val="98"/>
              </w:rPr>
            </w:pPr>
            <w:hyperlink w:anchor="page35">
              <w:r>
                <w:rPr>
                  <w:rFonts w:ascii="Arial" w:cs="Arial" w:eastAsia="Arial" w:hAnsi="Arial"/>
                  <w:sz w:val="18"/>
                  <w:szCs w:val="18"/>
                  <w:color w:val="0000EE"/>
                  <w:w w:val="98"/>
                </w:rPr>
                <w:t>Item 1.</w:t>
              </w:r>
            </w:hyperlink>
          </w:p>
        </w:tc>
        <w:tc>
          <w:tcPr>
            <w:tcW w:w="300" w:type="dxa"/>
            <w:vAlign w:val="bottom"/>
            <w:gridSpan w:val="2"/>
          </w:tcPr>
          <w:p>
            <w:pPr>
              <w:spacing w:after="0"/>
              <w:rPr>
                <w:sz w:val="24"/>
                <w:szCs w:val="24"/>
                <w:color w:val="auto"/>
              </w:rPr>
            </w:pPr>
          </w:p>
        </w:tc>
        <w:tc>
          <w:tcPr>
            <w:tcW w:w="1900" w:type="dxa"/>
            <w:vAlign w:val="bottom"/>
            <w:gridSpan w:val="12"/>
          </w:tcPr>
          <w:p>
            <w:pPr>
              <w:ind w:left="100"/>
              <w:spacing w:after="0"/>
              <w:rPr>
                <w:rFonts w:ascii="Arial" w:cs="Arial" w:eastAsia="Arial" w:hAnsi="Arial"/>
                <w:sz w:val="18"/>
                <w:szCs w:val="18"/>
                <w:color w:val="0000EE"/>
              </w:rPr>
            </w:pPr>
            <w:hyperlink w:anchor="page35">
              <w:r>
                <w:rPr>
                  <w:rFonts w:ascii="Arial" w:cs="Arial" w:eastAsia="Arial" w:hAnsi="Arial"/>
                  <w:sz w:val="18"/>
                  <w:szCs w:val="18"/>
                  <w:color w:val="0000EE"/>
                </w:rPr>
                <w:t>Legal Proceedings</w:t>
              </w:r>
            </w:hyperlink>
          </w:p>
        </w:tc>
        <w:tc>
          <w:tcPr>
            <w:tcW w:w="2660" w:type="dxa"/>
            <w:vAlign w:val="bottom"/>
            <w:tcBorders>
              <w:top w:val="single" w:sz="8" w:color="0000EE"/>
            </w:tcBorders>
            <w:gridSpan w:val="6"/>
          </w:tcPr>
          <w:p>
            <w:pPr>
              <w:spacing w:after="0"/>
              <w:rPr>
                <w:sz w:val="24"/>
                <w:szCs w:val="24"/>
                <w:color w:val="auto"/>
              </w:rPr>
            </w:pPr>
          </w:p>
        </w:tc>
        <w:tc>
          <w:tcPr>
            <w:tcW w:w="3020" w:type="dxa"/>
            <w:vAlign w:val="bottom"/>
            <w:gridSpan w:val="14"/>
          </w:tcPr>
          <w:p>
            <w:pPr>
              <w:spacing w:after="0"/>
              <w:rPr>
                <w:sz w:val="24"/>
                <w:szCs w:val="24"/>
                <w:color w:val="auto"/>
              </w:rPr>
            </w:pPr>
          </w:p>
        </w:tc>
        <w:tc>
          <w:tcPr>
            <w:tcW w:w="340" w:type="dxa"/>
            <w:vAlign w:val="bottom"/>
          </w:tcPr>
          <w:p>
            <w:pPr>
              <w:ind w:left="120"/>
              <w:spacing w:after="0"/>
              <w:rPr>
                <w:sz w:val="20"/>
                <w:szCs w:val="20"/>
                <w:color w:val="auto"/>
              </w:rPr>
            </w:pPr>
            <w:r>
              <w:rPr>
                <w:rFonts w:ascii="Arial" w:cs="Arial" w:eastAsia="Arial" w:hAnsi="Arial"/>
                <w:sz w:val="18"/>
                <w:szCs w:val="18"/>
                <w:color w:val="auto"/>
                <w:w w:val="99"/>
              </w:rPr>
              <w:t>35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2640" w:type="dxa"/>
            <w:vAlign w:val="bottom"/>
            <w:gridSpan w:val="11"/>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320" w:type="dxa"/>
            <w:vAlign w:val="bottom"/>
          </w:tcPr>
          <w:p>
            <w:pPr>
              <w:spacing w:after="0"/>
              <w:rPr>
                <w:sz w:val="24"/>
                <w:szCs w:val="24"/>
                <w:color w:val="auto"/>
              </w:rPr>
            </w:pPr>
          </w:p>
        </w:tc>
        <w:tc>
          <w:tcPr>
            <w:tcW w:w="680" w:type="dxa"/>
            <w:vAlign w:val="bottom"/>
            <w:gridSpan w:val="2"/>
          </w:tcPr>
          <w:p>
            <w:pPr>
              <w:spacing w:after="0"/>
              <w:rPr>
                <w:rFonts w:ascii="Arial" w:cs="Arial" w:eastAsia="Arial" w:hAnsi="Arial"/>
                <w:sz w:val="18"/>
                <w:szCs w:val="18"/>
                <w:color w:val="0000EE"/>
                <w:w w:val="98"/>
              </w:rPr>
            </w:pPr>
            <w:hyperlink w:anchor="page36">
              <w:r>
                <w:rPr>
                  <w:rFonts w:ascii="Arial" w:cs="Arial" w:eastAsia="Arial" w:hAnsi="Arial"/>
                  <w:sz w:val="18"/>
                  <w:szCs w:val="18"/>
                  <w:color w:val="0000EE"/>
                  <w:w w:val="98"/>
                </w:rPr>
                <w:t>Item 1A.</w:t>
              </w:r>
            </w:hyperlink>
          </w:p>
        </w:tc>
        <w:tc>
          <w:tcPr>
            <w:tcW w:w="180" w:type="dxa"/>
            <w:vAlign w:val="bottom"/>
          </w:tcPr>
          <w:p>
            <w:pPr>
              <w:spacing w:after="0"/>
              <w:rPr>
                <w:sz w:val="24"/>
                <w:szCs w:val="24"/>
                <w:color w:val="auto"/>
              </w:rPr>
            </w:pPr>
          </w:p>
        </w:tc>
        <w:tc>
          <w:tcPr>
            <w:tcW w:w="7580" w:type="dxa"/>
            <w:vAlign w:val="bottom"/>
            <w:gridSpan w:val="32"/>
          </w:tcPr>
          <w:p>
            <w:pPr>
              <w:ind w:left="100"/>
              <w:spacing w:after="0"/>
              <w:rPr>
                <w:rFonts w:ascii="Arial" w:cs="Arial" w:eastAsia="Arial" w:hAnsi="Arial"/>
                <w:sz w:val="18"/>
                <w:szCs w:val="18"/>
                <w:color w:val="0000EE"/>
              </w:rPr>
            </w:pPr>
            <w:hyperlink w:anchor="page36">
              <w:r>
                <w:rPr>
                  <w:rFonts w:ascii="Arial" w:cs="Arial" w:eastAsia="Arial" w:hAnsi="Arial"/>
                  <w:sz w:val="18"/>
                  <w:szCs w:val="18"/>
                  <w:color w:val="0000EE"/>
                </w:rPr>
                <w:t>Risk Factors</w:t>
              </w:r>
            </w:hyperlink>
          </w:p>
        </w:tc>
        <w:tc>
          <w:tcPr>
            <w:tcW w:w="340" w:type="dxa"/>
            <w:vAlign w:val="bottom"/>
          </w:tcPr>
          <w:p>
            <w:pPr>
              <w:ind w:left="120"/>
              <w:spacing w:after="0"/>
              <w:rPr>
                <w:sz w:val="20"/>
                <w:szCs w:val="20"/>
                <w:color w:val="auto"/>
              </w:rPr>
            </w:pPr>
            <w:r>
              <w:rPr>
                <w:rFonts w:ascii="Arial" w:cs="Arial" w:eastAsia="Arial" w:hAnsi="Arial"/>
                <w:sz w:val="18"/>
                <w:szCs w:val="18"/>
                <w:color w:val="auto"/>
                <w:w w:val="99"/>
              </w:rPr>
              <w:t>36</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2640" w:type="dxa"/>
            <w:vAlign w:val="bottom"/>
            <w:gridSpan w:val="11"/>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320" w:type="dxa"/>
            <w:vAlign w:val="bottom"/>
          </w:tcPr>
          <w:p>
            <w:pPr>
              <w:spacing w:after="0"/>
              <w:rPr>
                <w:sz w:val="24"/>
                <w:szCs w:val="24"/>
                <w:color w:val="auto"/>
              </w:rPr>
            </w:pPr>
          </w:p>
        </w:tc>
        <w:tc>
          <w:tcPr>
            <w:tcW w:w="560" w:type="dxa"/>
            <w:vAlign w:val="bottom"/>
          </w:tcPr>
          <w:p>
            <w:pPr>
              <w:spacing w:after="0"/>
              <w:rPr>
                <w:rFonts w:ascii="Arial" w:cs="Arial" w:eastAsia="Arial" w:hAnsi="Arial"/>
                <w:sz w:val="18"/>
                <w:szCs w:val="18"/>
                <w:color w:val="0000EE"/>
                <w:w w:val="98"/>
              </w:rPr>
            </w:pPr>
            <w:hyperlink w:anchor="page37">
              <w:r>
                <w:rPr>
                  <w:rFonts w:ascii="Arial" w:cs="Arial" w:eastAsia="Arial" w:hAnsi="Arial"/>
                  <w:sz w:val="18"/>
                  <w:szCs w:val="18"/>
                  <w:color w:val="0000EE"/>
                  <w:w w:val="98"/>
                </w:rPr>
                <w:t>Item 2.</w:t>
              </w:r>
            </w:hyperlink>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580" w:type="dxa"/>
            <w:vAlign w:val="bottom"/>
            <w:gridSpan w:val="32"/>
          </w:tcPr>
          <w:p>
            <w:pPr>
              <w:ind w:left="100"/>
              <w:spacing w:after="0"/>
              <w:rPr>
                <w:rFonts w:ascii="Arial" w:cs="Arial" w:eastAsia="Arial" w:hAnsi="Arial"/>
                <w:sz w:val="18"/>
                <w:szCs w:val="18"/>
                <w:color w:val="0000EE"/>
              </w:rPr>
            </w:pPr>
            <w:hyperlink w:anchor="page37">
              <w:r>
                <w:rPr>
                  <w:rFonts w:ascii="Arial" w:cs="Arial" w:eastAsia="Arial" w:hAnsi="Arial"/>
                  <w:sz w:val="18"/>
                  <w:szCs w:val="18"/>
                  <w:color w:val="0000EE"/>
                </w:rPr>
                <w:t>Unregistered Sales of Equity Securities and Use of Proceeds</w:t>
              </w:r>
            </w:hyperlink>
          </w:p>
        </w:tc>
        <w:tc>
          <w:tcPr>
            <w:tcW w:w="340" w:type="dxa"/>
            <w:vAlign w:val="bottom"/>
          </w:tcPr>
          <w:p>
            <w:pPr>
              <w:ind w:left="120"/>
              <w:spacing w:after="0"/>
              <w:rPr>
                <w:sz w:val="20"/>
                <w:szCs w:val="20"/>
                <w:color w:val="auto"/>
              </w:rPr>
            </w:pPr>
            <w:r>
              <w:rPr>
                <w:rFonts w:ascii="Arial" w:cs="Arial" w:eastAsia="Arial" w:hAnsi="Arial"/>
                <w:sz w:val="18"/>
                <w:szCs w:val="18"/>
                <w:color w:val="auto"/>
                <w:w w:val="99"/>
              </w:rPr>
              <w:t>37</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2300" w:type="dxa"/>
            <w:vAlign w:val="bottom"/>
            <w:gridSpan w:val="7"/>
            <w:shd w:val="clear" w:color="auto" w:fill="0000EE"/>
          </w:tcPr>
          <w:p>
            <w:pPr>
              <w:spacing w:after="0" w:line="20" w:lineRule="exact"/>
              <w:rPr>
                <w:sz w:val="1"/>
                <w:szCs w:val="1"/>
                <w:color w:val="auto"/>
              </w:rPr>
            </w:pPr>
          </w:p>
        </w:tc>
        <w:tc>
          <w:tcPr>
            <w:tcW w:w="2640" w:type="dxa"/>
            <w:vAlign w:val="bottom"/>
            <w:gridSpan w:val="11"/>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320" w:type="dxa"/>
            <w:vAlign w:val="bottom"/>
          </w:tcPr>
          <w:p>
            <w:pPr>
              <w:spacing w:after="0"/>
              <w:rPr>
                <w:sz w:val="24"/>
                <w:szCs w:val="24"/>
                <w:color w:val="auto"/>
              </w:rPr>
            </w:pPr>
          </w:p>
        </w:tc>
        <w:tc>
          <w:tcPr>
            <w:tcW w:w="560" w:type="dxa"/>
            <w:vAlign w:val="bottom"/>
          </w:tcPr>
          <w:p>
            <w:pPr>
              <w:spacing w:after="0"/>
              <w:rPr>
                <w:rFonts w:ascii="Arial" w:cs="Arial" w:eastAsia="Arial" w:hAnsi="Arial"/>
                <w:sz w:val="18"/>
                <w:szCs w:val="18"/>
                <w:color w:val="0000EE"/>
                <w:w w:val="98"/>
              </w:rPr>
            </w:pPr>
            <w:hyperlink w:anchor="page37">
              <w:r>
                <w:rPr>
                  <w:rFonts w:ascii="Arial" w:cs="Arial" w:eastAsia="Arial" w:hAnsi="Arial"/>
                  <w:sz w:val="18"/>
                  <w:szCs w:val="18"/>
                  <w:color w:val="0000EE"/>
                  <w:w w:val="98"/>
                </w:rPr>
                <w:t>Item 3.</w:t>
              </w:r>
            </w:hyperlink>
          </w:p>
        </w:tc>
        <w:tc>
          <w:tcPr>
            <w:tcW w:w="300" w:type="dxa"/>
            <w:vAlign w:val="bottom"/>
            <w:gridSpan w:val="2"/>
          </w:tcPr>
          <w:p>
            <w:pPr>
              <w:spacing w:after="0"/>
              <w:rPr>
                <w:sz w:val="24"/>
                <w:szCs w:val="24"/>
                <w:color w:val="auto"/>
              </w:rPr>
            </w:pPr>
          </w:p>
        </w:tc>
        <w:tc>
          <w:tcPr>
            <w:tcW w:w="7580" w:type="dxa"/>
            <w:vAlign w:val="bottom"/>
            <w:gridSpan w:val="32"/>
          </w:tcPr>
          <w:p>
            <w:pPr>
              <w:ind w:left="100"/>
              <w:spacing w:after="0"/>
              <w:rPr>
                <w:rFonts w:ascii="Arial" w:cs="Arial" w:eastAsia="Arial" w:hAnsi="Arial"/>
                <w:sz w:val="18"/>
                <w:szCs w:val="18"/>
                <w:color w:val="0000EE"/>
              </w:rPr>
            </w:pPr>
            <w:hyperlink w:anchor="page37">
              <w:r>
                <w:rPr>
                  <w:rFonts w:ascii="Arial" w:cs="Arial" w:eastAsia="Arial" w:hAnsi="Arial"/>
                  <w:sz w:val="18"/>
                  <w:szCs w:val="18"/>
                  <w:color w:val="0000EE"/>
                </w:rPr>
                <w:t>Defaults Upon Senior Securities</w:t>
              </w:r>
            </w:hyperlink>
          </w:p>
        </w:tc>
        <w:tc>
          <w:tcPr>
            <w:tcW w:w="340" w:type="dxa"/>
            <w:vAlign w:val="bottom"/>
          </w:tcPr>
          <w:p>
            <w:pPr>
              <w:ind w:left="120"/>
              <w:spacing w:after="0"/>
              <w:rPr>
                <w:sz w:val="20"/>
                <w:szCs w:val="20"/>
                <w:color w:val="auto"/>
              </w:rPr>
            </w:pPr>
            <w:r>
              <w:rPr>
                <w:rFonts w:ascii="Arial" w:cs="Arial" w:eastAsia="Arial" w:hAnsi="Arial"/>
                <w:sz w:val="18"/>
                <w:szCs w:val="18"/>
                <w:color w:val="auto"/>
                <w:w w:val="99"/>
              </w:rPr>
              <w:t>37</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4940" w:type="dxa"/>
            <w:vAlign w:val="bottom"/>
            <w:gridSpan w:val="18"/>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320" w:type="dxa"/>
            <w:vAlign w:val="bottom"/>
          </w:tcPr>
          <w:p>
            <w:pPr>
              <w:spacing w:after="0"/>
              <w:rPr>
                <w:sz w:val="24"/>
                <w:szCs w:val="24"/>
                <w:color w:val="auto"/>
              </w:rPr>
            </w:pPr>
          </w:p>
        </w:tc>
        <w:tc>
          <w:tcPr>
            <w:tcW w:w="560" w:type="dxa"/>
            <w:vAlign w:val="bottom"/>
          </w:tcPr>
          <w:p>
            <w:pPr>
              <w:spacing w:after="0"/>
              <w:rPr>
                <w:rFonts w:ascii="Arial" w:cs="Arial" w:eastAsia="Arial" w:hAnsi="Arial"/>
                <w:sz w:val="18"/>
                <w:szCs w:val="18"/>
                <w:color w:val="0000EE"/>
                <w:w w:val="98"/>
              </w:rPr>
            </w:pPr>
            <w:hyperlink w:anchor="page37">
              <w:r>
                <w:rPr>
                  <w:rFonts w:ascii="Arial" w:cs="Arial" w:eastAsia="Arial" w:hAnsi="Arial"/>
                  <w:sz w:val="18"/>
                  <w:szCs w:val="18"/>
                  <w:color w:val="0000EE"/>
                  <w:w w:val="98"/>
                </w:rPr>
                <w:t>Item 4.</w:t>
              </w:r>
            </w:hyperlink>
          </w:p>
        </w:tc>
        <w:tc>
          <w:tcPr>
            <w:tcW w:w="300" w:type="dxa"/>
            <w:vAlign w:val="bottom"/>
            <w:gridSpan w:val="2"/>
          </w:tcPr>
          <w:p>
            <w:pPr>
              <w:spacing w:after="0"/>
              <w:rPr>
                <w:sz w:val="24"/>
                <w:szCs w:val="24"/>
                <w:color w:val="auto"/>
              </w:rPr>
            </w:pPr>
          </w:p>
        </w:tc>
        <w:tc>
          <w:tcPr>
            <w:tcW w:w="7580" w:type="dxa"/>
            <w:vAlign w:val="bottom"/>
            <w:gridSpan w:val="32"/>
          </w:tcPr>
          <w:p>
            <w:pPr>
              <w:ind w:left="100"/>
              <w:spacing w:after="0"/>
              <w:rPr>
                <w:rFonts w:ascii="Arial" w:cs="Arial" w:eastAsia="Arial" w:hAnsi="Arial"/>
                <w:sz w:val="18"/>
                <w:szCs w:val="18"/>
                <w:color w:val="0000EE"/>
              </w:rPr>
            </w:pPr>
            <w:hyperlink w:anchor="page37">
              <w:r>
                <w:rPr>
                  <w:rFonts w:ascii="Arial" w:cs="Arial" w:eastAsia="Arial" w:hAnsi="Arial"/>
                  <w:sz w:val="18"/>
                  <w:szCs w:val="18"/>
                  <w:color w:val="0000EE"/>
                </w:rPr>
                <w:t>Mine Safety Disclosures</w:t>
              </w:r>
            </w:hyperlink>
          </w:p>
        </w:tc>
        <w:tc>
          <w:tcPr>
            <w:tcW w:w="340" w:type="dxa"/>
            <w:vAlign w:val="bottom"/>
          </w:tcPr>
          <w:p>
            <w:pPr>
              <w:ind w:left="120"/>
              <w:spacing w:after="0"/>
              <w:rPr>
                <w:sz w:val="20"/>
                <w:szCs w:val="20"/>
                <w:color w:val="auto"/>
              </w:rPr>
            </w:pPr>
            <w:r>
              <w:rPr>
                <w:rFonts w:ascii="Arial" w:cs="Arial" w:eastAsia="Arial" w:hAnsi="Arial"/>
                <w:sz w:val="18"/>
                <w:szCs w:val="18"/>
                <w:color w:val="auto"/>
                <w:w w:val="99"/>
              </w:rPr>
              <w:t>37</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5560" w:type="dxa"/>
            <w:vAlign w:val="bottom"/>
            <w:gridSpan w:val="19"/>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320" w:type="dxa"/>
            <w:vAlign w:val="bottom"/>
          </w:tcPr>
          <w:p>
            <w:pPr>
              <w:spacing w:after="0"/>
              <w:rPr>
                <w:sz w:val="24"/>
                <w:szCs w:val="24"/>
                <w:color w:val="auto"/>
              </w:rPr>
            </w:pPr>
          </w:p>
        </w:tc>
        <w:tc>
          <w:tcPr>
            <w:tcW w:w="560" w:type="dxa"/>
            <w:vAlign w:val="bottom"/>
          </w:tcPr>
          <w:p>
            <w:pPr>
              <w:spacing w:after="0"/>
              <w:rPr>
                <w:rFonts w:ascii="Arial" w:cs="Arial" w:eastAsia="Arial" w:hAnsi="Arial"/>
                <w:sz w:val="18"/>
                <w:szCs w:val="18"/>
                <w:color w:val="0000EE"/>
                <w:w w:val="98"/>
              </w:rPr>
            </w:pPr>
            <w:hyperlink w:anchor="page37">
              <w:r>
                <w:rPr>
                  <w:rFonts w:ascii="Arial" w:cs="Arial" w:eastAsia="Arial" w:hAnsi="Arial"/>
                  <w:sz w:val="18"/>
                  <w:szCs w:val="18"/>
                  <w:color w:val="0000EE"/>
                  <w:w w:val="98"/>
                </w:rPr>
                <w:t>Item 5.</w:t>
              </w:r>
            </w:hyperlink>
          </w:p>
        </w:tc>
        <w:tc>
          <w:tcPr>
            <w:tcW w:w="300" w:type="dxa"/>
            <w:vAlign w:val="bottom"/>
            <w:gridSpan w:val="2"/>
          </w:tcPr>
          <w:p>
            <w:pPr>
              <w:spacing w:after="0"/>
              <w:rPr>
                <w:sz w:val="24"/>
                <w:szCs w:val="24"/>
                <w:color w:val="auto"/>
              </w:rPr>
            </w:pPr>
          </w:p>
        </w:tc>
        <w:tc>
          <w:tcPr>
            <w:tcW w:w="7580" w:type="dxa"/>
            <w:vAlign w:val="bottom"/>
            <w:gridSpan w:val="32"/>
          </w:tcPr>
          <w:p>
            <w:pPr>
              <w:ind w:left="100"/>
              <w:spacing w:after="0"/>
              <w:rPr>
                <w:rFonts w:ascii="Arial" w:cs="Arial" w:eastAsia="Arial" w:hAnsi="Arial"/>
                <w:sz w:val="18"/>
                <w:szCs w:val="18"/>
                <w:color w:val="0000EE"/>
              </w:rPr>
            </w:pPr>
            <w:hyperlink w:anchor="page37">
              <w:r>
                <w:rPr>
                  <w:rFonts w:ascii="Arial" w:cs="Arial" w:eastAsia="Arial" w:hAnsi="Arial"/>
                  <w:sz w:val="18"/>
                  <w:szCs w:val="18"/>
                  <w:color w:val="0000EE"/>
                </w:rPr>
                <w:t>Other Information</w:t>
              </w:r>
            </w:hyperlink>
          </w:p>
        </w:tc>
        <w:tc>
          <w:tcPr>
            <w:tcW w:w="340" w:type="dxa"/>
            <w:vAlign w:val="bottom"/>
          </w:tcPr>
          <w:p>
            <w:pPr>
              <w:ind w:left="120"/>
              <w:spacing w:after="0"/>
              <w:rPr>
                <w:sz w:val="20"/>
                <w:szCs w:val="20"/>
                <w:color w:val="auto"/>
              </w:rPr>
            </w:pPr>
            <w:r>
              <w:rPr>
                <w:rFonts w:ascii="Arial" w:cs="Arial" w:eastAsia="Arial" w:hAnsi="Arial"/>
                <w:sz w:val="18"/>
                <w:szCs w:val="18"/>
                <w:color w:val="auto"/>
                <w:w w:val="99"/>
              </w:rPr>
              <w:t>37</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6080" w:type="dxa"/>
            <w:vAlign w:val="bottom"/>
            <w:gridSpan w:val="2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320" w:type="dxa"/>
            <w:vAlign w:val="bottom"/>
          </w:tcPr>
          <w:p>
            <w:pPr>
              <w:spacing w:after="0"/>
              <w:rPr>
                <w:sz w:val="24"/>
                <w:szCs w:val="24"/>
                <w:color w:val="auto"/>
              </w:rPr>
            </w:pPr>
          </w:p>
        </w:tc>
        <w:tc>
          <w:tcPr>
            <w:tcW w:w="560" w:type="dxa"/>
            <w:vAlign w:val="bottom"/>
          </w:tcPr>
          <w:p>
            <w:pPr>
              <w:spacing w:after="0"/>
              <w:rPr>
                <w:rFonts w:ascii="Arial" w:cs="Arial" w:eastAsia="Arial" w:hAnsi="Arial"/>
                <w:sz w:val="18"/>
                <w:szCs w:val="18"/>
                <w:color w:val="0000EE"/>
                <w:w w:val="98"/>
              </w:rPr>
            </w:pPr>
            <w:hyperlink w:anchor="page38">
              <w:r>
                <w:rPr>
                  <w:rFonts w:ascii="Arial" w:cs="Arial" w:eastAsia="Arial" w:hAnsi="Arial"/>
                  <w:sz w:val="18"/>
                  <w:szCs w:val="18"/>
                  <w:color w:val="0000EE"/>
                  <w:w w:val="98"/>
                </w:rPr>
                <w:t>Item 6.</w:t>
              </w:r>
            </w:hyperlink>
          </w:p>
        </w:tc>
        <w:tc>
          <w:tcPr>
            <w:tcW w:w="300" w:type="dxa"/>
            <w:vAlign w:val="bottom"/>
            <w:gridSpan w:val="2"/>
          </w:tcPr>
          <w:p>
            <w:pPr>
              <w:spacing w:after="0"/>
              <w:rPr>
                <w:sz w:val="24"/>
                <w:szCs w:val="24"/>
                <w:color w:val="auto"/>
              </w:rPr>
            </w:pPr>
          </w:p>
        </w:tc>
        <w:tc>
          <w:tcPr>
            <w:tcW w:w="7580" w:type="dxa"/>
            <w:vAlign w:val="bottom"/>
            <w:gridSpan w:val="32"/>
          </w:tcPr>
          <w:p>
            <w:pPr>
              <w:ind w:left="100"/>
              <w:spacing w:after="0"/>
              <w:rPr>
                <w:rFonts w:ascii="Arial" w:cs="Arial" w:eastAsia="Arial" w:hAnsi="Arial"/>
                <w:sz w:val="18"/>
                <w:szCs w:val="18"/>
                <w:color w:val="0000EE"/>
              </w:rPr>
            </w:pPr>
            <w:hyperlink w:anchor="page38">
              <w:r>
                <w:rPr>
                  <w:rFonts w:ascii="Arial" w:cs="Arial" w:eastAsia="Arial" w:hAnsi="Arial"/>
                  <w:sz w:val="18"/>
                  <w:szCs w:val="18"/>
                  <w:color w:val="0000EE"/>
                </w:rPr>
                <w:t>Exhibits</w:t>
              </w:r>
            </w:hyperlink>
          </w:p>
        </w:tc>
        <w:tc>
          <w:tcPr>
            <w:tcW w:w="340" w:type="dxa"/>
            <w:vAlign w:val="bottom"/>
          </w:tcPr>
          <w:p>
            <w:pPr>
              <w:ind w:left="120"/>
              <w:spacing w:after="0"/>
              <w:rPr>
                <w:sz w:val="20"/>
                <w:szCs w:val="20"/>
                <w:color w:val="auto"/>
              </w:rPr>
            </w:pPr>
            <w:r>
              <w:rPr>
                <w:rFonts w:ascii="Arial" w:cs="Arial" w:eastAsia="Arial" w:hAnsi="Arial"/>
                <w:sz w:val="18"/>
                <w:szCs w:val="18"/>
                <w:color w:val="auto"/>
                <w:w w:val="99"/>
              </w:rPr>
              <w:t>38</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320" w:type="dxa"/>
            <w:vAlign w:val="bottom"/>
          </w:tcPr>
          <w:p>
            <w:pPr>
              <w:spacing w:after="0"/>
              <w:rPr>
                <w:sz w:val="24"/>
                <w:szCs w:val="24"/>
                <w:color w:val="auto"/>
              </w:rPr>
            </w:pPr>
          </w:p>
        </w:tc>
        <w:tc>
          <w:tcPr>
            <w:tcW w:w="860" w:type="dxa"/>
            <w:vAlign w:val="bottom"/>
            <w:tcBorders>
              <w:bottom w:val="single" w:sz="8" w:color="0000EE"/>
            </w:tcBorders>
            <w:gridSpan w:val="3"/>
          </w:tcPr>
          <w:p>
            <w:pPr>
              <w:spacing w:after="0"/>
              <w:rPr>
                <w:rFonts w:ascii="Arial" w:cs="Arial" w:eastAsia="Arial" w:hAnsi="Arial"/>
                <w:sz w:val="18"/>
                <w:szCs w:val="18"/>
                <w:color w:val="0000EE"/>
                <w:w w:val="97"/>
              </w:rPr>
            </w:pPr>
            <w:hyperlink w:anchor="page39">
              <w:r>
                <w:rPr>
                  <w:rFonts w:ascii="Arial" w:cs="Arial" w:eastAsia="Arial" w:hAnsi="Arial"/>
                  <w:sz w:val="18"/>
                  <w:szCs w:val="18"/>
                  <w:color w:val="0000EE"/>
                  <w:w w:val="97"/>
                </w:rPr>
                <w:t>Signatures</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ind w:left="120"/>
              <w:spacing w:after="0"/>
              <w:rPr>
                <w:sz w:val="20"/>
                <w:szCs w:val="20"/>
                <w:color w:val="auto"/>
              </w:rPr>
            </w:pPr>
            <w:r>
              <w:rPr>
                <w:rFonts w:ascii="Arial" w:cs="Arial" w:eastAsia="Arial" w:hAnsi="Arial"/>
                <w:sz w:val="18"/>
                <w:szCs w:val="18"/>
                <w:color w:val="auto"/>
                <w:w w:val="99"/>
              </w:rPr>
              <w:t>39</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Certifications</w:t>
      </w:r>
    </w:p>
    <w:p>
      <w:pPr>
        <w:spacing w:after="0" w:line="200" w:lineRule="exact"/>
        <w:rPr>
          <w:sz w:val="20"/>
          <w:szCs w:val="20"/>
          <w:color w:val="auto"/>
        </w:rPr>
      </w:pPr>
    </w:p>
    <w:p>
      <w:pPr>
        <w:spacing w:after="0" w:line="33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45085</wp:posOffset>
            </wp:positionV>
            <wp:extent cx="5642610" cy="51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200"/>
          </w:cols>
          <w:pgMar w:left="1440" w:top="95" w:right="1259" w:bottom="1440" w:gutter="0" w:footer="0" w:header="0"/>
        </w:sectPr>
      </w:pPr>
    </w:p>
    <w:bookmarkStart w:id="2" w:name="page3"/>
    <w:bookmarkEnd w:id="2"/>
    <w:p>
      <w:pPr>
        <w:ind w:left="10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ind w:left="100"/>
        <w:spacing w:after="0"/>
        <w:rPr>
          <w:sz w:val="20"/>
          <w:szCs w:val="20"/>
          <w:color w:val="auto"/>
        </w:rPr>
      </w:pPr>
      <w:r>
        <w:rPr>
          <w:rFonts w:ascii="Arial" w:cs="Arial" w:eastAsia="Arial" w:hAnsi="Arial"/>
          <w:sz w:val="18"/>
          <w:szCs w:val="18"/>
          <w:b w:val="1"/>
          <w:bCs w:val="1"/>
          <w:u w:val="single" w:color="auto"/>
          <w:color w:val="auto"/>
        </w:rPr>
        <w:t>PART I. FINANCIAL INFORMATION</w:t>
      </w:r>
    </w:p>
    <w:p>
      <w:pPr>
        <w:spacing w:after="0" w:line="14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13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Condensed Consolidated Statements of Income (Unaudited)</w:t>
      </w:r>
    </w:p>
    <w:p>
      <w:pPr>
        <w:ind w:left="100"/>
        <w:spacing w:after="0"/>
        <w:rPr>
          <w:sz w:val="20"/>
          <w:szCs w:val="20"/>
          <w:color w:val="auto"/>
        </w:rPr>
      </w:pPr>
      <w:r>
        <w:rPr>
          <w:rFonts w:ascii="Arial" w:cs="Arial" w:eastAsia="Arial" w:hAnsi="Arial"/>
          <w:sz w:val="18"/>
          <w:szCs w:val="18"/>
          <w:i w:val="1"/>
          <w:iCs w:val="1"/>
          <w:color w:val="auto"/>
        </w:rPr>
        <w:t>Union Pacific Corporation and Subsidiary Companies</w:t>
      </w:r>
    </w:p>
    <w:p>
      <w:pPr>
        <w:spacing w:after="0" w:line="193" w:lineRule="exact"/>
        <w:rPr>
          <w:sz w:val="20"/>
          <w:szCs w:val="20"/>
          <w:color w:val="auto"/>
        </w:rPr>
      </w:pPr>
    </w:p>
    <w:tbl>
      <w:tblPr>
        <w:tblLayout w:type="fixed"/>
        <w:tblInd w:w="100" w:type="dxa"/>
        <w:tblCellMar>
          <w:top w:w="0" w:type="dxa"/>
          <w:left w:w="0" w:type="dxa"/>
          <w:bottom w:w="0" w:type="dxa"/>
          <w:right w:w="0" w:type="dxa"/>
        </w:tblCellMar>
      </w:tblPr>
      <w:tr>
        <w:trPr>
          <w:trHeight w:val="256"/>
        </w:trPr>
        <w:tc>
          <w:tcPr>
            <w:tcW w:w="5180" w:type="dxa"/>
            <w:vAlign w:val="bottom"/>
            <w:tcBorders>
              <w:top w:val="single" w:sz="8" w:color="7F7F7F"/>
            </w:tcBorders>
          </w:tcPr>
          <w:p>
            <w:pPr>
              <w:spacing w:after="0"/>
              <w:rPr>
                <w:sz w:val="20"/>
                <w:szCs w:val="20"/>
                <w:color w:val="auto"/>
              </w:rPr>
            </w:pPr>
            <w:r>
              <w:rPr>
                <w:rFonts w:ascii="Arial" w:cs="Arial" w:eastAsia="Arial" w:hAnsi="Arial"/>
                <w:sz w:val="16"/>
                <w:szCs w:val="16"/>
                <w:i w:val="1"/>
                <w:iCs w:val="1"/>
                <w:color w:val="auto"/>
              </w:rPr>
              <w:t>Millions, Except Per Share Amounts,</w:t>
            </w:r>
          </w:p>
        </w:tc>
        <w:tc>
          <w:tcPr>
            <w:tcW w:w="1960" w:type="dxa"/>
            <w:vAlign w:val="bottom"/>
            <w:tcBorders>
              <w:top w:val="single" w:sz="8" w:color="7F7F7F"/>
            </w:tcBorders>
          </w:tcPr>
          <w:p>
            <w:pPr>
              <w:spacing w:after="0"/>
              <w:rPr>
                <w:sz w:val="22"/>
                <w:szCs w:val="22"/>
                <w:color w:val="auto"/>
              </w:rPr>
            </w:pPr>
          </w:p>
        </w:tc>
        <w:tc>
          <w:tcPr>
            <w:tcW w:w="700" w:type="dxa"/>
            <w:vAlign w:val="bottom"/>
            <w:tcBorders>
              <w:top w:val="single" w:sz="8" w:color="7F7F7F"/>
            </w:tcBorders>
            <w:vMerge w:val="restart"/>
          </w:tcPr>
          <w:p>
            <w:pPr>
              <w:jc w:val="right"/>
              <w:ind w:right="39"/>
              <w:spacing w:after="0"/>
              <w:rPr>
                <w:sz w:val="20"/>
                <w:szCs w:val="20"/>
                <w:color w:val="auto"/>
              </w:rPr>
            </w:pPr>
            <w:r>
              <w:rPr>
                <w:rFonts w:ascii="Arial" w:cs="Arial" w:eastAsia="Arial" w:hAnsi="Arial"/>
                <w:sz w:val="16"/>
                <w:szCs w:val="16"/>
                <w:b w:val="1"/>
                <w:bCs w:val="1"/>
                <w:i w:val="1"/>
                <w:iCs w:val="1"/>
                <w:color w:val="auto"/>
              </w:rPr>
              <w:t>2017</w:t>
            </w:r>
          </w:p>
        </w:tc>
        <w:tc>
          <w:tcPr>
            <w:tcW w:w="360" w:type="dxa"/>
            <w:vAlign w:val="bottom"/>
            <w:tcBorders>
              <w:top w:val="single" w:sz="8" w:color="7F7F7F"/>
            </w:tcBorders>
          </w:tcPr>
          <w:p>
            <w:pPr>
              <w:spacing w:after="0"/>
              <w:rPr>
                <w:sz w:val="22"/>
                <w:szCs w:val="22"/>
                <w:color w:val="auto"/>
              </w:rPr>
            </w:pPr>
          </w:p>
        </w:tc>
        <w:tc>
          <w:tcPr>
            <w:tcW w:w="620" w:type="dxa"/>
            <w:vAlign w:val="bottom"/>
            <w:tcBorders>
              <w:top w:val="single" w:sz="8" w:color="7F7F7F"/>
            </w:tcBorders>
            <w:vMerge w:val="restart"/>
          </w:tcPr>
          <w:p>
            <w:pPr>
              <w:jc w:val="right"/>
              <w:spacing w:after="0"/>
              <w:rPr>
                <w:sz w:val="20"/>
                <w:szCs w:val="20"/>
                <w:color w:val="auto"/>
              </w:rPr>
            </w:pPr>
            <w:r>
              <w:rPr>
                <w:rFonts w:ascii="Arial" w:cs="Arial" w:eastAsia="Arial" w:hAnsi="Arial"/>
                <w:sz w:val="16"/>
                <w:szCs w:val="16"/>
                <w:i w:val="1"/>
                <w:iCs w:val="1"/>
                <w:color w:val="auto"/>
              </w:rPr>
              <w:t>2016</w:t>
            </w:r>
          </w:p>
        </w:tc>
        <w:tc>
          <w:tcPr>
            <w:tcW w:w="0" w:type="dxa"/>
            <w:vAlign w:val="bottom"/>
          </w:tcPr>
          <w:p>
            <w:pPr>
              <w:spacing w:after="0"/>
              <w:rPr>
                <w:sz w:val="1"/>
                <w:szCs w:val="1"/>
                <w:color w:val="auto"/>
              </w:rPr>
            </w:pPr>
          </w:p>
        </w:tc>
      </w:tr>
      <w:tr>
        <w:trPr>
          <w:trHeight w:val="197"/>
        </w:trPr>
        <w:tc>
          <w:tcPr>
            <w:tcW w:w="5180" w:type="dxa"/>
            <w:vAlign w:val="bottom"/>
            <w:tcBorders>
              <w:bottom w:val="single" w:sz="8" w:color="7F7F7F"/>
            </w:tcBorders>
          </w:tcPr>
          <w:p>
            <w:pPr>
              <w:spacing w:after="0"/>
              <w:rPr>
                <w:sz w:val="20"/>
                <w:szCs w:val="20"/>
                <w:color w:val="auto"/>
              </w:rPr>
            </w:pPr>
            <w:r>
              <w:rPr>
                <w:rFonts w:ascii="Arial" w:cs="Arial" w:eastAsia="Arial" w:hAnsi="Arial"/>
                <w:sz w:val="16"/>
                <w:szCs w:val="16"/>
                <w:i w:val="1"/>
                <w:iCs w:val="1"/>
                <w:color w:val="auto"/>
              </w:rPr>
              <w:t>for the Three Months Ended September 30,</w:t>
            </w:r>
          </w:p>
        </w:tc>
        <w:tc>
          <w:tcPr>
            <w:tcW w:w="1960" w:type="dxa"/>
            <w:vAlign w:val="bottom"/>
            <w:tcBorders>
              <w:bottom w:val="single" w:sz="8" w:color="7F7F7F"/>
            </w:tcBorders>
          </w:tcPr>
          <w:p>
            <w:pPr>
              <w:spacing w:after="0"/>
              <w:rPr>
                <w:sz w:val="17"/>
                <w:szCs w:val="17"/>
                <w:color w:val="auto"/>
              </w:rPr>
            </w:pPr>
          </w:p>
        </w:tc>
        <w:tc>
          <w:tcPr>
            <w:tcW w:w="700" w:type="dxa"/>
            <w:vAlign w:val="bottom"/>
            <w:tcBorders>
              <w:bottom w:val="single" w:sz="8" w:color="7F7F7F"/>
            </w:tcBorders>
            <w:vMerge w:val="continue"/>
          </w:tcPr>
          <w:p>
            <w:pPr>
              <w:spacing w:after="0"/>
              <w:rPr>
                <w:sz w:val="17"/>
                <w:szCs w:val="17"/>
                <w:color w:val="auto"/>
              </w:rPr>
            </w:pPr>
          </w:p>
        </w:tc>
        <w:tc>
          <w:tcPr>
            <w:tcW w:w="360" w:type="dxa"/>
            <w:vAlign w:val="bottom"/>
            <w:tcBorders>
              <w:bottom w:val="single" w:sz="8" w:color="7F7F7F"/>
            </w:tcBorders>
          </w:tcPr>
          <w:p>
            <w:pPr>
              <w:spacing w:after="0"/>
              <w:rPr>
                <w:sz w:val="17"/>
                <w:szCs w:val="17"/>
                <w:color w:val="auto"/>
              </w:rPr>
            </w:pPr>
          </w:p>
        </w:tc>
        <w:tc>
          <w:tcPr>
            <w:tcW w:w="620" w:type="dxa"/>
            <w:vAlign w:val="bottom"/>
            <w:tcBorders>
              <w:bottom w:val="single" w:sz="8" w:color="7F7F7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Operating revenues:</w:t>
            </w:r>
          </w:p>
        </w:tc>
        <w:tc>
          <w:tcPr>
            <w:tcW w:w="19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80" w:type="dxa"/>
            <w:vAlign w:val="bottom"/>
          </w:tcPr>
          <w:p>
            <w:pPr>
              <w:ind w:left="220"/>
              <w:spacing w:after="0"/>
              <w:rPr>
                <w:sz w:val="20"/>
                <w:szCs w:val="20"/>
                <w:color w:val="auto"/>
              </w:rPr>
            </w:pPr>
            <w:r>
              <w:rPr>
                <w:rFonts w:ascii="Arial" w:cs="Arial" w:eastAsia="Arial" w:hAnsi="Arial"/>
                <w:sz w:val="16"/>
                <w:szCs w:val="16"/>
                <w:color w:val="auto"/>
              </w:rPr>
              <w:t>Freight revenues</w:t>
            </w:r>
          </w:p>
        </w:tc>
        <w:tc>
          <w:tcPr>
            <w:tcW w:w="196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ind w:right="39"/>
              <w:spacing w:after="0"/>
              <w:rPr>
                <w:sz w:val="20"/>
                <w:szCs w:val="20"/>
                <w:color w:val="auto"/>
              </w:rPr>
            </w:pPr>
            <w:r>
              <w:rPr>
                <w:rFonts w:ascii="Arial" w:cs="Arial" w:eastAsia="Arial" w:hAnsi="Arial"/>
                <w:sz w:val="16"/>
                <w:szCs w:val="16"/>
                <w:b w:val="1"/>
                <w:bCs w:val="1"/>
                <w:color w:val="auto"/>
              </w:rPr>
              <w:t>5,050</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4,837</w:t>
            </w:r>
          </w:p>
        </w:tc>
        <w:tc>
          <w:tcPr>
            <w:tcW w:w="0" w:type="dxa"/>
            <w:vAlign w:val="bottom"/>
          </w:tcPr>
          <w:p>
            <w:pPr>
              <w:spacing w:after="0"/>
              <w:rPr>
                <w:sz w:val="1"/>
                <w:szCs w:val="1"/>
                <w:color w:val="auto"/>
              </w:rPr>
            </w:pPr>
          </w:p>
        </w:tc>
      </w:tr>
      <w:tr>
        <w:trPr>
          <w:trHeight w:val="231"/>
        </w:trPr>
        <w:tc>
          <w:tcPr>
            <w:tcW w:w="5180" w:type="dxa"/>
            <w:vAlign w:val="bottom"/>
            <w:tcBorders>
              <w:bottom w:val="single" w:sz="8" w:color="7F7F7F"/>
            </w:tcBorders>
            <w:shd w:val="clear" w:color="auto" w:fill="CCEEFF"/>
          </w:tcPr>
          <w:p>
            <w:pPr>
              <w:ind w:left="220"/>
              <w:spacing w:after="0"/>
              <w:rPr>
                <w:sz w:val="20"/>
                <w:szCs w:val="20"/>
                <w:color w:val="auto"/>
              </w:rPr>
            </w:pPr>
            <w:r>
              <w:rPr>
                <w:rFonts w:ascii="Arial" w:cs="Arial" w:eastAsia="Arial" w:hAnsi="Arial"/>
                <w:sz w:val="16"/>
                <w:szCs w:val="16"/>
                <w:color w:val="auto"/>
              </w:rPr>
              <w:t>Other revenues</w:t>
            </w:r>
          </w:p>
        </w:tc>
        <w:tc>
          <w:tcPr>
            <w:tcW w:w="1960" w:type="dxa"/>
            <w:vAlign w:val="bottom"/>
            <w:tcBorders>
              <w:bottom w:val="single" w:sz="8" w:color="7F7F7F"/>
            </w:tcBorders>
            <w:shd w:val="clear" w:color="auto" w:fill="CCEEFF"/>
          </w:tcPr>
          <w:p>
            <w:pPr>
              <w:spacing w:after="0"/>
              <w:rPr>
                <w:sz w:val="20"/>
                <w:szCs w:val="20"/>
                <w:color w:val="auto"/>
              </w:rPr>
            </w:pPr>
          </w:p>
        </w:tc>
        <w:tc>
          <w:tcPr>
            <w:tcW w:w="700" w:type="dxa"/>
            <w:vAlign w:val="bottom"/>
            <w:tcBorders>
              <w:bottom w:val="single" w:sz="8" w:color="7F7F7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358</w:t>
            </w:r>
          </w:p>
        </w:tc>
        <w:tc>
          <w:tcPr>
            <w:tcW w:w="360" w:type="dxa"/>
            <w:vAlign w:val="bottom"/>
            <w:tcBorders>
              <w:bottom w:val="single" w:sz="8" w:color="7F7F7F"/>
            </w:tcBorders>
            <w:shd w:val="clear" w:color="auto" w:fill="CCEEFF"/>
          </w:tcPr>
          <w:p>
            <w:pPr>
              <w:spacing w:after="0"/>
              <w:rPr>
                <w:sz w:val="20"/>
                <w:szCs w:val="20"/>
                <w:color w:val="auto"/>
              </w:rPr>
            </w:pPr>
          </w:p>
        </w:tc>
        <w:tc>
          <w:tcPr>
            <w:tcW w:w="6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0" w:type="dxa"/>
            <w:vAlign w:val="bottom"/>
          </w:tcPr>
          <w:p>
            <w:pPr>
              <w:spacing w:after="0"/>
              <w:rPr>
                <w:sz w:val="1"/>
                <w:szCs w:val="1"/>
                <w:color w:val="auto"/>
              </w:rPr>
            </w:pPr>
          </w:p>
        </w:tc>
      </w:tr>
      <w:tr>
        <w:trPr>
          <w:trHeight w:val="251"/>
        </w:trPr>
        <w:tc>
          <w:tcPr>
            <w:tcW w:w="5180" w:type="dxa"/>
            <w:vAlign w:val="bottom"/>
          </w:tcPr>
          <w:p>
            <w:pPr>
              <w:spacing w:after="0"/>
              <w:rPr>
                <w:sz w:val="20"/>
                <w:szCs w:val="20"/>
                <w:color w:val="auto"/>
              </w:rPr>
            </w:pPr>
            <w:r>
              <w:rPr>
                <w:rFonts w:ascii="Arial" w:cs="Arial" w:eastAsia="Arial" w:hAnsi="Arial"/>
                <w:sz w:val="16"/>
                <w:szCs w:val="16"/>
                <w:color w:val="auto"/>
              </w:rPr>
              <w:t>Total operating revenues</w:t>
            </w:r>
          </w:p>
        </w:tc>
        <w:tc>
          <w:tcPr>
            <w:tcW w:w="1960" w:type="dxa"/>
            <w:vAlign w:val="bottom"/>
          </w:tcPr>
          <w:p>
            <w:pPr>
              <w:spacing w:after="0"/>
              <w:rPr>
                <w:sz w:val="21"/>
                <w:szCs w:val="21"/>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b w:val="1"/>
                <w:bCs w:val="1"/>
                <w:color w:val="auto"/>
              </w:rPr>
              <w:t>5,408</w:t>
            </w: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5,174</w:t>
            </w:r>
          </w:p>
        </w:tc>
        <w:tc>
          <w:tcPr>
            <w:tcW w:w="0" w:type="dxa"/>
            <w:vAlign w:val="bottom"/>
          </w:tcPr>
          <w:p>
            <w:pPr>
              <w:spacing w:after="0"/>
              <w:rPr>
                <w:sz w:val="1"/>
                <w:szCs w:val="1"/>
                <w:color w:val="auto"/>
              </w:rPr>
            </w:pPr>
          </w:p>
        </w:tc>
      </w:tr>
      <w:tr>
        <w:trPr>
          <w:trHeight w:val="54"/>
        </w:trPr>
        <w:tc>
          <w:tcPr>
            <w:tcW w:w="5180" w:type="dxa"/>
            <w:vAlign w:val="bottom"/>
            <w:tcBorders>
              <w:bottom w:val="single" w:sz="8" w:color="7F7F7F"/>
            </w:tcBorders>
          </w:tcPr>
          <w:p>
            <w:pPr>
              <w:spacing w:after="0"/>
              <w:rPr>
                <w:sz w:val="4"/>
                <w:szCs w:val="4"/>
                <w:color w:val="auto"/>
              </w:rPr>
            </w:pPr>
          </w:p>
        </w:tc>
        <w:tc>
          <w:tcPr>
            <w:tcW w:w="1960" w:type="dxa"/>
            <w:vAlign w:val="bottom"/>
            <w:tcBorders>
              <w:bottom w:val="single" w:sz="8" w:color="7F7F7F"/>
            </w:tcBorders>
          </w:tcPr>
          <w:p>
            <w:pPr>
              <w:spacing w:after="0"/>
              <w:rPr>
                <w:sz w:val="4"/>
                <w:szCs w:val="4"/>
                <w:color w:val="auto"/>
              </w:rPr>
            </w:pPr>
          </w:p>
        </w:tc>
        <w:tc>
          <w:tcPr>
            <w:tcW w:w="700" w:type="dxa"/>
            <w:vAlign w:val="bottom"/>
            <w:tcBorders>
              <w:bottom w:val="single" w:sz="8" w:color="7F7F7F"/>
            </w:tcBorders>
          </w:tcPr>
          <w:p>
            <w:pPr>
              <w:spacing w:after="0"/>
              <w:rPr>
                <w:sz w:val="4"/>
                <w:szCs w:val="4"/>
                <w:color w:val="auto"/>
              </w:rPr>
            </w:pPr>
          </w:p>
        </w:tc>
        <w:tc>
          <w:tcPr>
            <w:tcW w:w="360" w:type="dxa"/>
            <w:vAlign w:val="bottom"/>
            <w:tcBorders>
              <w:bottom w:val="single" w:sz="8" w:color="7F7F7F"/>
            </w:tcBorders>
          </w:tcPr>
          <w:p>
            <w:pPr>
              <w:spacing w:after="0"/>
              <w:rPr>
                <w:sz w:val="4"/>
                <w:szCs w:val="4"/>
                <w:color w:val="auto"/>
              </w:rPr>
            </w:pPr>
          </w:p>
        </w:tc>
        <w:tc>
          <w:tcPr>
            <w:tcW w:w="62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19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180" w:type="dxa"/>
            <w:vAlign w:val="bottom"/>
          </w:tcPr>
          <w:p>
            <w:pPr>
              <w:ind w:left="220"/>
              <w:spacing w:after="0"/>
              <w:rPr>
                <w:sz w:val="20"/>
                <w:szCs w:val="20"/>
                <w:color w:val="auto"/>
              </w:rPr>
            </w:pPr>
            <w:r>
              <w:rPr>
                <w:rFonts w:ascii="Arial" w:cs="Arial" w:eastAsia="Arial" w:hAnsi="Arial"/>
                <w:sz w:val="16"/>
                <w:szCs w:val="16"/>
                <w:color w:val="auto"/>
              </w:rPr>
              <w:t>Compensation and benefits</w:t>
            </w:r>
          </w:p>
        </w:tc>
        <w:tc>
          <w:tcPr>
            <w:tcW w:w="196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b w:val="1"/>
                <w:bCs w:val="1"/>
                <w:color w:val="auto"/>
              </w:rPr>
              <w:t>1,298</w:t>
            </w: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1,191</w:t>
            </w:r>
          </w:p>
        </w:tc>
        <w:tc>
          <w:tcPr>
            <w:tcW w:w="0" w:type="dxa"/>
            <w:vAlign w:val="bottom"/>
          </w:tcPr>
          <w:p>
            <w:pPr>
              <w:spacing w:after="0"/>
              <w:rPr>
                <w:sz w:val="1"/>
                <w:szCs w:val="1"/>
                <w:color w:val="auto"/>
              </w:rPr>
            </w:pPr>
          </w:p>
        </w:tc>
      </w:tr>
      <w:tr>
        <w:trPr>
          <w:trHeight w:val="217"/>
        </w:trPr>
        <w:tc>
          <w:tcPr>
            <w:tcW w:w="5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Purchased services and materials</w:t>
            </w:r>
          </w:p>
        </w:tc>
        <w:tc>
          <w:tcPr>
            <w:tcW w:w="19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615</w:t>
            </w: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w:t>
            </w:r>
          </w:p>
        </w:tc>
        <w:tc>
          <w:tcPr>
            <w:tcW w:w="0" w:type="dxa"/>
            <w:vAlign w:val="bottom"/>
          </w:tcPr>
          <w:p>
            <w:pPr>
              <w:spacing w:after="0"/>
              <w:rPr>
                <w:sz w:val="1"/>
                <w:szCs w:val="1"/>
                <w:color w:val="auto"/>
              </w:rPr>
            </w:pPr>
          </w:p>
        </w:tc>
      </w:tr>
      <w:tr>
        <w:trPr>
          <w:trHeight w:val="215"/>
        </w:trPr>
        <w:tc>
          <w:tcPr>
            <w:tcW w:w="5180" w:type="dxa"/>
            <w:vAlign w:val="bottom"/>
          </w:tcPr>
          <w:p>
            <w:pPr>
              <w:ind w:left="220"/>
              <w:spacing w:after="0"/>
              <w:rPr>
                <w:sz w:val="20"/>
                <w:szCs w:val="20"/>
                <w:color w:val="auto"/>
              </w:rPr>
            </w:pPr>
            <w:r>
              <w:rPr>
                <w:rFonts w:ascii="Arial" w:cs="Arial" w:eastAsia="Arial" w:hAnsi="Arial"/>
                <w:sz w:val="16"/>
                <w:szCs w:val="16"/>
                <w:color w:val="auto"/>
              </w:rPr>
              <w:t>Depreciation</w:t>
            </w:r>
          </w:p>
        </w:tc>
        <w:tc>
          <w:tcPr>
            <w:tcW w:w="196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b w:val="1"/>
                <w:bCs w:val="1"/>
                <w:color w:val="auto"/>
              </w:rPr>
              <w:t>528</w:t>
            </w: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512</w:t>
            </w:r>
          </w:p>
        </w:tc>
        <w:tc>
          <w:tcPr>
            <w:tcW w:w="0" w:type="dxa"/>
            <w:vAlign w:val="bottom"/>
          </w:tcPr>
          <w:p>
            <w:pPr>
              <w:spacing w:after="0"/>
              <w:rPr>
                <w:sz w:val="1"/>
                <w:szCs w:val="1"/>
                <w:color w:val="auto"/>
              </w:rPr>
            </w:pPr>
          </w:p>
        </w:tc>
      </w:tr>
      <w:tr>
        <w:trPr>
          <w:trHeight w:val="217"/>
        </w:trPr>
        <w:tc>
          <w:tcPr>
            <w:tcW w:w="5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Fuel</w:t>
            </w:r>
          </w:p>
        </w:tc>
        <w:tc>
          <w:tcPr>
            <w:tcW w:w="19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450</w:t>
            </w: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w:t>
            </w:r>
          </w:p>
        </w:tc>
        <w:tc>
          <w:tcPr>
            <w:tcW w:w="0" w:type="dxa"/>
            <w:vAlign w:val="bottom"/>
          </w:tcPr>
          <w:p>
            <w:pPr>
              <w:spacing w:after="0"/>
              <w:rPr>
                <w:sz w:val="1"/>
                <w:szCs w:val="1"/>
                <w:color w:val="auto"/>
              </w:rPr>
            </w:pPr>
          </w:p>
        </w:tc>
      </w:tr>
      <w:tr>
        <w:trPr>
          <w:trHeight w:val="215"/>
        </w:trPr>
        <w:tc>
          <w:tcPr>
            <w:tcW w:w="5180" w:type="dxa"/>
            <w:vAlign w:val="bottom"/>
          </w:tcPr>
          <w:p>
            <w:pPr>
              <w:ind w:left="220"/>
              <w:spacing w:after="0"/>
              <w:rPr>
                <w:sz w:val="20"/>
                <w:szCs w:val="20"/>
                <w:color w:val="auto"/>
              </w:rPr>
            </w:pPr>
            <w:r>
              <w:rPr>
                <w:rFonts w:ascii="Arial" w:cs="Arial" w:eastAsia="Arial" w:hAnsi="Arial"/>
                <w:sz w:val="16"/>
                <w:szCs w:val="16"/>
                <w:color w:val="auto"/>
              </w:rPr>
              <w:t>Equipment and other rents</w:t>
            </w:r>
          </w:p>
        </w:tc>
        <w:tc>
          <w:tcPr>
            <w:tcW w:w="196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b w:val="1"/>
                <w:bCs w:val="1"/>
                <w:color w:val="auto"/>
              </w:rPr>
              <w:t>275</w:t>
            </w: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r>
        <w:trPr>
          <w:trHeight w:val="210"/>
        </w:trPr>
        <w:tc>
          <w:tcPr>
            <w:tcW w:w="5180" w:type="dxa"/>
            <w:vAlign w:val="bottom"/>
            <w:tcBorders>
              <w:bottom w:val="single" w:sz="8" w:color="7F7F7F"/>
            </w:tcBorders>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1960" w:type="dxa"/>
            <w:vAlign w:val="bottom"/>
            <w:tcBorders>
              <w:bottom w:val="single" w:sz="8" w:color="7F7F7F"/>
            </w:tcBorders>
            <w:shd w:val="clear" w:color="auto" w:fill="CCEEFF"/>
          </w:tcPr>
          <w:p>
            <w:pPr>
              <w:spacing w:after="0"/>
              <w:rPr>
                <w:sz w:val="18"/>
                <w:szCs w:val="18"/>
                <w:color w:val="auto"/>
              </w:rPr>
            </w:pPr>
          </w:p>
        </w:tc>
        <w:tc>
          <w:tcPr>
            <w:tcW w:w="700" w:type="dxa"/>
            <w:vAlign w:val="bottom"/>
            <w:tcBorders>
              <w:bottom w:val="single" w:sz="8" w:color="7F7F7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230</w:t>
            </w:r>
          </w:p>
        </w:tc>
        <w:tc>
          <w:tcPr>
            <w:tcW w:w="360" w:type="dxa"/>
            <w:vAlign w:val="bottom"/>
            <w:tcBorders>
              <w:bottom w:val="single" w:sz="8" w:color="7F7F7F"/>
            </w:tcBorders>
            <w:shd w:val="clear" w:color="auto" w:fill="CCEEFF"/>
          </w:tcPr>
          <w:p>
            <w:pPr>
              <w:spacing w:after="0"/>
              <w:rPr>
                <w:sz w:val="18"/>
                <w:szCs w:val="18"/>
                <w:color w:val="auto"/>
              </w:rPr>
            </w:pPr>
          </w:p>
        </w:tc>
        <w:tc>
          <w:tcPr>
            <w:tcW w:w="6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51"/>
        </w:trPr>
        <w:tc>
          <w:tcPr>
            <w:tcW w:w="5180" w:type="dxa"/>
            <w:vAlign w:val="bottom"/>
          </w:tcPr>
          <w:p>
            <w:pPr>
              <w:spacing w:after="0"/>
              <w:rPr>
                <w:sz w:val="20"/>
                <w:szCs w:val="20"/>
                <w:color w:val="auto"/>
              </w:rPr>
            </w:pPr>
            <w:r>
              <w:rPr>
                <w:rFonts w:ascii="Arial" w:cs="Arial" w:eastAsia="Arial" w:hAnsi="Arial"/>
                <w:sz w:val="16"/>
                <w:szCs w:val="16"/>
                <w:color w:val="auto"/>
              </w:rPr>
              <w:t>Total operating expenses</w:t>
            </w:r>
          </w:p>
        </w:tc>
        <w:tc>
          <w:tcPr>
            <w:tcW w:w="1960" w:type="dxa"/>
            <w:vAlign w:val="bottom"/>
          </w:tcPr>
          <w:p>
            <w:pPr>
              <w:spacing w:after="0"/>
              <w:rPr>
                <w:sz w:val="21"/>
                <w:szCs w:val="21"/>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b w:val="1"/>
                <w:bCs w:val="1"/>
                <w:color w:val="auto"/>
              </w:rPr>
              <w:t>3,396</w:t>
            </w: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3,214</w:t>
            </w:r>
          </w:p>
        </w:tc>
        <w:tc>
          <w:tcPr>
            <w:tcW w:w="0" w:type="dxa"/>
            <w:vAlign w:val="bottom"/>
          </w:tcPr>
          <w:p>
            <w:pPr>
              <w:spacing w:after="0"/>
              <w:rPr>
                <w:sz w:val="1"/>
                <w:szCs w:val="1"/>
                <w:color w:val="auto"/>
              </w:rPr>
            </w:pPr>
          </w:p>
        </w:tc>
      </w:tr>
      <w:tr>
        <w:trPr>
          <w:trHeight w:val="54"/>
        </w:trPr>
        <w:tc>
          <w:tcPr>
            <w:tcW w:w="5180" w:type="dxa"/>
            <w:vAlign w:val="bottom"/>
            <w:tcBorders>
              <w:bottom w:val="single" w:sz="8" w:color="7F7F7F"/>
            </w:tcBorders>
          </w:tcPr>
          <w:p>
            <w:pPr>
              <w:spacing w:after="0"/>
              <w:rPr>
                <w:sz w:val="4"/>
                <w:szCs w:val="4"/>
                <w:color w:val="auto"/>
              </w:rPr>
            </w:pPr>
          </w:p>
        </w:tc>
        <w:tc>
          <w:tcPr>
            <w:tcW w:w="1960" w:type="dxa"/>
            <w:vAlign w:val="bottom"/>
            <w:tcBorders>
              <w:bottom w:val="single" w:sz="8" w:color="7F7F7F"/>
            </w:tcBorders>
          </w:tcPr>
          <w:p>
            <w:pPr>
              <w:spacing w:after="0"/>
              <w:rPr>
                <w:sz w:val="4"/>
                <w:szCs w:val="4"/>
                <w:color w:val="auto"/>
              </w:rPr>
            </w:pPr>
          </w:p>
        </w:tc>
        <w:tc>
          <w:tcPr>
            <w:tcW w:w="700" w:type="dxa"/>
            <w:vAlign w:val="bottom"/>
            <w:tcBorders>
              <w:bottom w:val="single" w:sz="8" w:color="7F7F7F"/>
            </w:tcBorders>
          </w:tcPr>
          <w:p>
            <w:pPr>
              <w:spacing w:after="0"/>
              <w:rPr>
                <w:sz w:val="4"/>
                <w:szCs w:val="4"/>
                <w:color w:val="auto"/>
              </w:rPr>
            </w:pPr>
          </w:p>
        </w:tc>
        <w:tc>
          <w:tcPr>
            <w:tcW w:w="360" w:type="dxa"/>
            <w:vAlign w:val="bottom"/>
            <w:tcBorders>
              <w:bottom w:val="single" w:sz="8" w:color="7F7F7F"/>
            </w:tcBorders>
          </w:tcPr>
          <w:p>
            <w:pPr>
              <w:spacing w:after="0"/>
              <w:rPr>
                <w:sz w:val="4"/>
                <w:szCs w:val="4"/>
                <w:color w:val="auto"/>
              </w:rPr>
            </w:pPr>
          </w:p>
        </w:tc>
        <w:tc>
          <w:tcPr>
            <w:tcW w:w="62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Operating income</w:t>
            </w:r>
          </w:p>
        </w:tc>
        <w:tc>
          <w:tcPr>
            <w:tcW w:w="196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2,012</w:t>
            </w:r>
          </w:p>
        </w:tc>
        <w:tc>
          <w:tcPr>
            <w:tcW w:w="3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1,960</w:t>
            </w:r>
          </w:p>
        </w:tc>
        <w:tc>
          <w:tcPr>
            <w:tcW w:w="0" w:type="dxa"/>
            <w:vAlign w:val="bottom"/>
          </w:tcPr>
          <w:p>
            <w:pPr>
              <w:spacing w:after="0"/>
              <w:rPr>
                <w:sz w:val="1"/>
                <w:szCs w:val="1"/>
                <w:color w:val="auto"/>
              </w:rPr>
            </w:pPr>
          </w:p>
        </w:tc>
      </w:tr>
      <w:tr>
        <w:trPr>
          <w:trHeight w:val="215"/>
        </w:trPr>
        <w:tc>
          <w:tcPr>
            <w:tcW w:w="5180" w:type="dxa"/>
            <w:vAlign w:val="bottom"/>
          </w:tcPr>
          <w:p>
            <w:pPr>
              <w:spacing w:after="0"/>
              <w:rPr>
                <w:sz w:val="20"/>
                <w:szCs w:val="20"/>
                <w:color w:val="auto"/>
              </w:rPr>
            </w:pPr>
            <w:r>
              <w:rPr>
                <w:rFonts w:ascii="Arial" w:cs="Arial" w:eastAsia="Arial" w:hAnsi="Arial"/>
                <w:sz w:val="16"/>
                <w:szCs w:val="16"/>
                <w:color w:val="auto"/>
              </w:rPr>
              <w:t>Other income (Note 7)</w:t>
            </w:r>
          </w:p>
        </w:tc>
        <w:tc>
          <w:tcPr>
            <w:tcW w:w="196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b w:val="1"/>
                <w:bCs w:val="1"/>
                <w:color w:val="auto"/>
              </w:rPr>
              <w:t>151</w:t>
            </w: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0"/>
        </w:trPr>
        <w:tc>
          <w:tcPr>
            <w:tcW w:w="518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1960" w:type="dxa"/>
            <w:vAlign w:val="bottom"/>
            <w:tcBorders>
              <w:bottom w:val="single" w:sz="8" w:color="7F7F7F"/>
            </w:tcBorders>
            <w:shd w:val="clear" w:color="auto" w:fill="CCEEFF"/>
          </w:tcPr>
          <w:p>
            <w:pPr>
              <w:spacing w:after="0"/>
              <w:rPr>
                <w:sz w:val="18"/>
                <w:szCs w:val="18"/>
                <w:color w:val="auto"/>
              </w:rPr>
            </w:pPr>
          </w:p>
        </w:tc>
        <w:tc>
          <w:tcPr>
            <w:tcW w:w="7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(180)</w:t>
            </w:r>
          </w:p>
        </w:tc>
        <w:tc>
          <w:tcPr>
            <w:tcW w:w="360" w:type="dxa"/>
            <w:vAlign w:val="bottom"/>
            <w:tcBorders>
              <w:bottom w:val="single" w:sz="8" w:color="7F7F7F"/>
            </w:tcBorders>
            <w:shd w:val="clear" w:color="auto" w:fill="CCEEFF"/>
          </w:tcPr>
          <w:p>
            <w:pPr>
              <w:spacing w:after="0"/>
              <w:rPr>
                <w:sz w:val="18"/>
                <w:szCs w:val="18"/>
                <w:color w:val="auto"/>
              </w:rPr>
            </w:pPr>
          </w:p>
        </w:tc>
        <w:tc>
          <w:tcPr>
            <w:tcW w:w="6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203"/>
        </w:trPr>
        <w:tc>
          <w:tcPr>
            <w:tcW w:w="518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1960" w:type="dxa"/>
            <w:vAlign w:val="bottom"/>
          </w:tcPr>
          <w:p>
            <w:pPr>
              <w:spacing w:after="0"/>
              <w:rPr>
                <w:sz w:val="17"/>
                <w:szCs w:val="17"/>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b w:val="1"/>
                <w:bCs w:val="1"/>
                <w:color w:val="auto"/>
              </w:rPr>
              <w:t>1,983</w:t>
            </w:r>
          </w:p>
        </w:tc>
        <w:tc>
          <w:tcPr>
            <w:tcW w:w="3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1,805</w:t>
            </w:r>
          </w:p>
        </w:tc>
        <w:tc>
          <w:tcPr>
            <w:tcW w:w="0" w:type="dxa"/>
            <w:vAlign w:val="bottom"/>
          </w:tcPr>
          <w:p>
            <w:pPr>
              <w:spacing w:after="0"/>
              <w:rPr>
                <w:sz w:val="1"/>
                <w:szCs w:val="1"/>
                <w:color w:val="auto"/>
              </w:rPr>
            </w:pPr>
          </w:p>
        </w:tc>
      </w:tr>
      <w:tr>
        <w:trPr>
          <w:trHeight w:val="210"/>
        </w:trPr>
        <w:tc>
          <w:tcPr>
            <w:tcW w:w="518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Income taxes</w:t>
            </w:r>
          </w:p>
        </w:tc>
        <w:tc>
          <w:tcPr>
            <w:tcW w:w="1960" w:type="dxa"/>
            <w:vAlign w:val="bottom"/>
            <w:tcBorders>
              <w:bottom w:val="single" w:sz="8" w:color="7F7F7F"/>
            </w:tcBorders>
            <w:shd w:val="clear" w:color="auto" w:fill="CCEEFF"/>
          </w:tcPr>
          <w:p>
            <w:pPr>
              <w:spacing w:after="0"/>
              <w:rPr>
                <w:sz w:val="18"/>
                <w:szCs w:val="18"/>
                <w:color w:val="auto"/>
              </w:rPr>
            </w:pPr>
          </w:p>
        </w:tc>
        <w:tc>
          <w:tcPr>
            <w:tcW w:w="7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(789)</w:t>
            </w:r>
          </w:p>
        </w:tc>
        <w:tc>
          <w:tcPr>
            <w:tcW w:w="360" w:type="dxa"/>
            <w:vAlign w:val="bottom"/>
            <w:tcBorders>
              <w:bottom w:val="single" w:sz="8" w:color="7F7F7F"/>
            </w:tcBorders>
            <w:shd w:val="clear" w:color="auto" w:fill="CCEEFF"/>
          </w:tcPr>
          <w:p>
            <w:pPr>
              <w:spacing w:after="0"/>
              <w:rPr>
                <w:sz w:val="18"/>
                <w:szCs w:val="18"/>
                <w:color w:val="auto"/>
              </w:rPr>
            </w:pPr>
          </w:p>
        </w:tc>
        <w:tc>
          <w:tcPr>
            <w:tcW w:w="6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(674)</w:t>
            </w:r>
          </w:p>
        </w:tc>
        <w:tc>
          <w:tcPr>
            <w:tcW w:w="0" w:type="dxa"/>
            <w:vAlign w:val="bottom"/>
          </w:tcPr>
          <w:p>
            <w:pPr>
              <w:spacing w:after="0"/>
              <w:rPr>
                <w:sz w:val="1"/>
                <w:szCs w:val="1"/>
                <w:color w:val="auto"/>
              </w:rPr>
            </w:pPr>
          </w:p>
        </w:tc>
      </w:tr>
      <w:tr>
        <w:trPr>
          <w:trHeight w:val="251"/>
        </w:trPr>
        <w:tc>
          <w:tcPr>
            <w:tcW w:w="5180" w:type="dxa"/>
            <w:vAlign w:val="bottom"/>
          </w:tcPr>
          <w:p>
            <w:pPr>
              <w:spacing w:after="0"/>
              <w:rPr>
                <w:sz w:val="20"/>
                <w:szCs w:val="20"/>
                <w:color w:val="auto"/>
              </w:rPr>
            </w:pPr>
            <w:r>
              <w:rPr>
                <w:rFonts w:ascii="Arial" w:cs="Arial" w:eastAsia="Arial" w:hAnsi="Arial"/>
                <w:sz w:val="16"/>
                <w:szCs w:val="16"/>
                <w:color w:val="auto"/>
              </w:rPr>
              <w:t>Net income</w:t>
            </w:r>
          </w:p>
        </w:tc>
        <w:tc>
          <w:tcPr>
            <w:tcW w:w="196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ind w:right="39"/>
              <w:spacing w:after="0"/>
              <w:rPr>
                <w:sz w:val="20"/>
                <w:szCs w:val="20"/>
                <w:color w:val="auto"/>
              </w:rPr>
            </w:pPr>
            <w:r>
              <w:rPr>
                <w:rFonts w:ascii="Arial" w:cs="Arial" w:eastAsia="Arial" w:hAnsi="Arial"/>
                <w:sz w:val="16"/>
                <w:szCs w:val="16"/>
                <w:b w:val="1"/>
                <w:bCs w:val="1"/>
                <w:color w:val="auto"/>
              </w:rPr>
              <w:t>1,194</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1,131</w:t>
            </w:r>
          </w:p>
        </w:tc>
        <w:tc>
          <w:tcPr>
            <w:tcW w:w="0" w:type="dxa"/>
            <w:vAlign w:val="bottom"/>
          </w:tcPr>
          <w:p>
            <w:pPr>
              <w:spacing w:after="0"/>
              <w:rPr>
                <w:sz w:val="1"/>
                <w:szCs w:val="1"/>
                <w:color w:val="auto"/>
              </w:rPr>
            </w:pPr>
          </w:p>
        </w:tc>
      </w:tr>
      <w:tr>
        <w:trPr>
          <w:trHeight w:val="54"/>
        </w:trPr>
        <w:tc>
          <w:tcPr>
            <w:tcW w:w="5180" w:type="dxa"/>
            <w:vAlign w:val="bottom"/>
            <w:tcBorders>
              <w:bottom w:val="single" w:sz="8" w:color="7F7F7F"/>
            </w:tcBorders>
          </w:tcPr>
          <w:p>
            <w:pPr>
              <w:spacing w:after="0"/>
              <w:rPr>
                <w:sz w:val="4"/>
                <w:szCs w:val="4"/>
                <w:color w:val="auto"/>
              </w:rPr>
            </w:pPr>
          </w:p>
        </w:tc>
        <w:tc>
          <w:tcPr>
            <w:tcW w:w="1960" w:type="dxa"/>
            <w:vAlign w:val="bottom"/>
            <w:tcBorders>
              <w:bottom w:val="single" w:sz="8" w:color="7F7F7F"/>
            </w:tcBorders>
          </w:tcPr>
          <w:p>
            <w:pPr>
              <w:spacing w:after="0"/>
              <w:rPr>
                <w:sz w:val="4"/>
                <w:szCs w:val="4"/>
                <w:color w:val="auto"/>
              </w:rPr>
            </w:pPr>
          </w:p>
        </w:tc>
        <w:tc>
          <w:tcPr>
            <w:tcW w:w="700" w:type="dxa"/>
            <w:vAlign w:val="bottom"/>
            <w:tcBorders>
              <w:bottom w:val="single" w:sz="8" w:color="7F7F7F"/>
            </w:tcBorders>
          </w:tcPr>
          <w:p>
            <w:pPr>
              <w:spacing w:after="0"/>
              <w:rPr>
                <w:sz w:val="4"/>
                <w:szCs w:val="4"/>
                <w:color w:val="auto"/>
              </w:rPr>
            </w:pPr>
          </w:p>
        </w:tc>
        <w:tc>
          <w:tcPr>
            <w:tcW w:w="360" w:type="dxa"/>
            <w:vAlign w:val="bottom"/>
            <w:tcBorders>
              <w:bottom w:val="single" w:sz="8" w:color="7F7F7F"/>
            </w:tcBorders>
          </w:tcPr>
          <w:p>
            <w:pPr>
              <w:spacing w:after="0"/>
              <w:rPr>
                <w:sz w:val="4"/>
                <w:szCs w:val="4"/>
                <w:color w:val="auto"/>
              </w:rPr>
            </w:pPr>
          </w:p>
        </w:tc>
        <w:tc>
          <w:tcPr>
            <w:tcW w:w="62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Share and Per Share (Note 9):</w:t>
            </w:r>
          </w:p>
        </w:tc>
        <w:tc>
          <w:tcPr>
            <w:tcW w:w="19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180" w:type="dxa"/>
            <w:vAlign w:val="bottom"/>
          </w:tcPr>
          <w:p>
            <w:pPr>
              <w:ind w:left="220"/>
              <w:spacing w:after="0"/>
              <w:rPr>
                <w:sz w:val="20"/>
                <w:szCs w:val="20"/>
                <w:color w:val="auto"/>
              </w:rPr>
            </w:pPr>
            <w:r>
              <w:rPr>
                <w:rFonts w:ascii="Arial" w:cs="Arial" w:eastAsia="Arial" w:hAnsi="Arial"/>
                <w:sz w:val="16"/>
                <w:szCs w:val="16"/>
                <w:color w:val="auto"/>
              </w:rPr>
              <w:t>Earnings per share - basic</w:t>
            </w:r>
          </w:p>
        </w:tc>
        <w:tc>
          <w:tcPr>
            <w:tcW w:w="196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ind w:right="39"/>
              <w:spacing w:after="0"/>
              <w:rPr>
                <w:sz w:val="20"/>
                <w:szCs w:val="20"/>
                <w:color w:val="auto"/>
              </w:rPr>
            </w:pPr>
            <w:r>
              <w:rPr>
                <w:rFonts w:ascii="Arial" w:cs="Arial" w:eastAsia="Arial" w:hAnsi="Arial"/>
                <w:sz w:val="16"/>
                <w:szCs w:val="16"/>
                <w:b w:val="1"/>
                <w:bCs w:val="1"/>
                <w:color w:val="auto"/>
              </w:rPr>
              <w:t>1.50</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17"/>
        </w:trPr>
        <w:tc>
          <w:tcPr>
            <w:tcW w:w="5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Earnings per share - diluted</w:t>
            </w:r>
          </w:p>
        </w:tc>
        <w:tc>
          <w:tcPr>
            <w:tcW w:w="19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1.50</w:t>
            </w:r>
          </w:p>
        </w:tc>
        <w:tc>
          <w:tcPr>
            <w:tcW w:w="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15"/>
        </w:trPr>
        <w:tc>
          <w:tcPr>
            <w:tcW w:w="5180" w:type="dxa"/>
            <w:vAlign w:val="bottom"/>
          </w:tcPr>
          <w:p>
            <w:pPr>
              <w:ind w:left="220"/>
              <w:spacing w:after="0"/>
              <w:rPr>
                <w:sz w:val="20"/>
                <w:szCs w:val="20"/>
                <w:color w:val="auto"/>
              </w:rPr>
            </w:pPr>
            <w:r>
              <w:rPr>
                <w:rFonts w:ascii="Arial" w:cs="Arial" w:eastAsia="Arial" w:hAnsi="Arial"/>
                <w:sz w:val="16"/>
                <w:szCs w:val="16"/>
                <w:color w:val="auto"/>
              </w:rPr>
              <w:t>Weighted average number of shares - basic</w:t>
            </w:r>
          </w:p>
        </w:tc>
        <w:tc>
          <w:tcPr>
            <w:tcW w:w="196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b w:val="1"/>
                <w:bCs w:val="1"/>
                <w:color w:val="auto"/>
              </w:rPr>
              <w:t>794.5</w:t>
            </w: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829.0</w:t>
            </w:r>
          </w:p>
        </w:tc>
        <w:tc>
          <w:tcPr>
            <w:tcW w:w="0" w:type="dxa"/>
            <w:vAlign w:val="bottom"/>
          </w:tcPr>
          <w:p>
            <w:pPr>
              <w:spacing w:after="0"/>
              <w:rPr>
                <w:sz w:val="1"/>
                <w:szCs w:val="1"/>
                <w:color w:val="auto"/>
              </w:rPr>
            </w:pPr>
          </w:p>
        </w:tc>
      </w:tr>
      <w:tr>
        <w:trPr>
          <w:trHeight w:val="210"/>
        </w:trPr>
        <w:tc>
          <w:tcPr>
            <w:tcW w:w="5180" w:type="dxa"/>
            <w:vAlign w:val="bottom"/>
            <w:tcBorders>
              <w:bottom w:val="single" w:sz="8" w:color="7F7F7F"/>
            </w:tcBorders>
            <w:shd w:val="clear" w:color="auto" w:fill="CCEEFF"/>
          </w:tcPr>
          <w:p>
            <w:pPr>
              <w:ind w:left="220"/>
              <w:spacing w:after="0"/>
              <w:rPr>
                <w:sz w:val="20"/>
                <w:szCs w:val="20"/>
                <w:color w:val="auto"/>
              </w:rPr>
            </w:pPr>
            <w:r>
              <w:rPr>
                <w:rFonts w:ascii="Arial" w:cs="Arial" w:eastAsia="Arial" w:hAnsi="Arial"/>
                <w:sz w:val="16"/>
                <w:szCs w:val="16"/>
                <w:color w:val="auto"/>
              </w:rPr>
              <w:t>Weighted average number of shares - diluted</w:t>
            </w:r>
          </w:p>
        </w:tc>
        <w:tc>
          <w:tcPr>
            <w:tcW w:w="1960" w:type="dxa"/>
            <w:vAlign w:val="bottom"/>
            <w:tcBorders>
              <w:bottom w:val="single" w:sz="8" w:color="7F7F7F"/>
            </w:tcBorders>
            <w:shd w:val="clear" w:color="auto" w:fill="CCEEFF"/>
          </w:tcPr>
          <w:p>
            <w:pPr>
              <w:spacing w:after="0"/>
              <w:rPr>
                <w:sz w:val="18"/>
                <w:szCs w:val="18"/>
                <w:color w:val="auto"/>
              </w:rPr>
            </w:pPr>
          </w:p>
        </w:tc>
        <w:tc>
          <w:tcPr>
            <w:tcW w:w="700" w:type="dxa"/>
            <w:vAlign w:val="bottom"/>
            <w:tcBorders>
              <w:bottom w:val="single" w:sz="8" w:color="7F7F7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797.6</w:t>
            </w:r>
          </w:p>
        </w:tc>
        <w:tc>
          <w:tcPr>
            <w:tcW w:w="360" w:type="dxa"/>
            <w:vAlign w:val="bottom"/>
            <w:tcBorders>
              <w:bottom w:val="single" w:sz="8" w:color="7F7F7F"/>
            </w:tcBorders>
            <w:shd w:val="clear" w:color="auto" w:fill="CCEEFF"/>
          </w:tcPr>
          <w:p>
            <w:pPr>
              <w:spacing w:after="0"/>
              <w:rPr>
                <w:sz w:val="18"/>
                <w:szCs w:val="18"/>
                <w:color w:val="auto"/>
              </w:rPr>
            </w:pPr>
          </w:p>
        </w:tc>
        <w:tc>
          <w:tcPr>
            <w:tcW w:w="6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832.2</w:t>
            </w:r>
          </w:p>
        </w:tc>
        <w:tc>
          <w:tcPr>
            <w:tcW w:w="0" w:type="dxa"/>
            <w:vAlign w:val="bottom"/>
          </w:tcPr>
          <w:p>
            <w:pPr>
              <w:spacing w:after="0"/>
              <w:rPr>
                <w:sz w:val="1"/>
                <w:szCs w:val="1"/>
                <w:color w:val="auto"/>
              </w:rPr>
            </w:pPr>
          </w:p>
        </w:tc>
      </w:tr>
      <w:tr>
        <w:trPr>
          <w:trHeight w:val="237"/>
        </w:trPr>
        <w:tc>
          <w:tcPr>
            <w:tcW w:w="5180" w:type="dxa"/>
            <w:vAlign w:val="bottom"/>
          </w:tcPr>
          <w:p>
            <w:pPr>
              <w:spacing w:after="0"/>
              <w:rPr>
                <w:sz w:val="20"/>
                <w:szCs w:val="20"/>
                <w:color w:val="auto"/>
              </w:rPr>
            </w:pPr>
            <w:r>
              <w:rPr>
                <w:rFonts w:ascii="Arial" w:cs="Arial" w:eastAsia="Arial" w:hAnsi="Arial"/>
                <w:sz w:val="16"/>
                <w:szCs w:val="16"/>
                <w:color w:val="auto"/>
              </w:rPr>
              <w:t>Dividends declared per share</w:t>
            </w:r>
          </w:p>
        </w:tc>
        <w:tc>
          <w:tcPr>
            <w:tcW w:w="196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ind w:right="39"/>
              <w:spacing w:after="0"/>
              <w:rPr>
                <w:sz w:val="20"/>
                <w:szCs w:val="20"/>
                <w:color w:val="auto"/>
              </w:rPr>
            </w:pPr>
            <w:r>
              <w:rPr>
                <w:rFonts w:ascii="Arial" w:cs="Arial" w:eastAsia="Arial" w:hAnsi="Arial"/>
                <w:sz w:val="16"/>
                <w:szCs w:val="16"/>
                <w:b w:val="1"/>
                <w:bCs w:val="1"/>
                <w:color w:val="auto"/>
              </w:rPr>
              <w:t>0.605</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0.55</w:t>
            </w:r>
          </w:p>
        </w:tc>
        <w:tc>
          <w:tcPr>
            <w:tcW w:w="0" w:type="dxa"/>
            <w:vAlign w:val="bottom"/>
          </w:tcPr>
          <w:p>
            <w:pPr>
              <w:spacing w:after="0"/>
              <w:rPr>
                <w:sz w:val="1"/>
                <w:szCs w:val="1"/>
                <w:color w:val="auto"/>
              </w:rPr>
            </w:pPr>
          </w:p>
        </w:tc>
      </w:tr>
      <w:tr>
        <w:trPr>
          <w:trHeight w:val="81"/>
        </w:trPr>
        <w:tc>
          <w:tcPr>
            <w:tcW w:w="5180" w:type="dxa"/>
            <w:vAlign w:val="bottom"/>
            <w:tcBorders>
              <w:bottom w:val="single" w:sz="8" w:color="7F7F7F"/>
            </w:tcBorders>
          </w:tcPr>
          <w:p>
            <w:pPr>
              <w:spacing w:after="0"/>
              <w:rPr>
                <w:sz w:val="7"/>
                <w:szCs w:val="7"/>
                <w:color w:val="auto"/>
              </w:rPr>
            </w:pPr>
          </w:p>
        </w:tc>
        <w:tc>
          <w:tcPr>
            <w:tcW w:w="1960" w:type="dxa"/>
            <w:vAlign w:val="bottom"/>
            <w:tcBorders>
              <w:bottom w:val="single" w:sz="8" w:color="7F7F7F"/>
            </w:tcBorders>
          </w:tcPr>
          <w:p>
            <w:pPr>
              <w:spacing w:after="0"/>
              <w:rPr>
                <w:sz w:val="7"/>
                <w:szCs w:val="7"/>
                <w:color w:val="auto"/>
              </w:rPr>
            </w:pPr>
          </w:p>
        </w:tc>
        <w:tc>
          <w:tcPr>
            <w:tcW w:w="700" w:type="dxa"/>
            <w:vAlign w:val="bottom"/>
            <w:tcBorders>
              <w:bottom w:val="single" w:sz="8" w:color="7F7F7F"/>
            </w:tcBorders>
          </w:tcPr>
          <w:p>
            <w:pPr>
              <w:spacing w:after="0"/>
              <w:rPr>
                <w:sz w:val="7"/>
                <w:szCs w:val="7"/>
                <w:color w:val="auto"/>
              </w:rPr>
            </w:pPr>
          </w:p>
        </w:tc>
        <w:tc>
          <w:tcPr>
            <w:tcW w:w="360" w:type="dxa"/>
            <w:vAlign w:val="bottom"/>
            <w:tcBorders>
              <w:bottom w:val="single" w:sz="8" w:color="7F7F7F"/>
            </w:tcBorders>
          </w:tcPr>
          <w:p>
            <w:pPr>
              <w:spacing w:after="0"/>
              <w:rPr>
                <w:sz w:val="7"/>
                <w:szCs w:val="7"/>
                <w:color w:val="auto"/>
              </w:rPr>
            </w:pPr>
          </w:p>
        </w:tc>
        <w:tc>
          <w:tcPr>
            <w:tcW w:w="620" w:type="dxa"/>
            <w:vAlign w:val="bottom"/>
            <w:tcBorders>
              <w:bottom w:val="single" w:sz="8" w:color="7F7F7F"/>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ind w:left="100"/>
        <w:spacing w:after="0"/>
        <w:rPr>
          <w:sz w:val="20"/>
          <w:szCs w:val="20"/>
          <w:color w:val="auto"/>
        </w:rPr>
      </w:pPr>
      <w:r>
        <w:rPr>
          <w:rFonts w:ascii="Arial" w:cs="Arial" w:eastAsia="Arial" w:hAnsi="Arial"/>
          <w:sz w:val="18"/>
          <w:szCs w:val="18"/>
          <w:i w:val="1"/>
          <w:iCs w:val="1"/>
          <w:color w:val="auto"/>
        </w:rPr>
        <w:t>Union Pacific Corporation and Subsidiary Companies</w:t>
      </w:r>
    </w:p>
    <w:p>
      <w:pPr>
        <w:spacing w:after="0" w:line="193" w:lineRule="exact"/>
        <w:rPr>
          <w:sz w:val="20"/>
          <w:szCs w:val="20"/>
          <w:color w:val="auto"/>
        </w:rPr>
      </w:pPr>
    </w:p>
    <w:tbl>
      <w:tblPr>
        <w:tblLayout w:type="fixed"/>
        <w:tblInd w:w="100" w:type="dxa"/>
        <w:tblCellMar>
          <w:top w:w="0" w:type="dxa"/>
          <w:left w:w="0" w:type="dxa"/>
          <w:bottom w:w="0" w:type="dxa"/>
          <w:right w:w="0" w:type="dxa"/>
        </w:tblCellMar>
      </w:tblPr>
      <w:tr>
        <w:trPr>
          <w:trHeight w:val="256"/>
        </w:trPr>
        <w:tc>
          <w:tcPr>
            <w:tcW w:w="5020" w:type="dxa"/>
            <w:vAlign w:val="bottom"/>
            <w:tcBorders>
              <w:top w:val="single" w:sz="8" w:color="808080"/>
            </w:tcBorders>
          </w:tcPr>
          <w:p>
            <w:pPr>
              <w:spacing w:after="0"/>
              <w:rPr>
                <w:sz w:val="20"/>
                <w:szCs w:val="20"/>
                <w:color w:val="auto"/>
              </w:rPr>
            </w:pPr>
            <w:r>
              <w:rPr>
                <w:rFonts w:ascii="Arial" w:cs="Arial" w:eastAsia="Arial" w:hAnsi="Arial"/>
                <w:sz w:val="16"/>
                <w:szCs w:val="16"/>
                <w:i w:val="1"/>
                <w:iCs w:val="1"/>
                <w:color w:val="auto"/>
              </w:rPr>
              <w:t>Millions,</w:t>
            </w:r>
          </w:p>
        </w:tc>
        <w:tc>
          <w:tcPr>
            <w:tcW w:w="2120" w:type="dxa"/>
            <w:vAlign w:val="bottom"/>
            <w:tcBorders>
              <w:top w:val="single" w:sz="8" w:color="808080"/>
            </w:tcBorders>
          </w:tcPr>
          <w:p>
            <w:pPr>
              <w:spacing w:after="0"/>
              <w:rPr>
                <w:sz w:val="22"/>
                <w:szCs w:val="22"/>
                <w:color w:val="auto"/>
              </w:rPr>
            </w:pPr>
          </w:p>
        </w:tc>
        <w:tc>
          <w:tcPr>
            <w:tcW w:w="680" w:type="dxa"/>
            <w:vAlign w:val="bottom"/>
            <w:tcBorders>
              <w:top w:val="single" w:sz="8" w:color="808080"/>
            </w:tcBorders>
            <w:vMerge w:val="restart"/>
          </w:tcPr>
          <w:p>
            <w:pPr>
              <w:jc w:val="right"/>
              <w:ind w:right="19"/>
              <w:spacing w:after="0"/>
              <w:rPr>
                <w:sz w:val="20"/>
                <w:szCs w:val="20"/>
                <w:color w:val="auto"/>
              </w:rPr>
            </w:pPr>
            <w:r>
              <w:rPr>
                <w:rFonts w:ascii="Arial" w:cs="Arial" w:eastAsia="Arial" w:hAnsi="Arial"/>
                <w:sz w:val="16"/>
                <w:szCs w:val="16"/>
                <w:b w:val="1"/>
                <w:bCs w:val="1"/>
                <w:i w:val="1"/>
                <w:iCs w:val="1"/>
                <w:color w:val="auto"/>
              </w:rPr>
              <w:t>2017</w:t>
            </w:r>
          </w:p>
        </w:tc>
        <w:tc>
          <w:tcPr>
            <w:tcW w:w="380" w:type="dxa"/>
            <w:vAlign w:val="bottom"/>
            <w:tcBorders>
              <w:top w:val="single" w:sz="8" w:color="808080"/>
            </w:tcBorders>
          </w:tcPr>
          <w:p>
            <w:pPr>
              <w:spacing w:after="0"/>
              <w:rPr>
                <w:sz w:val="22"/>
                <w:szCs w:val="22"/>
                <w:color w:val="auto"/>
              </w:rPr>
            </w:pPr>
          </w:p>
        </w:tc>
        <w:tc>
          <w:tcPr>
            <w:tcW w:w="620" w:type="dxa"/>
            <w:vAlign w:val="bottom"/>
            <w:tcBorders>
              <w:top w:val="single" w:sz="8" w:color="808080"/>
            </w:tcBorders>
            <w:vMerge w:val="restart"/>
          </w:tcPr>
          <w:p>
            <w:pPr>
              <w:jc w:val="right"/>
              <w:spacing w:after="0"/>
              <w:rPr>
                <w:sz w:val="20"/>
                <w:szCs w:val="20"/>
                <w:color w:val="auto"/>
              </w:rPr>
            </w:pPr>
            <w:r>
              <w:rPr>
                <w:rFonts w:ascii="Arial" w:cs="Arial" w:eastAsia="Arial" w:hAnsi="Arial"/>
                <w:sz w:val="16"/>
                <w:szCs w:val="16"/>
                <w:i w:val="1"/>
                <w:iCs w:val="1"/>
                <w:color w:val="auto"/>
              </w:rPr>
              <w:t>2016</w:t>
            </w:r>
          </w:p>
        </w:tc>
        <w:tc>
          <w:tcPr>
            <w:tcW w:w="0" w:type="dxa"/>
            <w:vAlign w:val="bottom"/>
          </w:tcPr>
          <w:p>
            <w:pPr>
              <w:spacing w:after="0"/>
              <w:rPr>
                <w:sz w:val="1"/>
                <w:szCs w:val="1"/>
                <w:color w:val="auto"/>
              </w:rPr>
            </w:pPr>
          </w:p>
        </w:tc>
      </w:tr>
      <w:tr>
        <w:trPr>
          <w:trHeight w:val="197"/>
        </w:trPr>
        <w:tc>
          <w:tcPr>
            <w:tcW w:w="5020" w:type="dxa"/>
            <w:vAlign w:val="bottom"/>
            <w:tcBorders>
              <w:bottom w:val="single" w:sz="8" w:color="7F7F7F"/>
            </w:tcBorders>
          </w:tcPr>
          <w:p>
            <w:pPr>
              <w:spacing w:after="0"/>
              <w:rPr>
                <w:sz w:val="20"/>
                <w:szCs w:val="20"/>
                <w:color w:val="auto"/>
              </w:rPr>
            </w:pPr>
            <w:r>
              <w:rPr>
                <w:rFonts w:ascii="Arial" w:cs="Arial" w:eastAsia="Arial" w:hAnsi="Arial"/>
                <w:sz w:val="16"/>
                <w:szCs w:val="16"/>
                <w:i w:val="1"/>
                <w:iCs w:val="1"/>
                <w:color w:val="auto"/>
              </w:rPr>
              <w:t>for the Three Months Ended September 30,</w:t>
            </w:r>
          </w:p>
        </w:tc>
        <w:tc>
          <w:tcPr>
            <w:tcW w:w="2120" w:type="dxa"/>
            <w:vAlign w:val="bottom"/>
            <w:tcBorders>
              <w:bottom w:val="single" w:sz="8" w:color="7F7F7F"/>
            </w:tcBorders>
          </w:tcPr>
          <w:p>
            <w:pPr>
              <w:spacing w:after="0"/>
              <w:rPr>
                <w:sz w:val="17"/>
                <w:szCs w:val="17"/>
                <w:color w:val="auto"/>
              </w:rPr>
            </w:pPr>
          </w:p>
        </w:tc>
        <w:tc>
          <w:tcPr>
            <w:tcW w:w="680" w:type="dxa"/>
            <w:vAlign w:val="bottom"/>
            <w:tcBorders>
              <w:bottom w:val="single" w:sz="8" w:color="7F7F7F"/>
            </w:tcBorders>
            <w:vMerge w:val="continue"/>
          </w:tcPr>
          <w:p>
            <w:pPr>
              <w:spacing w:after="0"/>
              <w:rPr>
                <w:sz w:val="17"/>
                <w:szCs w:val="17"/>
                <w:color w:val="auto"/>
              </w:rPr>
            </w:pPr>
          </w:p>
        </w:tc>
        <w:tc>
          <w:tcPr>
            <w:tcW w:w="380" w:type="dxa"/>
            <w:vAlign w:val="bottom"/>
            <w:tcBorders>
              <w:bottom w:val="single" w:sz="8" w:color="7F7F7F"/>
            </w:tcBorders>
          </w:tcPr>
          <w:p>
            <w:pPr>
              <w:spacing w:after="0"/>
              <w:rPr>
                <w:sz w:val="17"/>
                <w:szCs w:val="17"/>
                <w:color w:val="auto"/>
              </w:rPr>
            </w:pPr>
          </w:p>
        </w:tc>
        <w:tc>
          <w:tcPr>
            <w:tcW w:w="620" w:type="dxa"/>
            <w:vAlign w:val="bottom"/>
            <w:tcBorders>
              <w:bottom w:val="single" w:sz="8" w:color="7F7F7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2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Net income</w:t>
            </w:r>
          </w:p>
        </w:tc>
        <w:tc>
          <w:tcPr>
            <w:tcW w:w="2120" w:type="dxa"/>
            <w:vAlign w:val="bottom"/>
            <w:tcBorders>
              <w:bottom w:val="single" w:sz="8" w:color="7F7F7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7F7F7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1,194</w:t>
            </w:r>
          </w:p>
        </w:tc>
        <w:tc>
          <w:tcPr>
            <w:tcW w:w="380" w:type="dxa"/>
            <w:vAlign w:val="bottom"/>
            <w:tcBorders>
              <w:bottom w:val="single" w:sz="8" w:color="7F7F7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1,131</w:t>
            </w:r>
          </w:p>
        </w:tc>
        <w:tc>
          <w:tcPr>
            <w:tcW w:w="0" w:type="dxa"/>
            <w:vAlign w:val="bottom"/>
          </w:tcPr>
          <w:p>
            <w:pPr>
              <w:spacing w:after="0"/>
              <w:rPr>
                <w:sz w:val="1"/>
                <w:szCs w:val="1"/>
                <w:color w:val="auto"/>
              </w:rPr>
            </w:pPr>
          </w:p>
        </w:tc>
      </w:tr>
      <w:tr>
        <w:trPr>
          <w:trHeight w:val="224"/>
        </w:trPr>
        <w:tc>
          <w:tcPr>
            <w:tcW w:w="5020" w:type="dxa"/>
            <w:vAlign w:val="bottom"/>
          </w:tcPr>
          <w:p>
            <w:pPr>
              <w:spacing w:after="0"/>
              <w:rPr>
                <w:sz w:val="20"/>
                <w:szCs w:val="20"/>
                <w:color w:val="auto"/>
              </w:rPr>
            </w:pPr>
            <w:r>
              <w:rPr>
                <w:rFonts w:ascii="Arial" w:cs="Arial" w:eastAsia="Arial" w:hAnsi="Arial"/>
                <w:sz w:val="16"/>
                <w:szCs w:val="16"/>
                <w:color w:val="auto"/>
              </w:rPr>
              <w:t>Other comprehensive income/(loss):</w:t>
            </w:r>
          </w:p>
        </w:tc>
        <w:tc>
          <w:tcPr>
            <w:tcW w:w="2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0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Defined benefit plans</w:t>
            </w:r>
          </w:p>
        </w:tc>
        <w:tc>
          <w:tcPr>
            <w:tcW w:w="2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40</w:t>
            </w: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24"/>
        </w:trPr>
        <w:tc>
          <w:tcPr>
            <w:tcW w:w="5020" w:type="dxa"/>
            <w:vAlign w:val="bottom"/>
          </w:tcPr>
          <w:p>
            <w:pPr>
              <w:ind w:left="180"/>
              <w:spacing w:after="0"/>
              <w:rPr>
                <w:sz w:val="20"/>
                <w:szCs w:val="20"/>
                <w:color w:val="auto"/>
              </w:rPr>
            </w:pPr>
            <w:r>
              <w:rPr>
                <w:rFonts w:ascii="Arial" w:cs="Arial" w:eastAsia="Arial" w:hAnsi="Arial"/>
                <w:sz w:val="16"/>
                <w:szCs w:val="16"/>
                <w:color w:val="auto"/>
              </w:rPr>
              <w:t>Foreign currency translation</w:t>
            </w:r>
          </w:p>
        </w:tc>
        <w:tc>
          <w:tcPr>
            <w:tcW w:w="2120" w:type="dxa"/>
            <w:vAlign w:val="bottom"/>
          </w:tcPr>
          <w:p>
            <w:pPr>
              <w:spacing w:after="0"/>
              <w:rPr>
                <w:sz w:val="19"/>
                <w:szCs w:val="19"/>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b w:val="1"/>
                <w:bCs w:val="1"/>
                <w:color w:val="auto"/>
              </w:rPr>
              <w:t>9</w:t>
            </w:r>
          </w:p>
        </w:tc>
        <w:tc>
          <w:tcPr>
            <w:tcW w:w="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40"/>
        </w:trPr>
        <w:tc>
          <w:tcPr>
            <w:tcW w:w="5020" w:type="dxa"/>
            <w:vAlign w:val="bottom"/>
            <w:tcBorders>
              <w:bottom w:val="single" w:sz="8" w:color="7F7F7F"/>
            </w:tcBorders>
          </w:tcPr>
          <w:p>
            <w:pPr>
              <w:spacing w:after="0"/>
              <w:rPr>
                <w:sz w:val="3"/>
                <w:szCs w:val="3"/>
                <w:color w:val="auto"/>
              </w:rPr>
            </w:pPr>
          </w:p>
        </w:tc>
        <w:tc>
          <w:tcPr>
            <w:tcW w:w="2120" w:type="dxa"/>
            <w:vAlign w:val="bottom"/>
            <w:tcBorders>
              <w:bottom w:val="single" w:sz="8" w:color="7F7F7F"/>
            </w:tcBorders>
          </w:tcPr>
          <w:p>
            <w:pPr>
              <w:spacing w:after="0"/>
              <w:rPr>
                <w:sz w:val="3"/>
                <w:szCs w:val="3"/>
                <w:color w:val="auto"/>
              </w:rPr>
            </w:pPr>
          </w:p>
        </w:tc>
        <w:tc>
          <w:tcPr>
            <w:tcW w:w="680" w:type="dxa"/>
            <w:vAlign w:val="bottom"/>
            <w:tcBorders>
              <w:bottom w:val="single" w:sz="8" w:color="7F7F7F"/>
            </w:tcBorders>
          </w:tcPr>
          <w:p>
            <w:pPr>
              <w:spacing w:after="0"/>
              <w:rPr>
                <w:sz w:val="3"/>
                <w:szCs w:val="3"/>
                <w:color w:val="auto"/>
              </w:rPr>
            </w:pPr>
          </w:p>
        </w:tc>
        <w:tc>
          <w:tcPr>
            <w:tcW w:w="380" w:type="dxa"/>
            <w:vAlign w:val="bottom"/>
            <w:tcBorders>
              <w:bottom w:val="single" w:sz="8" w:color="7F7F7F"/>
            </w:tcBorders>
          </w:tcPr>
          <w:p>
            <w:pPr>
              <w:spacing w:after="0"/>
              <w:rPr>
                <w:sz w:val="3"/>
                <w:szCs w:val="3"/>
                <w:color w:val="auto"/>
              </w:rPr>
            </w:pPr>
          </w:p>
        </w:tc>
        <w:tc>
          <w:tcPr>
            <w:tcW w:w="62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02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Total other comprehensive income/(loss) [a]</w:t>
            </w:r>
          </w:p>
        </w:tc>
        <w:tc>
          <w:tcPr>
            <w:tcW w:w="2120" w:type="dxa"/>
            <w:vAlign w:val="bottom"/>
            <w:tcBorders>
              <w:bottom w:val="single" w:sz="8" w:color="7F7F7F"/>
            </w:tcBorders>
            <w:shd w:val="clear" w:color="auto" w:fill="CCEEFF"/>
          </w:tcPr>
          <w:p>
            <w:pPr>
              <w:spacing w:after="0"/>
              <w:rPr>
                <w:sz w:val="21"/>
                <w:szCs w:val="21"/>
                <w:color w:val="auto"/>
              </w:rPr>
            </w:pPr>
          </w:p>
        </w:tc>
        <w:tc>
          <w:tcPr>
            <w:tcW w:w="680" w:type="dxa"/>
            <w:vAlign w:val="bottom"/>
            <w:tcBorders>
              <w:bottom w:val="single" w:sz="8" w:color="7F7F7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49</w:t>
            </w:r>
          </w:p>
        </w:tc>
        <w:tc>
          <w:tcPr>
            <w:tcW w:w="380" w:type="dxa"/>
            <w:vAlign w:val="bottom"/>
            <w:tcBorders>
              <w:bottom w:val="single" w:sz="8" w:color="7F7F7F"/>
            </w:tcBorders>
            <w:shd w:val="clear" w:color="auto" w:fill="CCEEFF"/>
          </w:tcPr>
          <w:p>
            <w:pPr>
              <w:spacing w:after="0"/>
              <w:rPr>
                <w:sz w:val="21"/>
                <w:szCs w:val="21"/>
                <w:color w:val="auto"/>
              </w:rPr>
            </w:pPr>
          </w:p>
        </w:tc>
        <w:tc>
          <w:tcPr>
            <w:tcW w:w="6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22"/>
        </w:trPr>
        <w:tc>
          <w:tcPr>
            <w:tcW w:w="5020" w:type="dxa"/>
            <w:vAlign w:val="bottom"/>
          </w:tcPr>
          <w:p>
            <w:pPr>
              <w:spacing w:after="0"/>
              <w:rPr>
                <w:sz w:val="20"/>
                <w:szCs w:val="20"/>
                <w:color w:val="auto"/>
              </w:rPr>
            </w:pPr>
            <w:r>
              <w:rPr>
                <w:rFonts w:ascii="Arial" w:cs="Arial" w:eastAsia="Arial" w:hAnsi="Arial"/>
                <w:sz w:val="16"/>
                <w:szCs w:val="16"/>
                <w:color w:val="auto"/>
              </w:rPr>
              <w:t>Comprehensive income</w:t>
            </w:r>
          </w:p>
        </w:tc>
        <w:tc>
          <w:tcPr>
            <w:tcW w:w="212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b w:val="1"/>
                <w:bCs w:val="1"/>
                <w:color w:val="auto"/>
              </w:rPr>
              <w:t>1,243</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1,144</w:t>
            </w:r>
          </w:p>
        </w:tc>
        <w:tc>
          <w:tcPr>
            <w:tcW w:w="0" w:type="dxa"/>
            <w:vAlign w:val="bottom"/>
          </w:tcPr>
          <w:p>
            <w:pPr>
              <w:spacing w:after="0"/>
              <w:rPr>
                <w:sz w:val="1"/>
                <w:szCs w:val="1"/>
                <w:color w:val="auto"/>
              </w:rPr>
            </w:pPr>
          </w:p>
        </w:tc>
      </w:tr>
      <w:tr>
        <w:trPr>
          <w:trHeight w:val="61"/>
        </w:trPr>
        <w:tc>
          <w:tcPr>
            <w:tcW w:w="5020" w:type="dxa"/>
            <w:vAlign w:val="bottom"/>
            <w:shd w:val="clear" w:color="auto" w:fill="7F7F7F"/>
          </w:tcPr>
          <w:p>
            <w:pPr>
              <w:spacing w:after="0"/>
              <w:rPr>
                <w:sz w:val="5"/>
                <w:szCs w:val="5"/>
                <w:color w:val="auto"/>
              </w:rPr>
            </w:pPr>
          </w:p>
        </w:tc>
        <w:tc>
          <w:tcPr>
            <w:tcW w:w="2120" w:type="dxa"/>
            <w:vAlign w:val="bottom"/>
            <w:shd w:val="clear" w:color="auto" w:fill="7F7F7F"/>
          </w:tcPr>
          <w:p>
            <w:pPr>
              <w:spacing w:after="0"/>
              <w:rPr>
                <w:sz w:val="5"/>
                <w:szCs w:val="5"/>
                <w:color w:val="auto"/>
              </w:rPr>
            </w:pPr>
          </w:p>
        </w:tc>
        <w:tc>
          <w:tcPr>
            <w:tcW w:w="680" w:type="dxa"/>
            <w:vAlign w:val="bottom"/>
            <w:shd w:val="clear" w:color="auto" w:fill="7F7F7F"/>
          </w:tcPr>
          <w:p>
            <w:pPr>
              <w:spacing w:after="0"/>
              <w:rPr>
                <w:sz w:val="5"/>
                <w:szCs w:val="5"/>
                <w:color w:val="auto"/>
              </w:rPr>
            </w:pPr>
          </w:p>
        </w:tc>
        <w:tc>
          <w:tcPr>
            <w:tcW w:w="380" w:type="dxa"/>
            <w:vAlign w:val="bottom"/>
            <w:shd w:val="clear" w:color="auto" w:fill="7F7F7F"/>
          </w:tcPr>
          <w:p>
            <w:pPr>
              <w:spacing w:after="0"/>
              <w:rPr>
                <w:sz w:val="5"/>
                <w:szCs w:val="5"/>
                <w:color w:val="auto"/>
              </w:rPr>
            </w:pPr>
          </w:p>
        </w:tc>
        <w:tc>
          <w:tcPr>
            <w:tcW w:w="620" w:type="dxa"/>
            <w:vAlign w:val="bottom"/>
            <w:shd w:val="clear" w:color="auto" w:fill="7F7F7F"/>
          </w:tcPr>
          <w:p>
            <w:pPr>
              <w:spacing w:after="0"/>
              <w:rPr>
                <w:sz w:val="5"/>
                <w:szCs w:val="5"/>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100" w:right="319" w:firstLine="5"/>
        <w:spacing w:after="0" w:line="239" w:lineRule="auto"/>
        <w:tabs>
          <w:tab w:leader="none" w:pos="449"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Net of deferred taxes of $(27) million and $(7) million during the three months ended September 30, 2017, and 2016, respectively. The accompanying notes are an integral part of these unaudited Condensed Consolidated Financial Statements.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45085</wp:posOffset>
            </wp:positionV>
            <wp:extent cx="5642610"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 w:name="page4"/>
    <w:bookmarkEnd w:id="3"/>
    <w:p>
      <w:pPr>
        <w:ind w:left="10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3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Condensed Consolidated Statements of Income (Unaudited)</w:t>
      </w:r>
    </w:p>
    <w:p>
      <w:pPr>
        <w:ind w:left="100"/>
        <w:spacing w:after="0"/>
        <w:rPr>
          <w:sz w:val="20"/>
          <w:szCs w:val="20"/>
          <w:color w:val="auto"/>
        </w:rPr>
      </w:pPr>
      <w:r>
        <w:rPr>
          <w:rFonts w:ascii="Arial" w:cs="Arial" w:eastAsia="Arial" w:hAnsi="Arial"/>
          <w:sz w:val="18"/>
          <w:szCs w:val="18"/>
          <w:i w:val="1"/>
          <w:iCs w:val="1"/>
          <w:color w:val="auto"/>
        </w:rPr>
        <w:t>Union Pacific Corporation and Subsidiary Companies</w:t>
      </w:r>
    </w:p>
    <w:p>
      <w:pPr>
        <w:spacing w:after="0" w:line="220" w:lineRule="exact"/>
        <w:rPr>
          <w:sz w:val="20"/>
          <w:szCs w:val="20"/>
          <w:color w:val="auto"/>
        </w:rPr>
      </w:pPr>
    </w:p>
    <w:tbl>
      <w:tblPr>
        <w:tblLayout w:type="fixed"/>
        <w:tblInd w:w="100" w:type="dxa"/>
        <w:tblCellMar>
          <w:top w:w="0" w:type="dxa"/>
          <w:left w:w="0" w:type="dxa"/>
          <w:bottom w:w="0" w:type="dxa"/>
          <w:right w:w="0" w:type="dxa"/>
        </w:tblCellMar>
      </w:tblPr>
      <w:tr>
        <w:trPr>
          <w:trHeight w:val="256"/>
        </w:trPr>
        <w:tc>
          <w:tcPr>
            <w:tcW w:w="5180" w:type="dxa"/>
            <w:vAlign w:val="bottom"/>
            <w:tcBorders>
              <w:top w:val="single" w:sz="8" w:color="7F7F7F"/>
            </w:tcBorders>
          </w:tcPr>
          <w:p>
            <w:pPr>
              <w:spacing w:after="0"/>
              <w:rPr>
                <w:sz w:val="20"/>
                <w:szCs w:val="20"/>
                <w:color w:val="auto"/>
              </w:rPr>
            </w:pPr>
            <w:r>
              <w:rPr>
                <w:rFonts w:ascii="Arial" w:cs="Arial" w:eastAsia="Arial" w:hAnsi="Arial"/>
                <w:sz w:val="16"/>
                <w:szCs w:val="16"/>
                <w:i w:val="1"/>
                <w:iCs w:val="1"/>
                <w:color w:val="auto"/>
              </w:rPr>
              <w:t>Millions, Except Per Share Amounts,</w:t>
            </w:r>
          </w:p>
        </w:tc>
        <w:tc>
          <w:tcPr>
            <w:tcW w:w="1920" w:type="dxa"/>
            <w:vAlign w:val="bottom"/>
            <w:tcBorders>
              <w:top w:val="single" w:sz="8" w:color="7F7F7F"/>
            </w:tcBorders>
          </w:tcPr>
          <w:p>
            <w:pPr>
              <w:spacing w:after="0"/>
              <w:rPr>
                <w:sz w:val="22"/>
                <w:szCs w:val="22"/>
                <w:color w:val="auto"/>
              </w:rPr>
            </w:pPr>
          </w:p>
        </w:tc>
        <w:tc>
          <w:tcPr>
            <w:tcW w:w="740" w:type="dxa"/>
            <w:vAlign w:val="bottom"/>
            <w:tcBorders>
              <w:top w:val="single" w:sz="8" w:color="7F7F7F"/>
            </w:tcBorders>
            <w:vMerge w:val="restart"/>
          </w:tcPr>
          <w:p>
            <w:pPr>
              <w:jc w:val="right"/>
              <w:ind w:right="39"/>
              <w:spacing w:after="0"/>
              <w:rPr>
                <w:sz w:val="20"/>
                <w:szCs w:val="20"/>
                <w:color w:val="auto"/>
              </w:rPr>
            </w:pPr>
            <w:r>
              <w:rPr>
                <w:rFonts w:ascii="Arial" w:cs="Arial" w:eastAsia="Arial" w:hAnsi="Arial"/>
                <w:sz w:val="16"/>
                <w:szCs w:val="16"/>
                <w:b w:val="1"/>
                <w:bCs w:val="1"/>
                <w:i w:val="1"/>
                <w:iCs w:val="1"/>
                <w:color w:val="auto"/>
              </w:rPr>
              <w:t>2017</w:t>
            </w:r>
          </w:p>
        </w:tc>
        <w:tc>
          <w:tcPr>
            <w:tcW w:w="300" w:type="dxa"/>
            <w:vAlign w:val="bottom"/>
            <w:tcBorders>
              <w:top w:val="single" w:sz="8" w:color="7F7F7F"/>
            </w:tcBorders>
          </w:tcPr>
          <w:p>
            <w:pPr>
              <w:spacing w:after="0"/>
              <w:rPr>
                <w:sz w:val="22"/>
                <w:szCs w:val="22"/>
                <w:color w:val="auto"/>
              </w:rPr>
            </w:pPr>
          </w:p>
        </w:tc>
        <w:tc>
          <w:tcPr>
            <w:tcW w:w="680" w:type="dxa"/>
            <w:vAlign w:val="bottom"/>
            <w:tcBorders>
              <w:top w:val="single" w:sz="8" w:color="7F7F7F"/>
            </w:tcBorders>
            <w:vMerge w:val="restart"/>
          </w:tcPr>
          <w:p>
            <w:pPr>
              <w:jc w:val="right"/>
              <w:spacing w:after="0"/>
              <w:rPr>
                <w:sz w:val="20"/>
                <w:szCs w:val="20"/>
                <w:color w:val="auto"/>
              </w:rPr>
            </w:pPr>
            <w:r>
              <w:rPr>
                <w:rFonts w:ascii="Arial" w:cs="Arial" w:eastAsia="Arial" w:hAnsi="Arial"/>
                <w:sz w:val="16"/>
                <w:szCs w:val="16"/>
                <w:i w:val="1"/>
                <w:iCs w:val="1"/>
                <w:color w:val="auto"/>
              </w:rPr>
              <w:t>2016</w:t>
            </w:r>
          </w:p>
        </w:tc>
        <w:tc>
          <w:tcPr>
            <w:tcW w:w="0" w:type="dxa"/>
            <w:vAlign w:val="bottom"/>
          </w:tcPr>
          <w:p>
            <w:pPr>
              <w:spacing w:after="0"/>
              <w:rPr>
                <w:sz w:val="1"/>
                <w:szCs w:val="1"/>
                <w:color w:val="auto"/>
              </w:rPr>
            </w:pPr>
          </w:p>
        </w:tc>
      </w:tr>
      <w:tr>
        <w:trPr>
          <w:trHeight w:val="197"/>
        </w:trPr>
        <w:tc>
          <w:tcPr>
            <w:tcW w:w="5180" w:type="dxa"/>
            <w:vAlign w:val="bottom"/>
            <w:tcBorders>
              <w:bottom w:val="single" w:sz="8" w:color="7F7F7F"/>
            </w:tcBorders>
          </w:tcPr>
          <w:p>
            <w:pPr>
              <w:spacing w:after="0"/>
              <w:rPr>
                <w:sz w:val="20"/>
                <w:szCs w:val="20"/>
                <w:color w:val="auto"/>
              </w:rPr>
            </w:pPr>
            <w:r>
              <w:rPr>
                <w:rFonts w:ascii="Arial" w:cs="Arial" w:eastAsia="Arial" w:hAnsi="Arial"/>
                <w:sz w:val="16"/>
                <w:szCs w:val="16"/>
                <w:i w:val="1"/>
                <w:iCs w:val="1"/>
                <w:color w:val="auto"/>
              </w:rPr>
              <w:t>for the Nine Months Ended September 30,</w:t>
            </w:r>
          </w:p>
        </w:tc>
        <w:tc>
          <w:tcPr>
            <w:tcW w:w="1920" w:type="dxa"/>
            <w:vAlign w:val="bottom"/>
            <w:tcBorders>
              <w:bottom w:val="single" w:sz="8" w:color="7F7F7F"/>
            </w:tcBorders>
          </w:tcPr>
          <w:p>
            <w:pPr>
              <w:spacing w:after="0"/>
              <w:rPr>
                <w:sz w:val="17"/>
                <w:szCs w:val="17"/>
                <w:color w:val="auto"/>
              </w:rPr>
            </w:pPr>
          </w:p>
        </w:tc>
        <w:tc>
          <w:tcPr>
            <w:tcW w:w="740" w:type="dxa"/>
            <w:vAlign w:val="bottom"/>
            <w:tcBorders>
              <w:bottom w:val="single" w:sz="8" w:color="7F7F7F"/>
            </w:tcBorders>
            <w:vMerge w:val="continue"/>
          </w:tcPr>
          <w:p>
            <w:pPr>
              <w:spacing w:after="0"/>
              <w:rPr>
                <w:sz w:val="17"/>
                <w:szCs w:val="17"/>
                <w:color w:val="auto"/>
              </w:rPr>
            </w:pPr>
          </w:p>
        </w:tc>
        <w:tc>
          <w:tcPr>
            <w:tcW w:w="300" w:type="dxa"/>
            <w:vAlign w:val="bottom"/>
            <w:tcBorders>
              <w:bottom w:val="single" w:sz="8" w:color="7F7F7F"/>
            </w:tcBorders>
          </w:tcPr>
          <w:p>
            <w:pPr>
              <w:spacing w:after="0"/>
              <w:rPr>
                <w:sz w:val="17"/>
                <w:szCs w:val="17"/>
                <w:color w:val="auto"/>
              </w:rPr>
            </w:pPr>
          </w:p>
        </w:tc>
        <w:tc>
          <w:tcPr>
            <w:tcW w:w="680" w:type="dxa"/>
            <w:vAlign w:val="bottom"/>
            <w:tcBorders>
              <w:bottom w:val="single" w:sz="8" w:color="7F7F7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Operating revenues:</w:t>
            </w:r>
          </w:p>
        </w:tc>
        <w:tc>
          <w:tcPr>
            <w:tcW w:w="19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80" w:type="dxa"/>
            <w:vAlign w:val="bottom"/>
          </w:tcPr>
          <w:p>
            <w:pPr>
              <w:ind w:left="220"/>
              <w:spacing w:after="0"/>
              <w:rPr>
                <w:sz w:val="20"/>
                <w:szCs w:val="20"/>
                <w:color w:val="auto"/>
              </w:rPr>
            </w:pPr>
            <w:r>
              <w:rPr>
                <w:rFonts w:ascii="Arial" w:cs="Arial" w:eastAsia="Arial" w:hAnsi="Arial"/>
                <w:sz w:val="16"/>
                <w:szCs w:val="16"/>
                <w:color w:val="auto"/>
              </w:rPr>
              <w:t>Freight revenues</w:t>
            </w:r>
          </w:p>
        </w:tc>
        <w:tc>
          <w:tcPr>
            <w:tcW w:w="19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b w:val="1"/>
                <w:bCs w:val="1"/>
                <w:color w:val="auto"/>
              </w:rPr>
              <w:t>14,750</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13,769</w:t>
            </w:r>
          </w:p>
        </w:tc>
        <w:tc>
          <w:tcPr>
            <w:tcW w:w="0" w:type="dxa"/>
            <w:vAlign w:val="bottom"/>
          </w:tcPr>
          <w:p>
            <w:pPr>
              <w:spacing w:after="0"/>
              <w:rPr>
                <w:sz w:val="1"/>
                <w:szCs w:val="1"/>
                <w:color w:val="auto"/>
              </w:rPr>
            </w:pPr>
          </w:p>
        </w:tc>
      </w:tr>
      <w:tr>
        <w:trPr>
          <w:trHeight w:val="217"/>
        </w:trPr>
        <w:tc>
          <w:tcPr>
            <w:tcW w:w="5180" w:type="dxa"/>
            <w:vAlign w:val="bottom"/>
            <w:tcBorders>
              <w:bottom w:val="single" w:sz="8" w:color="7F7F7F"/>
            </w:tcBorders>
            <w:shd w:val="clear" w:color="auto" w:fill="CCEEFF"/>
          </w:tcPr>
          <w:p>
            <w:pPr>
              <w:ind w:left="220"/>
              <w:spacing w:after="0"/>
              <w:rPr>
                <w:sz w:val="20"/>
                <w:szCs w:val="20"/>
                <w:color w:val="auto"/>
              </w:rPr>
            </w:pPr>
            <w:r>
              <w:rPr>
                <w:rFonts w:ascii="Arial" w:cs="Arial" w:eastAsia="Arial" w:hAnsi="Arial"/>
                <w:sz w:val="16"/>
                <w:szCs w:val="16"/>
                <w:color w:val="auto"/>
              </w:rPr>
              <w:t>Other revenues</w:t>
            </w:r>
          </w:p>
        </w:tc>
        <w:tc>
          <w:tcPr>
            <w:tcW w:w="1920" w:type="dxa"/>
            <w:vAlign w:val="bottom"/>
            <w:tcBorders>
              <w:bottom w:val="single" w:sz="8" w:color="7F7F7F"/>
            </w:tcBorders>
            <w:shd w:val="clear" w:color="auto" w:fill="CCEEFF"/>
          </w:tcPr>
          <w:p>
            <w:pPr>
              <w:spacing w:after="0"/>
              <w:rPr>
                <w:sz w:val="18"/>
                <w:szCs w:val="18"/>
                <w:color w:val="auto"/>
              </w:rPr>
            </w:pPr>
          </w:p>
        </w:tc>
        <w:tc>
          <w:tcPr>
            <w:tcW w:w="740" w:type="dxa"/>
            <w:vAlign w:val="bottom"/>
            <w:tcBorders>
              <w:bottom w:val="single" w:sz="8" w:color="7F7F7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1,040</w:t>
            </w:r>
          </w:p>
        </w:tc>
        <w:tc>
          <w:tcPr>
            <w:tcW w:w="300" w:type="dxa"/>
            <w:vAlign w:val="bottom"/>
            <w:tcBorders>
              <w:bottom w:val="single" w:sz="8" w:color="7F7F7F"/>
            </w:tcBorders>
            <w:shd w:val="clear" w:color="auto" w:fill="CCEEFF"/>
          </w:tcPr>
          <w:p>
            <w:pPr>
              <w:spacing w:after="0"/>
              <w:rPr>
                <w:sz w:val="18"/>
                <w:szCs w:val="18"/>
                <w:color w:val="auto"/>
              </w:rPr>
            </w:pPr>
          </w:p>
        </w:tc>
        <w:tc>
          <w:tcPr>
            <w:tcW w:w="68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1,004</w:t>
            </w:r>
          </w:p>
        </w:tc>
        <w:tc>
          <w:tcPr>
            <w:tcW w:w="0" w:type="dxa"/>
            <w:vAlign w:val="bottom"/>
          </w:tcPr>
          <w:p>
            <w:pPr>
              <w:spacing w:after="0"/>
              <w:rPr>
                <w:sz w:val="1"/>
                <w:szCs w:val="1"/>
                <w:color w:val="auto"/>
              </w:rPr>
            </w:pPr>
          </w:p>
        </w:tc>
      </w:tr>
      <w:tr>
        <w:trPr>
          <w:trHeight w:val="251"/>
        </w:trPr>
        <w:tc>
          <w:tcPr>
            <w:tcW w:w="5180" w:type="dxa"/>
            <w:vAlign w:val="bottom"/>
          </w:tcPr>
          <w:p>
            <w:pPr>
              <w:spacing w:after="0"/>
              <w:rPr>
                <w:sz w:val="20"/>
                <w:szCs w:val="20"/>
                <w:color w:val="auto"/>
              </w:rPr>
            </w:pPr>
            <w:r>
              <w:rPr>
                <w:rFonts w:ascii="Arial" w:cs="Arial" w:eastAsia="Arial" w:hAnsi="Arial"/>
                <w:sz w:val="16"/>
                <w:szCs w:val="16"/>
                <w:color w:val="auto"/>
              </w:rPr>
              <w:t>Total operating revenues</w:t>
            </w:r>
          </w:p>
        </w:tc>
        <w:tc>
          <w:tcPr>
            <w:tcW w:w="1920" w:type="dxa"/>
            <w:vAlign w:val="bottom"/>
          </w:tcPr>
          <w:p>
            <w:pPr>
              <w:spacing w:after="0"/>
              <w:rPr>
                <w:sz w:val="21"/>
                <w:szCs w:val="21"/>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b w:val="1"/>
                <w:bCs w:val="1"/>
                <w:color w:val="auto"/>
              </w:rPr>
              <w:t>15,790</w:t>
            </w: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14,773</w:t>
            </w:r>
          </w:p>
        </w:tc>
        <w:tc>
          <w:tcPr>
            <w:tcW w:w="0" w:type="dxa"/>
            <w:vAlign w:val="bottom"/>
          </w:tcPr>
          <w:p>
            <w:pPr>
              <w:spacing w:after="0"/>
              <w:rPr>
                <w:sz w:val="1"/>
                <w:szCs w:val="1"/>
                <w:color w:val="auto"/>
              </w:rPr>
            </w:pPr>
          </w:p>
        </w:tc>
      </w:tr>
      <w:tr>
        <w:trPr>
          <w:trHeight w:val="54"/>
        </w:trPr>
        <w:tc>
          <w:tcPr>
            <w:tcW w:w="5180" w:type="dxa"/>
            <w:vAlign w:val="bottom"/>
            <w:tcBorders>
              <w:bottom w:val="single" w:sz="8" w:color="7F7F7F"/>
            </w:tcBorders>
          </w:tcPr>
          <w:p>
            <w:pPr>
              <w:spacing w:after="0"/>
              <w:rPr>
                <w:sz w:val="4"/>
                <w:szCs w:val="4"/>
                <w:color w:val="auto"/>
              </w:rPr>
            </w:pPr>
          </w:p>
        </w:tc>
        <w:tc>
          <w:tcPr>
            <w:tcW w:w="1920" w:type="dxa"/>
            <w:vAlign w:val="bottom"/>
            <w:tcBorders>
              <w:bottom w:val="single" w:sz="8" w:color="7F7F7F"/>
            </w:tcBorders>
          </w:tcPr>
          <w:p>
            <w:pPr>
              <w:spacing w:after="0"/>
              <w:rPr>
                <w:sz w:val="4"/>
                <w:szCs w:val="4"/>
                <w:color w:val="auto"/>
              </w:rPr>
            </w:pPr>
          </w:p>
        </w:tc>
        <w:tc>
          <w:tcPr>
            <w:tcW w:w="740" w:type="dxa"/>
            <w:vAlign w:val="bottom"/>
            <w:tcBorders>
              <w:bottom w:val="single" w:sz="8" w:color="7F7F7F"/>
            </w:tcBorders>
          </w:tcPr>
          <w:p>
            <w:pPr>
              <w:spacing w:after="0"/>
              <w:rPr>
                <w:sz w:val="4"/>
                <w:szCs w:val="4"/>
                <w:color w:val="auto"/>
              </w:rPr>
            </w:pPr>
          </w:p>
        </w:tc>
        <w:tc>
          <w:tcPr>
            <w:tcW w:w="300" w:type="dxa"/>
            <w:vAlign w:val="bottom"/>
            <w:tcBorders>
              <w:bottom w:val="single" w:sz="8" w:color="7F7F7F"/>
            </w:tcBorders>
          </w:tcPr>
          <w:p>
            <w:pPr>
              <w:spacing w:after="0"/>
              <w:rPr>
                <w:sz w:val="4"/>
                <w:szCs w:val="4"/>
                <w:color w:val="auto"/>
              </w:rPr>
            </w:pPr>
          </w:p>
        </w:tc>
        <w:tc>
          <w:tcPr>
            <w:tcW w:w="68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19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180" w:type="dxa"/>
            <w:vAlign w:val="bottom"/>
          </w:tcPr>
          <w:p>
            <w:pPr>
              <w:ind w:left="220"/>
              <w:spacing w:after="0"/>
              <w:rPr>
                <w:sz w:val="20"/>
                <w:szCs w:val="20"/>
                <w:color w:val="auto"/>
              </w:rPr>
            </w:pPr>
            <w:r>
              <w:rPr>
                <w:rFonts w:ascii="Arial" w:cs="Arial" w:eastAsia="Arial" w:hAnsi="Arial"/>
                <w:sz w:val="16"/>
                <w:szCs w:val="16"/>
                <w:color w:val="auto"/>
              </w:rPr>
              <w:t>Compensation and benefits</w:t>
            </w:r>
          </w:p>
        </w:tc>
        <w:tc>
          <w:tcPr>
            <w:tcW w:w="1920" w:type="dxa"/>
            <w:vAlign w:val="bottom"/>
          </w:tcPr>
          <w:p>
            <w:pPr>
              <w:spacing w:after="0"/>
              <w:rPr>
                <w:sz w:val="18"/>
                <w:szCs w:val="18"/>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b w:val="1"/>
                <w:bCs w:val="1"/>
                <w:color w:val="auto"/>
              </w:rPr>
              <w:t>3,752</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3,564</w:t>
            </w:r>
          </w:p>
        </w:tc>
        <w:tc>
          <w:tcPr>
            <w:tcW w:w="0" w:type="dxa"/>
            <w:vAlign w:val="bottom"/>
          </w:tcPr>
          <w:p>
            <w:pPr>
              <w:spacing w:after="0"/>
              <w:rPr>
                <w:sz w:val="1"/>
                <w:szCs w:val="1"/>
                <w:color w:val="auto"/>
              </w:rPr>
            </w:pPr>
          </w:p>
        </w:tc>
      </w:tr>
      <w:tr>
        <w:trPr>
          <w:trHeight w:val="217"/>
        </w:trPr>
        <w:tc>
          <w:tcPr>
            <w:tcW w:w="5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Purchased services and materials</w:t>
            </w:r>
          </w:p>
        </w:tc>
        <w:tc>
          <w:tcPr>
            <w:tcW w:w="19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1,778</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1,705</w:t>
            </w:r>
          </w:p>
        </w:tc>
        <w:tc>
          <w:tcPr>
            <w:tcW w:w="0" w:type="dxa"/>
            <w:vAlign w:val="bottom"/>
          </w:tcPr>
          <w:p>
            <w:pPr>
              <w:spacing w:after="0"/>
              <w:rPr>
                <w:sz w:val="1"/>
                <w:szCs w:val="1"/>
                <w:color w:val="auto"/>
              </w:rPr>
            </w:pPr>
          </w:p>
        </w:tc>
      </w:tr>
      <w:tr>
        <w:trPr>
          <w:trHeight w:val="215"/>
        </w:trPr>
        <w:tc>
          <w:tcPr>
            <w:tcW w:w="5180" w:type="dxa"/>
            <w:vAlign w:val="bottom"/>
          </w:tcPr>
          <w:p>
            <w:pPr>
              <w:ind w:left="220"/>
              <w:spacing w:after="0"/>
              <w:rPr>
                <w:sz w:val="20"/>
                <w:szCs w:val="20"/>
                <w:color w:val="auto"/>
              </w:rPr>
            </w:pPr>
            <w:r>
              <w:rPr>
                <w:rFonts w:ascii="Arial" w:cs="Arial" w:eastAsia="Arial" w:hAnsi="Arial"/>
                <w:sz w:val="16"/>
                <w:szCs w:val="16"/>
                <w:color w:val="auto"/>
              </w:rPr>
              <w:t>Depreciation</w:t>
            </w:r>
          </w:p>
        </w:tc>
        <w:tc>
          <w:tcPr>
            <w:tcW w:w="1920" w:type="dxa"/>
            <w:vAlign w:val="bottom"/>
          </w:tcPr>
          <w:p>
            <w:pPr>
              <w:spacing w:after="0"/>
              <w:rPr>
                <w:sz w:val="18"/>
                <w:szCs w:val="18"/>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b w:val="1"/>
                <w:bCs w:val="1"/>
                <w:color w:val="auto"/>
              </w:rPr>
              <w:t>1,573</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1,518</w:t>
            </w:r>
          </w:p>
        </w:tc>
        <w:tc>
          <w:tcPr>
            <w:tcW w:w="0" w:type="dxa"/>
            <w:vAlign w:val="bottom"/>
          </w:tcPr>
          <w:p>
            <w:pPr>
              <w:spacing w:after="0"/>
              <w:rPr>
                <w:sz w:val="1"/>
                <w:szCs w:val="1"/>
                <w:color w:val="auto"/>
              </w:rPr>
            </w:pPr>
          </w:p>
        </w:tc>
      </w:tr>
      <w:tr>
        <w:trPr>
          <w:trHeight w:val="217"/>
        </w:trPr>
        <w:tc>
          <w:tcPr>
            <w:tcW w:w="5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Fuel</w:t>
            </w:r>
          </w:p>
        </w:tc>
        <w:tc>
          <w:tcPr>
            <w:tcW w:w="19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1,344</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1,058</w:t>
            </w:r>
          </w:p>
        </w:tc>
        <w:tc>
          <w:tcPr>
            <w:tcW w:w="0" w:type="dxa"/>
            <w:vAlign w:val="bottom"/>
          </w:tcPr>
          <w:p>
            <w:pPr>
              <w:spacing w:after="0"/>
              <w:rPr>
                <w:sz w:val="1"/>
                <w:szCs w:val="1"/>
                <w:color w:val="auto"/>
              </w:rPr>
            </w:pPr>
          </w:p>
        </w:tc>
      </w:tr>
      <w:tr>
        <w:trPr>
          <w:trHeight w:val="215"/>
        </w:trPr>
        <w:tc>
          <w:tcPr>
            <w:tcW w:w="5180" w:type="dxa"/>
            <w:vAlign w:val="bottom"/>
          </w:tcPr>
          <w:p>
            <w:pPr>
              <w:ind w:left="220"/>
              <w:spacing w:after="0"/>
              <w:rPr>
                <w:sz w:val="20"/>
                <w:szCs w:val="20"/>
                <w:color w:val="auto"/>
              </w:rPr>
            </w:pPr>
            <w:r>
              <w:rPr>
                <w:rFonts w:ascii="Arial" w:cs="Arial" w:eastAsia="Arial" w:hAnsi="Arial"/>
                <w:sz w:val="16"/>
                <w:szCs w:val="16"/>
                <w:color w:val="auto"/>
              </w:rPr>
              <w:t>Equipment and other rents</w:t>
            </w:r>
          </w:p>
        </w:tc>
        <w:tc>
          <w:tcPr>
            <w:tcW w:w="1920" w:type="dxa"/>
            <w:vAlign w:val="bottom"/>
          </w:tcPr>
          <w:p>
            <w:pPr>
              <w:spacing w:after="0"/>
              <w:rPr>
                <w:sz w:val="18"/>
                <w:szCs w:val="18"/>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b w:val="1"/>
                <w:bCs w:val="1"/>
                <w:color w:val="auto"/>
              </w:rPr>
              <w:t>824</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857</w:t>
            </w:r>
          </w:p>
        </w:tc>
        <w:tc>
          <w:tcPr>
            <w:tcW w:w="0" w:type="dxa"/>
            <w:vAlign w:val="bottom"/>
          </w:tcPr>
          <w:p>
            <w:pPr>
              <w:spacing w:after="0"/>
              <w:rPr>
                <w:sz w:val="1"/>
                <w:szCs w:val="1"/>
                <w:color w:val="auto"/>
              </w:rPr>
            </w:pPr>
          </w:p>
        </w:tc>
      </w:tr>
      <w:tr>
        <w:trPr>
          <w:trHeight w:val="210"/>
        </w:trPr>
        <w:tc>
          <w:tcPr>
            <w:tcW w:w="5180" w:type="dxa"/>
            <w:vAlign w:val="bottom"/>
            <w:tcBorders>
              <w:bottom w:val="single" w:sz="8" w:color="7F7F7F"/>
            </w:tcBorders>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1920" w:type="dxa"/>
            <w:vAlign w:val="bottom"/>
            <w:tcBorders>
              <w:bottom w:val="single" w:sz="8" w:color="7F7F7F"/>
            </w:tcBorders>
            <w:shd w:val="clear" w:color="auto" w:fill="CCEEFF"/>
          </w:tcPr>
          <w:p>
            <w:pPr>
              <w:spacing w:after="0"/>
              <w:rPr>
                <w:sz w:val="18"/>
                <w:szCs w:val="18"/>
                <w:color w:val="auto"/>
              </w:rPr>
            </w:pPr>
          </w:p>
        </w:tc>
        <w:tc>
          <w:tcPr>
            <w:tcW w:w="740" w:type="dxa"/>
            <w:vAlign w:val="bottom"/>
            <w:tcBorders>
              <w:bottom w:val="single" w:sz="8" w:color="7F7F7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709</w:t>
            </w:r>
          </w:p>
        </w:tc>
        <w:tc>
          <w:tcPr>
            <w:tcW w:w="300" w:type="dxa"/>
            <w:vAlign w:val="bottom"/>
            <w:tcBorders>
              <w:bottom w:val="single" w:sz="8" w:color="7F7F7F"/>
            </w:tcBorders>
            <w:shd w:val="clear" w:color="auto" w:fill="CCEEFF"/>
          </w:tcPr>
          <w:p>
            <w:pPr>
              <w:spacing w:after="0"/>
              <w:rPr>
                <w:sz w:val="18"/>
                <w:szCs w:val="18"/>
                <w:color w:val="auto"/>
              </w:rPr>
            </w:pPr>
          </w:p>
        </w:tc>
        <w:tc>
          <w:tcPr>
            <w:tcW w:w="68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764</w:t>
            </w:r>
          </w:p>
        </w:tc>
        <w:tc>
          <w:tcPr>
            <w:tcW w:w="0" w:type="dxa"/>
            <w:vAlign w:val="bottom"/>
          </w:tcPr>
          <w:p>
            <w:pPr>
              <w:spacing w:after="0"/>
              <w:rPr>
                <w:sz w:val="1"/>
                <w:szCs w:val="1"/>
                <w:color w:val="auto"/>
              </w:rPr>
            </w:pPr>
          </w:p>
        </w:tc>
      </w:tr>
      <w:tr>
        <w:trPr>
          <w:trHeight w:val="251"/>
        </w:trPr>
        <w:tc>
          <w:tcPr>
            <w:tcW w:w="5180" w:type="dxa"/>
            <w:vAlign w:val="bottom"/>
          </w:tcPr>
          <w:p>
            <w:pPr>
              <w:spacing w:after="0"/>
              <w:rPr>
                <w:sz w:val="20"/>
                <w:szCs w:val="20"/>
                <w:color w:val="auto"/>
              </w:rPr>
            </w:pPr>
            <w:r>
              <w:rPr>
                <w:rFonts w:ascii="Arial" w:cs="Arial" w:eastAsia="Arial" w:hAnsi="Arial"/>
                <w:sz w:val="16"/>
                <w:szCs w:val="16"/>
                <w:color w:val="auto"/>
              </w:rPr>
              <w:t>Total operating expenses</w:t>
            </w:r>
          </w:p>
        </w:tc>
        <w:tc>
          <w:tcPr>
            <w:tcW w:w="1920" w:type="dxa"/>
            <w:vAlign w:val="bottom"/>
          </w:tcPr>
          <w:p>
            <w:pPr>
              <w:spacing w:after="0"/>
              <w:rPr>
                <w:sz w:val="21"/>
                <w:szCs w:val="21"/>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b w:val="1"/>
                <w:bCs w:val="1"/>
                <w:color w:val="auto"/>
              </w:rPr>
              <w:t>9,980</w:t>
            </w: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9,466</w:t>
            </w:r>
          </w:p>
        </w:tc>
        <w:tc>
          <w:tcPr>
            <w:tcW w:w="0" w:type="dxa"/>
            <w:vAlign w:val="bottom"/>
          </w:tcPr>
          <w:p>
            <w:pPr>
              <w:spacing w:after="0"/>
              <w:rPr>
                <w:sz w:val="1"/>
                <w:szCs w:val="1"/>
                <w:color w:val="auto"/>
              </w:rPr>
            </w:pPr>
          </w:p>
        </w:tc>
      </w:tr>
      <w:tr>
        <w:trPr>
          <w:trHeight w:val="54"/>
        </w:trPr>
        <w:tc>
          <w:tcPr>
            <w:tcW w:w="5180" w:type="dxa"/>
            <w:vAlign w:val="bottom"/>
            <w:tcBorders>
              <w:bottom w:val="single" w:sz="8" w:color="7F7F7F"/>
            </w:tcBorders>
          </w:tcPr>
          <w:p>
            <w:pPr>
              <w:spacing w:after="0"/>
              <w:rPr>
                <w:sz w:val="4"/>
                <w:szCs w:val="4"/>
                <w:color w:val="auto"/>
              </w:rPr>
            </w:pPr>
          </w:p>
        </w:tc>
        <w:tc>
          <w:tcPr>
            <w:tcW w:w="1920" w:type="dxa"/>
            <w:vAlign w:val="bottom"/>
            <w:tcBorders>
              <w:bottom w:val="single" w:sz="8" w:color="7F7F7F"/>
            </w:tcBorders>
          </w:tcPr>
          <w:p>
            <w:pPr>
              <w:spacing w:after="0"/>
              <w:rPr>
                <w:sz w:val="4"/>
                <w:szCs w:val="4"/>
                <w:color w:val="auto"/>
              </w:rPr>
            </w:pPr>
          </w:p>
        </w:tc>
        <w:tc>
          <w:tcPr>
            <w:tcW w:w="740" w:type="dxa"/>
            <w:vAlign w:val="bottom"/>
            <w:tcBorders>
              <w:bottom w:val="single" w:sz="8" w:color="7F7F7F"/>
            </w:tcBorders>
          </w:tcPr>
          <w:p>
            <w:pPr>
              <w:spacing w:after="0"/>
              <w:rPr>
                <w:sz w:val="4"/>
                <w:szCs w:val="4"/>
                <w:color w:val="auto"/>
              </w:rPr>
            </w:pPr>
          </w:p>
        </w:tc>
        <w:tc>
          <w:tcPr>
            <w:tcW w:w="300" w:type="dxa"/>
            <w:vAlign w:val="bottom"/>
            <w:tcBorders>
              <w:bottom w:val="single" w:sz="8" w:color="7F7F7F"/>
            </w:tcBorders>
          </w:tcPr>
          <w:p>
            <w:pPr>
              <w:spacing w:after="0"/>
              <w:rPr>
                <w:sz w:val="4"/>
                <w:szCs w:val="4"/>
                <w:color w:val="auto"/>
              </w:rPr>
            </w:pPr>
          </w:p>
        </w:tc>
        <w:tc>
          <w:tcPr>
            <w:tcW w:w="68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Operating income</w:t>
            </w:r>
          </w:p>
        </w:tc>
        <w:tc>
          <w:tcPr>
            <w:tcW w:w="19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5,810</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5,307</w:t>
            </w:r>
          </w:p>
        </w:tc>
        <w:tc>
          <w:tcPr>
            <w:tcW w:w="0" w:type="dxa"/>
            <w:vAlign w:val="bottom"/>
          </w:tcPr>
          <w:p>
            <w:pPr>
              <w:spacing w:after="0"/>
              <w:rPr>
                <w:sz w:val="1"/>
                <w:szCs w:val="1"/>
                <w:color w:val="auto"/>
              </w:rPr>
            </w:pPr>
          </w:p>
        </w:tc>
      </w:tr>
      <w:tr>
        <w:trPr>
          <w:trHeight w:val="215"/>
        </w:trPr>
        <w:tc>
          <w:tcPr>
            <w:tcW w:w="5180" w:type="dxa"/>
            <w:vAlign w:val="bottom"/>
          </w:tcPr>
          <w:p>
            <w:pPr>
              <w:spacing w:after="0"/>
              <w:rPr>
                <w:sz w:val="20"/>
                <w:szCs w:val="20"/>
                <w:color w:val="auto"/>
              </w:rPr>
            </w:pPr>
            <w:r>
              <w:rPr>
                <w:rFonts w:ascii="Arial" w:cs="Arial" w:eastAsia="Arial" w:hAnsi="Arial"/>
                <w:sz w:val="16"/>
                <w:szCs w:val="16"/>
                <w:color w:val="auto"/>
              </w:rPr>
              <w:t>Other income (Note 7)</w:t>
            </w:r>
          </w:p>
        </w:tc>
        <w:tc>
          <w:tcPr>
            <w:tcW w:w="1920" w:type="dxa"/>
            <w:vAlign w:val="bottom"/>
          </w:tcPr>
          <w:p>
            <w:pPr>
              <w:spacing w:after="0"/>
              <w:rPr>
                <w:sz w:val="18"/>
                <w:szCs w:val="18"/>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b w:val="1"/>
                <w:bCs w:val="1"/>
                <w:color w:val="auto"/>
              </w:rPr>
              <w:t>261</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10"/>
        </w:trPr>
        <w:tc>
          <w:tcPr>
            <w:tcW w:w="518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1920" w:type="dxa"/>
            <w:vAlign w:val="bottom"/>
            <w:tcBorders>
              <w:bottom w:val="single" w:sz="8" w:color="7F7F7F"/>
            </w:tcBorders>
            <w:shd w:val="clear" w:color="auto" w:fill="CCEEFF"/>
          </w:tcPr>
          <w:p>
            <w:pPr>
              <w:spacing w:after="0"/>
              <w:rPr>
                <w:sz w:val="18"/>
                <w:szCs w:val="18"/>
                <w:color w:val="auto"/>
              </w:rPr>
            </w:pPr>
          </w:p>
        </w:tc>
        <w:tc>
          <w:tcPr>
            <w:tcW w:w="74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(531)</w:t>
            </w:r>
          </w:p>
        </w:tc>
        <w:tc>
          <w:tcPr>
            <w:tcW w:w="300" w:type="dxa"/>
            <w:vAlign w:val="bottom"/>
            <w:tcBorders>
              <w:bottom w:val="single" w:sz="8" w:color="7F7F7F"/>
            </w:tcBorders>
            <w:shd w:val="clear" w:color="auto" w:fill="CCEEFF"/>
          </w:tcPr>
          <w:p>
            <w:pPr>
              <w:spacing w:after="0"/>
              <w:rPr>
                <w:sz w:val="18"/>
                <w:szCs w:val="18"/>
                <w:color w:val="auto"/>
              </w:rPr>
            </w:pPr>
          </w:p>
        </w:tc>
        <w:tc>
          <w:tcPr>
            <w:tcW w:w="68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0" w:type="dxa"/>
            <w:vAlign w:val="bottom"/>
          </w:tcPr>
          <w:p>
            <w:pPr>
              <w:spacing w:after="0"/>
              <w:rPr>
                <w:sz w:val="1"/>
                <w:szCs w:val="1"/>
                <w:color w:val="auto"/>
              </w:rPr>
            </w:pPr>
          </w:p>
        </w:tc>
      </w:tr>
      <w:tr>
        <w:trPr>
          <w:trHeight w:val="203"/>
        </w:trPr>
        <w:tc>
          <w:tcPr>
            <w:tcW w:w="518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1920" w:type="dxa"/>
            <w:vAlign w:val="bottom"/>
          </w:tcPr>
          <w:p>
            <w:pPr>
              <w:spacing w:after="0"/>
              <w:rPr>
                <w:sz w:val="17"/>
                <w:szCs w:val="17"/>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b w:val="1"/>
                <w:bCs w:val="1"/>
                <w:color w:val="auto"/>
              </w:rPr>
              <w:t>5,540</w:t>
            </w:r>
          </w:p>
        </w:tc>
        <w:tc>
          <w:tcPr>
            <w:tcW w:w="3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4,935</w:t>
            </w:r>
          </w:p>
        </w:tc>
        <w:tc>
          <w:tcPr>
            <w:tcW w:w="0" w:type="dxa"/>
            <w:vAlign w:val="bottom"/>
          </w:tcPr>
          <w:p>
            <w:pPr>
              <w:spacing w:after="0"/>
              <w:rPr>
                <w:sz w:val="1"/>
                <w:szCs w:val="1"/>
                <w:color w:val="auto"/>
              </w:rPr>
            </w:pPr>
          </w:p>
        </w:tc>
      </w:tr>
      <w:tr>
        <w:trPr>
          <w:trHeight w:val="210"/>
        </w:trPr>
        <w:tc>
          <w:tcPr>
            <w:tcW w:w="518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Income taxes</w:t>
            </w:r>
          </w:p>
        </w:tc>
        <w:tc>
          <w:tcPr>
            <w:tcW w:w="1920" w:type="dxa"/>
            <w:vAlign w:val="bottom"/>
            <w:tcBorders>
              <w:bottom w:val="single" w:sz="8" w:color="7F7F7F"/>
            </w:tcBorders>
            <w:shd w:val="clear" w:color="auto" w:fill="CCEEFF"/>
          </w:tcPr>
          <w:p>
            <w:pPr>
              <w:spacing w:after="0"/>
              <w:rPr>
                <w:sz w:val="18"/>
                <w:szCs w:val="18"/>
                <w:color w:val="auto"/>
              </w:rPr>
            </w:pPr>
          </w:p>
        </w:tc>
        <w:tc>
          <w:tcPr>
            <w:tcW w:w="74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(2,106)</w:t>
            </w:r>
          </w:p>
        </w:tc>
        <w:tc>
          <w:tcPr>
            <w:tcW w:w="300" w:type="dxa"/>
            <w:vAlign w:val="bottom"/>
            <w:tcBorders>
              <w:bottom w:val="single" w:sz="8" w:color="7F7F7F"/>
            </w:tcBorders>
            <w:shd w:val="clear" w:color="auto" w:fill="CCEEFF"/>
          </w:tcPr>
          <w:p>
            <w:pPr>
              <w:spacing w:after="0"/>
              <w:rPr>
                <w:sz w:val="18"/>
                <w:szCs w:val="18"/>
                <w:color w:val="auto"/>
              </w:rPr>
            </w:pPr>
          </w:p>
        </w:tc>
        <w:tc>
          <w:tcPr>
            <w:tcW w:w="68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(1,846)</w:t>
            </w:r>
          </w:p>
        </w:tc>
        <w:tc>
          <w:tcPr>
            <w:tcW w:w="0" w:type="dxa"/>
            <w:vAlign w:val="bottom"/>
          </w:tcPr>
          <w:p>
            <w:pPr>
              <w:spacing w:after="0"/>
              <w:rPr>
                <w:sz w:val="1"/>
                <w:szCs w:val="1"/>
                <w:color w:val="auto"/>
              </w:rPr>
            </w:pPr>
          </w:p>
        </w:tc>
      </w:tr>
      <w:tr>
        <w:trPr>
          <w:trHeight w:val="251"/>
        </w:trPr>
        <w:tc>
          <w:tcPr>
            <w:tcW w:w="5180" w:type="dxa"/>
            <w:vAlign w:val="bottom"/>
          </w:tcPr>
          <w:p>
            <w:pPr>
              <w:spacing w:after="0"/>
              <w:rPr>
                <w:sz w:val="20"/>
                <w:szCs w:val="20"/>
                <w:color w:val="auto"/>
              </w:rPr>
            </w:pPr>
            <w:r>
              <w:rPr>
                <w:rFonts w:ascii="Arial" w:cs="Arial" w:eastAsia="Arial" w:hAnsi="Arial"/>
                <w:sz w:val="16"/>
                <w:szCs w:val="16"/>
                <w:color w:val="auto"/>
              </w:rPr>
              <w:t>Net income</w:t>
            </w:r>
          </w:p>
        </w:tc>
        <w:tc>
          <w:tcPr>
            <w:tcW w:w="19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b w:val="1"/>
                <w:bCs w:val="1"/>
                <w:color w:val="auto"/>
              </w:rPr>
              <w:t>3,434</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3,089</w:t>
            </w:r>
          </w:p>
        </w:tc>
        <w:tc>
          <w:tcPr>
            <w:tcW w:w="0" w:type="dxa"/>
            <w:vAlign w:val="bottom"/>
          </w:tcPr>
          <w:p>
            <w:pPr>
              <w:spacing w:after="0"/>
              <w:rPr>
                <w:sz w:val="1"/>
                <w:szCs w:val="1"/>
                <w:color w:val="auto"/>
              </w:rPr>
            </w:pPr>
          </w:p>
        </w:tc>
      </w:tr>
      <w:tr>
        <w:trPr>
          <w:trHeight w:val="54"/>
        </w:trPr>
        <w:tc>
          <w:tcPr>
            <w:tcW w:w="5180" w:type="dxa"/>
            <w:vAlign w:val="bottom"/>
            <w:tcBorders>
              <w:bottom w:val="single" w:sz="8" w:color="7F7F7F"/>
            </w:tcBorders>
          </w:tcPr>
          <w:p>
            <w:pPr>
              <w:spacing w:after="0"/>
              <w:rPr>
                <w:sz w:val="4"/>
                <w:szCs w:val="4"/>
                <w:color w:val="auto"/>
              </w:rPr>
            </w:pPr>
          </w:p>
        </w:tc>
        <w:tc>
          <w:tcPr>
            <w:tcW w:w="1920" w:type="dxa"/>
            <w:vAlign w:val="bottom"/>
            <w:tcBorders>
              <w:bottom w:val="single" w:sz="8" w:color="7F7F7F"/>
            </w:tcBorders>
          </w:tcPr>
          <w:p>
            <w:pPr>
              <w:spacing w:after="0"/>
              <w:rPr>
                <w:sz w:val="4"/>
                <w:szCs w:val="4"/>
                <w:color w:val="auto"/>
              </w:rPr>
            </w:pPr>
          </w:p>
        </w:tc>
        <w:tc>
          <w:tcPr>
            <w:tcW w:w="740" w:type="dxa"/>
            <w:vAlign w:val="bottom"/>
            <w:tcBorders>
              <w:bottom w:val="single" w:sz="8" w:color="7F7F7F"/>
            </w:tcBorders>
          </w:tcPr>
          <w:p>
            <w:pPr>
              <w:spacing w:after="0"/>
              <w:rPr>
                <w:sz w:val="4"/>
                <w:szCs w:val="4"/>
                <w:color w:val="auto"/>
              </w:rPr>
            </w:pPr>
          </w:p>
        </w:tc>
        <w:tc>
          <w:tcPr>
            <w:tcW w:w="300" w:type="dxa"/>
            <w:vAlign w:val="bottom"/>
            <w:tcBorders>
              <w:bottom w:val="single" w:sz="8" w:color="7F7F7F"/>
            </w:tcBorders>
          </w:tcPr>
          <w:p>
            <w:pPr>
              <w:spacing w:after="0"/>
              <w:rPr>
                <w:sz w:val="4"/>
                <w:szCs w:val="4"/>
                <w:color w:val="auto"/>
              </w:rPr>
            </w:pPr>
          </w:p>
        </w:tc>
        <w:tc>
          <w:tcPr>
            <w:tcW w:w="68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Share and Per Share (Note 9):</w:t>
            </w:r>
          </w:p>
        </w:tc>
        <w:tc>
          <w:tcPr>
            <w:tcW w:w="19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180" w:type="dxa"/>
            <w:vAlign w:val="bottom"/>
          </w:tcPr>
          <w:p>
            <w:pPr>
              <w:ind w:left="220"/>
              <w:spacing w:after="0"/>
              <w:rPr>
                <w:sz w:val="20"/>
                <w:szCs w:val="20"/>
                <w:color w:val="auto"/>
              </w:rPr>
            </w:pPr>
            <w:r>
              <w:rPr>
                <w:rFonts w:ascii="Arial" w:cs="Arial" w:eastAsia="Arial" w:hAnsi="Arial"/>
                <w:sz w:val="16"/>
                <w:szCs w:val="16"/>
                <w:color w:val="auto"/>
              </w:rPr>
              <w:t>Earnings per share - basic</w:t>
            </w:r>
          </w:p>
        </w:tc>
        <w:tc>
          <w:tcPr>
            <w:tcW w:w="19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b w:val="1"/>
                <w:bCs w:val="1"/>
                <w:color w:val="auto"/>
              </w:rPr>
              <w:t>4.27</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3.69</w:t>
            </w:r>
          </w:p>
        </w:tc>
        <w:tc>
          <w:tcPr>
            <w:tcW w:w="0" w:type="dxa"/>
            <w:vAlign w:val="bottom"/>
          </w:tcPr>
          <w:p>
            <w:pPr>
              <w:spacing w:after="0"/>
              <w:rPr>
                <w:sz w:val="1"/>
                <w:szCs w:val="1"/>
                <w:color w:val="auto"/>
              </w:rPr>
            </w:pPr>
          </w:p>
        </w:tc>
      </w:tr>
      <w:tr>
        <w:trPr>
          <w:trHeight w:val="217"/>
        </w:trPr>
        <w:tc>
          <w:tcPr>
            <w:tcW w:w="5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Earnings per share - diluted</w:t>
            </w:r>
          </w:p>
        </w:tc>
        <w:tc>
          <w:tcPr>
            <w:tcW w:w="19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4.26</w:t>
            </w:r>
          </w:p>
        </w:tc>
        <w:tc>
          <w:tcPr>
            <w:tcW w:w="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0" w:type="dxa"/>
            <w:vAlign w:val="bottom"/>
          </w:tcPr>
          <w:p>
            <w:pPr>
              <w:spacing w:after="0"/>
              <w:rPr>
                <w:sz w:val="1"/>
                <w:szCs w:val="1"/>
                <w:color w:val="auto"/>
              </w:rPr>
            </w:pPr>
          </w:p>
        </w:tc>
      </w:tr>
      <w:tr>
        <w:trPr>
          <w:trHeight w:val="215"/>
        </w:trPr>
        <w:tc>
          <w:tcPr>
            <w:tcW w:w="5180" w:type="dxa"/>
            <w:vAlign w:val="bottom"/>
          </w:tcPr>
          <w:p>
            <w:pPr>
              <w:ind w:left="220"/>
              <w:spacing w:after="0"/>
              <w:rPr>
                <w:sz w:val="20"/>
                <w:szCs w:val="20"/>
                <w:color w:val="auto"/>
              </w:rPr>
            </w:pPr>
            <w:r>
              <w:rPr>
                <w:rFonts w:ascii="Arial" w:cs="Arial" w:eastAsia="Arial" w:hAnsi="Arial"/>
                <w:sz w:val="16"/>
                <w:szCs w:val="16"/>
                <w:color w:val="auto"/>
              </w:rPr>
              <w:t>Weighted average number of shares - basic</w:t>
            </w:r>
          </w:p>
        </w:tc>
        <w:tc>
          <w:tcPr>
            <w:tcW w:w="1920" w:type="dxa"/>
            <w:vAlign w:val="bottom"/>
          </w:tcPr>
          <w:p>
            <w:pPr>
              <w:spacing w:after="0"/>
              <w:rPr>
                <w:sz w:val="18"/>
                <w:szCs w:val="18"/>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b w:val="1"/>
                <w:bCs w:val="1"/>
                <w:color w:val="auto"/>
              </w:rPr>
              <w:t>803.4</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836.8</w:t>
            </w:r>
          </w:p>
        </w:tc>
        <w:tc>
          <w:tcPr>
            <w:tcW w:w="0" w:type="dxa"/>
            <w:vAlign w:val="bottom"/>
          </w:tcPr>
          <w:p>
            <w:pPr>
              <w:spacing w:after="0"/>
              <w:rPr>
                <w:sz w:val="1"/>
                <w:szCs w:val="1"/>
                <w:color w:val="auto"/>
              </w:rPr>
            </w:pPr>
          </w:p>
        </w:tc>
      </w:tr>
      <w:tr>
        <w:trPr>
          <w:trHeight w:val="210"/>
        </w:trPr>
        <w:tc>
          <w:tcPr>
            <w:tcW w:w="5180" w:type="dxa"/>
            <w:vAlign w:val="bottom"/>
            <w:tcBorders>
              <w:bottom w:val="single" w:sz="8" w:color="7F7F7F"/>
            </w:tcBorders>
            <w:shd w:val="clear" w:color="auto" w:fill="CCEEFF"/>
          </w:tcPr>
          <w:p>
            <w:pPr>
              <w:ind w:left="220"/>
              <w:spacing w:after="0"/>
              <w:rPr>
                <w:sz w:val="20"/>
                <w:szCs w:val="20"/>
                <w:color w:val="auto"/>
              </w:rPr>
            </w:pPr>
            <w:r>
              <w:rPr>
                <w:rFonts w:ascii="Arial" w:cs="Arial" w:eastAsia="Arial" w:hAnsi="Arial"/>
                <w:sz w:val="16"/>
                <w:szCs w:val="16"/>
                <w:color w:val="auto"/>
              </w:rPr>
              <w:t>Weighted average number of shares - diluted</w:t>
            </w:r>
          </w:p>
        </w:tc>
        <w:tc>
          <w:tcPr>
            <w:tcW w:w="1920" w:type="dxa"/>
            <w:vAlign w:val="bottom"/>
            <w:tcBorders>
              <w:bottom w:val="single" w:sz="8" w:color="7F7F7F"/>
            </w:tcBorders>
            <w:shd w:val="clear" w:color="auto" w:fill="CCEEFF"/>
          </w:tcPr>
          <w:p>
            <w:pPr>
              <w:spacing w:after="0"/>
              <w:rPr>
                <w:sz w:val="18"/>
                <w:szCs w:val="18"/>
                <w:color w:val="auto"/>
              </w:rPr>
            </w:pPr>
          </w:p>
        </w:tc>
        <w:tc>
          <w:tcPr>
            <w:tcW w:w="740" w:type="dxa"/>
            <w:vAlign w:val="bottom"/>
            <w:tcBorders>
              <w:bottom w:val="single" w:sz="8" w:color="7F7F7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806.5</w:t>
            </w:r>
          </w:p>
        </w:tc>
        <w:tc>
          <w:tcPr>
            <w:tcW w:w="300" w:type="dxa"/>
            <w:vAlign w:val="bottom"/>
            <w:tcBorders>
              <w:bottom w:val="single" w:sz="8" w:color="7F7F7F"/>
            </w:tcBorders>
            <w:shd w:val="clear" w:color="auto" w:fill="CCEEFF"/>
          </w:tcPr>
          <w:p>
            <w:pPr>
              <w:spacing w:after="0"/>
              <w:rPr>
                <w:sz w:val="18"/>
                <w:szCs w:val="18"/>
                <w:color w:val="auto"/>
              </w:rPr>
            </w:pPr>
          </w:p>
        </w:tc>
        <w:tc>
          <w:tcPr>
            <w:tcW w:w="68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839.6</w:t>
            </w:r>
          </w:p>
        </w:tc>
        <w:tc>
          <w:tcPr>
            <w:tcW w:w="0" w:type="dxa"/>
            <w:vAlign w:val="bottom"/>
          </w:tcPr>
          <w:p>
            <w:pPr>
              <w:spacing w:after="0"/>
              <w:rPr>
                <w:sz w:val="1"/>
                <w:szCs w:val="1"/>
                <w:color w:val="auto"/>
              </w:rPr>
            </w:pPr>
          </w:p>
        </w:tc>
      </w:tr>
      <w:tr>
        <w:trPr>
          <w:trHeight w:val="237"/>
        </w:trPr>
        <w:tc>
          <w:tcPr>
            <w:tcW w:w="5180" w:type="dxa"/>
            <w:vAlign w:val="bottom"/>
          </w:tcPr>
          <w:p>
            <w:pPr>
              <w:spacing w:after="0"/>
              <w:rPr>
                <w:sz w:val="20"/>
                <w:szCs w:val="20"/>
                <w:color w:val="auto"/>
              </w:rPr>
            </w:pPr>
            <w:r>
              <w:rPr>
                <w:rFonts w:ascii="Arial" w:cs="Arial" w:eastAsia="Arial" w:hAnsi="Arial"/>
                <w:sz w:val="16"/>
                <w:szCs w:val="16"/>
                <w:color w:val="auto"/>
              </w:rPr>
              <w:t>Dividends declared per share</w:t>
            </w:r>
          </w:p>
        </w:tc>
        <w:tc>
          <w:tcPr>
            <w:tcW w:w="19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b w:val="1"/>
                <w:bCs w:val="1"/>
                <w:color w:val="auto"/>
              </w:rPr>
              <w:t>1.815</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81"/>
        </w:trPr>
        <w:tc>
          <w:tcPr>
            <w:tcW w:w="5180" w:type="dxa"/>
            <w:vAlign w:val="bottom"/>
            <w:tcBorders>
              <w:bottom w:val="single" w:sz="8" w:color="7F7F7F"/>
            </w:tcBorders>
          </w:tcPr>
          <w:p>
            <w:pPr>
              <w:spacing w:after="0"/>
              <w:rPr>
                <w:sz w:val="7"/>
                <w:szCs w:val="7"/>
                <w:color w:val="auto"/>
              </w:rPr>
            </w:pPr>
          </w:p>
        </w:tc>
        <w:tc>
          <w:tcPr>
            <w:tcW w:w="1920" w:type="dxa"/>
            <w:vAlign w:val="bottom"/>
            <w:tcBorders>
              <w:bottom w:val="single" w:sz="8" w:color="7F7F7F"/>
            </w:tcBorders>
          </w:tcPr>
          <w:p>
            <w:pPr>
              <w:spacing w:after="0"/>
              <w:rPr>
                <w:sz w:val="7"/>
                <w:szCs w:val="7"/>
                <w:color w:val="auto"/>
              </w:rPr>
            </w:pPr>
          </w:p>
        </w:tc>
        <w:tc>
          <w:tcPr>
            <w:tcW w:w="740" w:type="dxa"/>
            <w:vAlign w:val="bottom"/>
            <w:tcBorders>
              <w:bottom w:val="single" w:sz="8" w:color="7F7F7F"/>
            </w:tcBorders>
          </w:tcPr>
          <w:p>
            <w:pPr>
              <w:spacing w:after="0"/>
              <w:rPr>
                <w:sz w:val="7"/>
                <w:szCs w:val="7"/>
                <w:color w:val="auto"/>
              </w:rPr>
            </w:pPr>
          </w:p>
        </w:tc>
        <w:tc>
          <w:tcPr>
            <w:tcW w:w="300" w:type="dxa"/>
            <w:vAlign w:val="bottom"/>
            <w:tcBorders>
              <w:bottom w:val="single" w:sz="8" w:color="7F7F7F"/>
            </w:tcBorders>
          </w:tcPr>
          <w:p>
            <w:pPr>
              <w:spacing w:after="0"/>
              <w:rPr>
                <w:sz w:val="7"/>
                <w:szCs w:val="7"/>
                <w:color w:val="auto"/>
              </w:rPr>
            </w:pPr>
          </w:p>
        </w:tc>
        <w:tc>
          <w:tcPr>
            <w:tcW w:w="680" w:type="dxa"/>
            <w:vAlign w:val="bottom"/>
            <w:tcBorders>
              <w:bottom w:val="single" w:sz="8" w:color="7F7F7F"/>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ind w:left="100"/>
        <w:spacing w:after="0"/>
        <w:rPr>
          <w:sz w:val="20"/>
          <w:szCs w:val="20"/>
          <w:color w:val="auto"/>
        </w:rPr>
      </w:pPr>
      <w:r>
        <w:rPr>
          <w:rFonts w:ascii="Arial" w:cs="Arial" w:eastAsia="Arial" w:hAnsi="Arial"/>
          <w:sz w:val="18"/>
          <w:szCs w:val="18"/>
          <w:i w:val="1"/>
          <w:iCs w:val="1"/>
          <w:color w:val="auto"/>
        </w:rPr>
        <w:t>Union Pacific Corporation and Subsidiary Companies</w:t>
      </w:r>
    </w:p>
    <w:p>
      <w:pPr>
        <w:spacing w:after="0" w:line="193" w:lineRule="exact"/>
        <w:rPr>
          <w:sz w:val="20"/>
          <w:szCs w:val="20"/>
          <w:color w:val="auto"/>
        </w:rPr>
      </w:pPr>
    </w:p>
    <w:tbl>
      <w:tblPr>
        <w:tblLayout w:type="fixed"/>
        <w:tblInd w:w="100" w:type="dxa"/>
        <w:tblCellMar>
          <w:top w:w="0" w:type="dxa"/>
          <w:left w:w="0" w:type="dxa"/>
          <w:bottom w:w="0" w:type="dxa"/>
          <w:right w:w="0" w:type="dxa"/>
        </w:tblCellMar>
      </w:tblPr>
      <w:tr>
        <w:trPr>
          <w:trHeight w:val="256"/>
        </w:trPr>
        <w:tc>
          <w:tcPr>
            <w:tcW w:w="5020" w:type="dxa"/>
            <w:vAlign w:val="bottom"/>
            <w:tcBorders>
              <w:top w:val="single" w:sz="8" w:color="808080"/>
            </w:tcBorders>
          </w:tcPr>
          <w:p>
            <w:pPr>
              <w:spacing w:after="0"/>
              <w:rPr>
                <w:sz w:val="20"/>
                <w:szCs w:val="20"/>
                <w:color w:val="auto"/>
              </w:rPr>
            </w:pPr>
            <w:r>
              <w:rPr>
                <w:rFonts w:ascii="Arial" w:cs="Arial" w:eastAsia="Arial" w:hAnsi="Arial"/>
                <w:sz w:val="16"/>
                <w:szCs w:val="16"/>
                <w:i w:val="1"/>
                <w:iCs w:val="1"/>
                <w:color w:val="auto"/>
              </w:rPr>
              <w:t>Millions,</w:t>
            </w:r>
          </w:p>
        </w:tc>
        <w:tc>
          <w:tcPr>
            <w:tcW w:w="2120" w:type="dxa"/>
            <w:vAlign w:val="bottom"/>
            <w:tcBorders>
              <w:top w:val="single" w:sz="8" w:color="808080"/>
            </w:tcBorders>
          </w:tcPr>
          <w:p>
            <w:pPr>
              <w:spacing w:after="0"/>
              <w:rPr>
                <w:sz w:val="22"/>
                <w:szCs w:val="22"/>
                <w:color w:val="auto"/>
              </w:rPr>
            </w:pPr>
          </w:p>
        </w:tc>
        <w:tc>
          <w:tcPr>
            <w:tcW w:w="680" w:type="dxa"/>
            <w:vAlign w:val="bottom"/>
            <w:tcBorders>
              <w:top w:val="single" w:sz="8" w:color="808080"/>
            </w:tcBorders>
            <w:vMerge w:val="restart"/>
          </w:tcPr>
          <w:p>
            <w:pPr>
              <w:jc w:val="right"/>
              <w:ind w:right="19"/>
              <w:spacing w:after="0"/>
              <w:rPr>
                <w:sz w:val="20"/>
                <w:szCs w:val="20"/>
                <w:color w:val="auto"/>
              </w:rPr>
            </w:pPr>
            <w:r>
              <w:rPr>
                <w:rFonts w:ascii="Arial" w:cs="Arial" w:eastAsia="Arial" w:hAnsi="Arial"/>
                <w:sz w:val="16"/>
                <w:szCs w:val="16"/>
                <w:b w:val="1"/>
                <w:bCs w:val="1"/>
                <w:i w:val="1"/>
                <w:iCs w:val="1"/>
                <w:color w:val="auto"/>
              </w:rPr>
              <w:t>2017</w:t>
            </w:r>
          </w:p>
        </w:tc>
        <w:tc>
          <w:tcPr>
            <w:tcW w:w="380" w:type="dxa"/>
            <w:vAlign w:val="bottom"/>
            <w:tcBorders>
              <w:top w:val="single" w:sz="8" w:color="808080"/>
            </w:tcBorders>
          </w:tcPr>
          <w:p>
            <w:pPr>
              <w:spacing w:after="0"/>
              <w:rPr>
                <w:sz w:val="22"/>
                <w:szCs w:val="22"/>
                <w:color w:val="auto"/>
              </w:rPr>
            </w:pPr>
          </w:p>
        </w:tc>
        <w:tc>
          <w:tcPr>
            <w:tcW w:w="620" w:type="dxa"/>
            <w:vAlign w:val="bottom"/>
            <w:tcBorders>
              <w:top w:val="single" w:sz="8" w:color="808080"/>
            </w:tcBorders>
            <w:vMerge w:val="restart"/>
          </w:tcPr>
          <w:p>
            <w:pPr>
              <w:jc w:val="right"/>
              <w:spacing w:after="0"/>
              <w:rPr>
                <w:sz w:val="20"/>
                <w:szCs w:val="20"/>
                <w:color w:val="auto"/>
              </w:rPr>
            </w:pPr>
            <w:r>
              <w:rPr>
                <w:rFonts w:ascii="Arial" w:cs="Arial" w:eastAsia="Arial" w:hAnsi="Arial"/>
                <w:sz w:val="16"/>
                <w:szCs w:val="16"/>
                <w:i w:val="1"/>
                <w:iCs w:val="1"/>
                <w:color w:val="auto"/>
              </w:rPr>
              <w:t>2016</w:t>
            </w:r>
          </w:p>
        </w:tc>
        <w:tc>
          <w:tcPr>
            <w:tcW w:w="0" w:type="dxa"/>
            <w:vAlign w:val="bottom"/>
          </w:tcPr>
          <w:p>
            <w:pPr>
              <w:spacing w:after="0"/>
              <w:rPr>
                <w:sz w:val="1"/>
                <w:szCs w:val="1"/>
                <w:color w:val="auto"/>
              </w:rPr>
            </w:pPr>
          </w:p>
        </w:tc>
      </w:tr>
      <w:tr>
        <w:trPr>
          <w:trHeight w:val="197"/>
        </w:trPr>
        <w:tc>
          <w:tcPr>
            <w:tcW w:w="5020" w:type="dxa"/>
            <w:vAlign w:val="bottom"/>
            <w:tcBorders>
              <w:bottom w:val="single" w:sz="8" w:color="7F7F7F"/>
            </w:tcBorders>
          </w:tcPr>
          <w:p>
            <w:pPr>
              <w:spacing w:after="0"/>
              <w:rPr>
                <w:sz w:val="20"/>
                <w:szCs w:val="20"/>
                <w:color w:val="auto"/>
              </w:rPr>
            </w:pPr>
            <w:r>
              <w:rPr>
                <w:rFonts w:ascii="Arial" w:cs="Arial" w:eastAsia="Arial" w:hAnsi="Arial"/>
                <w:sz w:val="16"/>
                <w:szCs w:val="16"/>
                <w:i w:val="1"/>
                <w:iCs w:val="1"/>
                <w:color w:val="auto"/>
              </w:rPr>
              <w:t>for the Nine Months Ended September 30,</w:t>
            </w:r>
          </w:p>
        </w:tc>
        <w:tc>
          <w:tcPr>
            <w:tcW w:w="2120" w:type="dxa"/>
            <w:vAlign w:val="bottom"/>
            <w:tcBorders>
              <w:bottom w:val="single" w:sz="8" w:color="7F7F7F"/>
            </w:tcBorders>
          </w:tcPr>
          <w:p>
            <w:pPr>
              <w:spacing w:after="0"/>
              <w:rPr>
                <w:sz w:val="17"/>
                <w:szCs w:val="17"/>
                <w:color w:val="auto"/>
              </w:rPr>
            </w:pPr>
          </w:p>
        </w:tc>
        <w:tc>
          <w:tcPr>
            <w:tcW w:w="680" w:type="dxa"/>
            <w:vAlign w:val="bottom"/>
            <w:tcBorders>
              <w:bottom w:val="single" w:sz="8" w:color="7F7F7F"/>
            </w:tcBorders>
            <w:vMerge w:val="continue"/>
          </w:tcPr>
          <w:p>
            <w:pPr>
              <w:spacing w:after="0"/>
              <w:rPr>
                <w:sz w:val="17"/>
                <w:szCs w:val="17"/>
                <w:color w:val="auto"/>
              </w:rPr>
            </w:pPr>
          </w:p>
        </w:tc>
        <w:tc>
          <w:tcPr>
            <w:tcW w:w="380" w:type="dxa"/>
            <w:vAlign w:val="bottom"/>
            <w:tcBorders>
              <w:bottom w:val="single" w:sz="8" w:color="7F7F7F"/>
            </w:tcBorders>
          </w:tcPr>
          <w:p>
            <w:pPr>
              <w:spacing w:after="0"/>
              <w:rPr>
                <w:sz w:val="17"/>
                <w:szCs w:val="17"/>
                <w:color w:val="auto"/>
              </w:rPr>
            </w:pPr>
          </w:p>
        </w:tc>
        <w:tc>
          <w:tcPr>
            <w:tcW w:w="620" w:type="dxa"/>
            <w:vAlign w:val="bottom"/>
            <w:tcBorders>
              <w:bottom w:val="single" w:sz="8" w:color="7F7F7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2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Net income</w:t>
            </w:r>
          </w:p>
        </w:tc>
        <w:tc>
          <w:tcPr>
            <w:tcW w:w="2120" w:type="dxa"/>
            <w:vAlign w:val="bottom"/>
            <w:tcBorders>
              <w:bottom w:val="single" w:sz="8" w:color="7F7F7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7F7F7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3,434</w:t>
            </w:r>
          </w:p>
        </w:tc>
        <w:tc>
          <w:tcPr>
            <w:tcW w:w="380" w:type="dxa"/>
            <w:vAlign w:val="bottom"/>
            <w:tcBorders>
              <w:bottom w:val="single" w:sz="8" w:color="7F7F7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3,089</w:t>
            </w:r>
          </w:p>
        </w:tc>
        <w:tc>
          <w:tcPr>
            <w:tcW w:w="0" w:type="dxa"/>
            <w:vAlign w:val="bottom"/>
          </w:tcPr>
          <w:p>
            <w:pPr>
              <w:spacing w:after="0"/>
              <w:rPr>
                <w:sz w:val="1"/>
                <w:szCs w:val="1"/>
                <w:color w:val="auto"/>
              </w:rPr>
            </w:pPr>
          </w:p>
        </w:tc>
      </w:tr>
      <w:tr>
        <w:trPr>
          <w:trHeight w:val="224"/>
        </w:trPr>
        <w:tc>
          <w:tcPr>
            <w:tcW w:w="5020" w:type="dxa"/>
            <w:vAlign w:val="bottom"/>
          </w:tcPr>
          <w:p>
            <w:pPr>
              <w:spacing w:after="0"/>
              <w:rPr>
                <w:sz w:val="20"/>
                <w:szCs w:val="20"/>
                <w:color w:val="auto"/>
              </w:rPr>
            </w:pPr>
            <w:r>
              <w:rPr>
                <w:rFonts w:ascii="Arial" w:cs="Arial" w:eastAsia="Arial" w:hAnsi="Arial"/>
                <w:sz w:val="16"/>
                <w:szCs w:val="16"/>
                <w:color w:val="auto"/>
              </w:rPr>
              <w:t>Other comprehensive income/(loss):</w:t>
            </w:r>
          </w:p>
        </w:tc>
        <w:tc>
          <w:tcPr>
            <w:tcW w:w="2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0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Defined benefit plans</w:t>
            </w:r>
          </w:p>
        </w:tc>
        <w:tc>
          <w:tcPr>
            <w:tcW w:w="2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66</w:t>
            </w: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24"/>
        </w:trPr>
        <w:tc>
          <w:tcPr>
            <w:tcW w:w="5020" w:type="dxa"/>
            <w:vAlign w:val="bottom"/>
          </w:tcPr>
          <w:p>
            <w:pPr>
              <w:ind w:left="180"/>
              <w:spacing w:after="0"/>
              <w:rPr>
                <w:sz w:val="20"/>
                <w:szCs w:val="20"/>
                <w:color w:val="auto"/>
              </w:rPr>
            </w:pPr>
            <w:r>
              <w:rPr>
                <w:rFonts w:ascii="Arial" w:cs="Arial" w:eastAsia="Arial" w:hAnsi="Arial"/>
                <w:sz w:val="16"/>
                <w:szCs w:val="16"/>
                <w:color w:val="auto"/>
              </w:rPr>
              <w:t>Foreign currency translation</w:t>
            </w:r>
          </w:p>
        </w:tc>
        <w:tc>
          <w:tcPr>
            <w:tcW w:w="2120" w:type="dxa"/>
            <w:vAlign w:val="bottom"/>
          </w:tcPr>
          <w:p>
            <w:pPr>
              <w:spacing w:after="0"/>
              <w:rPr>
                <w:sz w:val="19"/>
                <w:szCs w:val="19"/>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b w:val="1"/>
                <w:bCs w:val="1"/>
                <w:color w:val="auto"/>
              </w:rPr>
              <w:t>34</w:t>
            </w:r>
          </w:p>
        </w:tc>
        <w:tc>
          <w:tcPr>
            <w:tcW w:w="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40"/>
        </w:trPr>
        <w:tc>
          <w:tcPr>
            <w:tcW w:w="5020" w:type="dxa"/>
            <w:vAlign w:val="bottom"/>
            <w:tcBorders>
              <w:bottom w:val="single" w:sz="8" w:color="7F7F7F"/>
            </w:tcBorders>
          </w:tcPr>
          <w:p>
            <w:pPr>
              <w:spacing w:after="0"/>
              <w:rPr>
                <w:sz w:val="3"/>
                <w:szCs w:val="3"/>
                <w:color w:val="auto"/>
              </w:rPr>
            </w:pPr>
          </w:p>
        </w:tc>
        <w:tc>
          <w:tcPr>
            <w:tcW w:w="2120" w:type="dxa"/>
            <w:vAlign w:val="bottom"/>
            <w:tcBorders>
              <w:bottom w:val="single" w:sz="8" w:color="7F7F7F"/>
            </w:tcBorders>
          </w:tcPr>
          <w:p>
            <w:pPr>
              <w:spacing w:after="0"/>
              <w:rPr>
                <w:sz w:val="3"/>
                <w:szCs w:val="3"/>
                <w:color w:val="auto"/>
              </w:rPr>
            </w:pPr>
          </w:p>
        </w:tc>
        <w:tc>
          <w:tcPr>
            <w:tcW w:w="680" w:type="dxa"/>
            <w:vAlign w:val="bottom"/>
            <w:tcBorders>
              <w:bottom w:val="single" w:sz="8" w:color="7F7F7F"/>
            </w:tcBorders>
          </w:tcPr>
          <w:p>
            <w:pPr>
              <w:spacing w:after="0"/>
              <w:rPr>
                <w:sz w:val="3"/>
                <w:szCs w:val="3"/>
                <w:color w:val="auto"/>
              </w:rPr>
            </w:pPr>
          </w:p>
        </w:tc>
        <w:tc>
          <w:tcPr>
            <w:tcW w:w="380" w:type="dxa"/>
            <w:vAlign w:val="bottom"/>
            <w:tcBorders>
              <w:bottom w:val="single" w:sz="8" w:color="7F7F7F"/>
            </w:tcBorders>
          </w:tcPr>
          <w:p>
            <w:pPr>
              <w:spacing w:after="0"/>
              <w:rPr>
                <w:sz w:val="3"/>
                <w:szCs w:val="3"/>
                <w:color w:val="auto"/>
              </w:rPr>
            </w:pPr>
          </w:p>
        </w:tc>
        <w:tc>
          <w:tcPr>
            <w:tcW w:w="62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02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Total other comprehensive income/(loss) [a]</w:t>
            </w:r>
          </w:p>
        </w:tc>
        <w:tc>
          <w:tcPr>
            <w:tcW w:w="2120" w:type="dxa"/>
            <w:vAlign w:val="bottom"/>
            <w:tcBorders>
              <w:bottom w:val="single" w:sz="8" w:color="7F7F7F"/>
            </w:tcBorders>
            <w:shd w:val="clear" w:color="auto" w:fill="CCEEFF"/>
          </w:tcPr>
          <w:p>
            <w:pPr>
              <w:spacing w:after="0"/>
              <w:rPr>
                <w:sz w:val="21"/>
                <w:szCs w:val="21"/>
                <w:color w:val="auto"/>
              </w:rPr>
            </w:pPr>
          </w:p>
        </w:tc>
        <w:tc>
          <w:tcPr>
            <w:tcW w:w="680" w:type="dxa"/>
            <w:vAlign w:val="bottom"/>
            <w:tcBorders>
              <w:bottom w:val="single" w:sz="8" w:color="7F7F7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100</w:t>
            </w:r>
          </w:p>
        </w:tc>
        <w:tc>
          <w:tcPr>
            <w:tcW w:w="380" w:type="dxa"/>
            <w:vAlign w:val="bottom"/>
            <w:tcBorders>
              <w:bottom w:val="single" w:sz="8" w:color="7F7F7F"/>
            </w:tcBorders>
            <w:shd w:val="clear" w:color="auto" w:fill="CCEEFF"/>
          </w:tcPr>
          <w:p>
            <w:pPr>
              <w:spacing w:after="0"/>
              <w:rPr>
                <w:sz w:val="21"/>
                <w:szCs w:val="21"/>
                <w:color w:val="auto"/>
              </w:rPr>
            </w:pPr>
          </w:p>
        </w:tc>
        <w:tc>
          <w:tcPr>
            <w:tcW w:w="6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22"/>
        </w:trPr>
        <w:tc>
          <w:tcPr>
            <w:tcW w:w="5020" w:type="dxa"/>
            <w:vAlign w:val="bottom"/>
          </w:tcPr>
          <w:p>
            <w:pPr>
              <w:spacing w:after="0"/>
              <w:rPr>
                <w:sz w:val="20"/>
                <w:szCs w:val="20"/>
                <w:color w:val="auto"/>
              </w:rPr>
            </w:pPr>
            <w:r>
              <w:rPr>
                <w:rFonts w:ascii="Arial" w:cs="Arial" w:eastAsia="Arial" w:hAnsi="Arial"/>
                <w:sz w:val="16"/>
                <w:szCs w:val="16"/>
                <w:color w:val="auto"/>
              </w:rPr>
              <w:t>Comprehensive income</w:t>
            </w:r>
          </w:p>
        </w:tc>
        <w:tc>
          <w:tcPr>
            <w:tcW w:w="212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b w:val="1"/>
                <w:bCs w:val="1"/>
                <w:color w:val="auto"/>
              </w:rPr>
              <w:t>3,534</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3,099</w:t>
            </w:r>
          </w:p>
        </w:tc>
        <w:tc>
          <w:tcPr>
            <w:tcW w:w="0" w:type="dxa"/>
            <w:vAlign w:val="bottom"/>
          </w:tcPr>
          <w:p>
            <w:pPr>
              <w:spacing w:after="0"/>
              <w:rPr>
                <w:sz w:val="1"/>
                <w:szCs w:val="1"/>
                <w:color w:val="auto"/>
              </w:rPr>
            </w:pPr>
          </w:p>
        </w:tc>
      </w:tr>
      <w:tr>
        <w:trPr>
          <w:trHeight w:val="61"/>
        </w:trPr>
        <w:tc>
          <w:tcPr>
            <w:tcW w:w="5020" w:type="dxa"/>
            <w:vAlign w:val="bottom"/>
            <w:shd w:val="clear" w:color="auto" w:fill="7F7F7F"/>
          </w:tcPr>
          <w:p>
            <w:pPr>
              <w:spacing w:after="0"/>
              <w:rPr>
                <w:sz w:val="5"/>
                <w:szCs w:val="5"/>
                <w:color w:val="auto"/>
              </w:rPr>
            </w:pPr>
          </w:p>
        </w:tc>
        <w:tc>
          <w:tcPr>
            <w:tcW w:w="2120" w:type="dxa"/>
            <w:vAlign w:val="bottom"/>
            <w:shd w:val="clear" w:color="auto" w:fill="7F7F7F"/>
          </w:tcPr>
          <w:p>
            <w:pPr>
              <w:spacing w:after="0"/>
              <w:rPr>
                <w:sz w:val="5"/>
                <w:szCs w:val="5"/>
                <w:color w:val="auto"/>
              </w:rPr>
            </w:pPr>
          </w:p>
        </w:tc>
        <w:tc>
          <w:tcPr>
            <w:tcW w:w="680" w:type="dxa"/>
            <w:vAlign w:val="bottom"/>
            <w:shd w:val="clear" w:color="auto" w:fill="7F7F7F"/>
          </w:tcPr>
          <w:p>
            <w:pPr>
              <w:spacing w:after="0"/>
              <w:rPr>
                <w:sz w:val="5"/>
                <w:szCs w:val="5"/>
                <w:color w:val="auto"/>
              </w:rPr>
            </w:pPr>
          </w:p>
        </w:tc>
        <w:tc>
          <w:tcPr>
            <w:tcW w:w="380" w:type="dxa"/>
            <w:vAlign w:val="bottom"/>
            <w:shd w:val="clear" w:color="auto" w:fill="7F7F7F"/>
          </w:tcPr>
          <w:p>
            <w:pPr>
              <w:spacing w:after="0"/>
              <w:rPr>
                <w:sz w:val="5"/>
                <w:szCs w:val="5"/>
                <w:color w:val="auto"/>
              </w:rPr>
            </w:pPr>
          </w:p>
        </w:tc>
        <w:tc>
          <w:tcPr>
            <w:tcW w:w="620" w:type="dxa"/>
            <w:vAlign w:val="bottom"/>
            <w:shd w:val="clear" w:color="auto" w:fill="7F7F7F"/>
          </w:tcPr>
          <w:p>
            <w:pPr>
              <w:spacing w:after="0"/>
              <w:rPr>
                <w:sz w:val="5"/>
                <w:szCs w:val="5"/>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100" w:right="379" w:firstLine="5"/>
        <w:spacing w:after="0" w:line="239" w:lineRule="auto"/>
        <w:tabs>
          <w:tab w:leader="none" w:pos="449"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Net of deferred taxes of $(59) million and $(8) million during the nine months ended September 30, 2017, and 2016, respectively. The accompanying notes are an integral part of these unaudited Condensed Consolidated Financial Statements.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45085</wp:posOffset>
            </wp:positionV>
            <wp:extent cx="5642610"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 w:name="page5"/>
    <w:bookmarkEnd w:id="4"/>
    <w:p>
      <w:pPr>
        <w:ind w:left="10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3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Condensed Consolidated Statements of Financial Position (Unaudited)</w:t>
      </w:r>
    </w:p>
    <w:p>
      <w:pPr>
        <w:ind w:left="100"/>
        <w:spacing w:after="0"/>
        <w:rPr>
          <w:sz w:val="20"/>
          <w:szCs w:val="20"/>
          <w:color w:val="auto"/>
        </w:rPr>
      </w:pPr>
      <w:r>
        <w:rPr>
          <w:rFonts w:ascii="Arial" w:cs="Arial" w:eastAsia="Arial" w:hAnsi="Arial"/>
          <w:sz w:val="18"/>
          <w:szCs w:val="18"/>
          <w:i w:val="1"/>
          <w:iCs w:val="1"/>
          <w:color w:val="auto"/>
        </w:rPr>
        <w:t>Union Pacific Corporation and Subsidiary Companies</w:t>
      </w:r>
    </w:p>
    <w:p>
      <w:pPr>
        <w:spacing w:after="0" w:line="193"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5900" w:type="dxa"/>
            <w:vAlign w:val="bottom"/>
            <w:tcBorders>
              <w:top w:val="single" w:sz="8" w:color="7F7F7F"/>
            </w:tcBorders>
          </w:tcPr>
          <w:p>
            <w:pPr>
              <w:spacing w:after="0"/>
              <w:rPr>
                <w:sz w:val="20"/>
                <w:szCs w:val="20"/>
                <w:color w:val="auto"/>
              </w:rPr>
            </w:pPr>
          </w:p>
        </w:tc>
        <w:tc>
          <w:tcPr>
            <w:tcW w:w="1720" w:type="dxa"/>
            <w:vAlign w:val="bottom"/>
            <w:tcBorders>
              <w:top w:val="single" w:sz="8" w:color="7F7F7F"/>
            </w:tcBorders>
            <w:gridSpan w:val="2"/>
          </w:tcPr>
          <w:p>
            <w:pPr>
              <w:ind w:left="460"/>
              <w:spacing w:after="0"/>
              <w:rPr>
                <w:sz w:val="20"/>
                <w:szCs w:val="20"/>
                <w:color w:val="auto"/>
              </w:rPr>
            </w:pPr>
            <w:r>
              <w:rPr>
                <w:rFonts w:ascii="Arial" w:cs="Arial" w:eastAsia="Arial" w:hAnsi="Arial"/>
                <w:sz w:val="16"/>
                <w:szCs w:val="16"/>
                <w:b w:val="1"/>
                <w:bCs w:val="1"/>
                <w:i w:val="1"/>
                <w:iCs w:val="1"/>
                <w:color w:val="auto"/>
              </w:rPr>
              <w:t>September 30,</w:t>
            </w:r>
          </w:p>
        </w:tc>
        <w:tc>
          <w:tcPr>
            <w:tcW w:w="1200" w:type="dxa"/>
            <w:vAlign w:val="bottom"/>
            <w:tcBorders>
              <w:top w:val="single" w:sz="8" w:color="7F7F7F"/>
            </w:tcBorders>
            <w:gridSpan w:val="2"/>
          </w:tcPr>
          <w:p>
            <w:pPr>
              <w:jc w:val="right"/>
              <w:spacing w:after="0"/>
              <w:rPr>
                <w:sz w:val="20"/>
                <w:szCs w:val="20"/>
                <w:color w:val="auto"/>
              </w:rPr>
            </w:pPr>
            <w:r>
              <w:rPr>
                <w:rFonts w:ascii="Arial" w:cs="Arial" w:eastAsia="Arial" w:hAnsi="Arial"/>
                <w:sz w:val="16"/>
                <w:szCs w:val="16"/>
                <w:i w:val="1"/>
                <w:iCs w:val="1"/>
                <w:color w:val="auto"/>
              </w:rPr>
              <w:t>December 31,</w:t>
            </w:r>
          </w:p>
        </w:tc>
      </w:tr>
      <w:tr>
        <w:trPr>
          <w:trHeight w:val="214"/>
        </w:trPr>
        <w:tc>
          <w:tcPr>
            <w:tcW w:w="5900" w:type="dxa"/>
            <w:vAlign w:val="bottom"/>
            <w:tcBorders>
              <w:bottom w:val="single" w:sz="8" w:color="7F7F7F"/>
            </w:tcBorders>
          </w:tcPr>
          <w:p>
            <w:pPr>
              <w:spacing w:after="0"/>
              <w:rPr>
                <w:sz w:val="20"/>
                <w:szCs w:val="20"/>
                <w:color w:val="auto"/>
              </w:rPr>
            </w:pPr>
            <w:r>
              <w:rPr>
                <w:rFonts w:ascii="Arial" w:cs="Arial" w:eastAsia="Arial" w:hAnsi="Arial"/>
                <w:sz w:val="16"/>
                <w:szCs w:val="16"/>
                <w:i w:val="1"/>
                <w:iCs w:val="1"/>
                <w:color w:val="auto"/>
              </w:rPr>
              <w:t>Millions, Except Share and Per Share Amounts</w:t>
            </w:r>
          </w:p>
        </w:tc>
        <w:tc>
          <w:tcPr>
            <w:tcW w:w="780" w:type="dxa"/>
            <w:vAlign w:val="bottom"/>
            <w:tcBorders>
              <w:bottom w:val="single" w:sz="8" w:color="7F7F7F"/>
            </w:tcBorders>
          </w:tcPr>
          <w:p>
            <w:pPr>
              <w:spacing w:after="0"/>
              <w:rPr>
                <w:sz w:val="18"/>
                <w:szCs w:val="18"/>
                <w:color w:val="auto"/>
              </w:rPr>
            </w:pPr>
          </w:p>
        </w:tc>
        <w:tc>
          <w:tcPr>
            <w:tcW w:w="940" w:type="dxa"/>
            <w:vAlign w:val="bottom"/>
            <w:tcBorders>
              <w:bottom w:val="single" w:sz="8" w:color="7F7F7F"/>
            </w:tcBorders>
          </w:tcPr>
          <w:p>
            <w:pPr>
              <w:jc w:val="right"/>
              <w:ind w:right="119"/>
              <w:spacing w:after="0"/>
              <w:rPr>
                <w:sz w:val="20"/>
                <w:szCs w:val="20"/>
                <w:color w:val="auto"/>
              </w:rPr>
            </w:pPr>
            <w:r>
              <w:rPr>
                <w:rFonts w:ascii="Arial" w:cs="Arial" w:eastAsia="Arial" w:hAnsi="Arial"/>
                <w:sz w:val="16"/>
                <w:szCs w:val="16"/>
                <w:b w:val="1"/>
                <w:bCs w:val="1"/>
                <w:i w:val="1"/>
                <w:iCs w:val="1"/>
                <w:color w:val="auto"/>
              </w:rPr>
              <w:t>2017</w:t>
            </w:r>
          </w:p>
        </w:tc>
        <w:tc>
          <w:tcPr>
            <w:tcW w:w="400" w:type="dxa"/>
            <w:vAlign w:val="bottom"/>
            <w:tcBorders>
              <w:bottom w:val="single" w:sz="8" w:color="7F7F7F"/>
            </w:tcBorders>
          </w:tcPr>
          <w:p>
            <w:pPr>
              <w:spacing w:after="0"/>
              <w:rPr>
                <w:sz w:val="18"/>
                <w:szCs w:val="18"/>
                <w:color w:val="auto"/>
              </w:rPr>
            </w:pPr>
          </w:p>
        </w:tc>
        <w:tc>
          <w:tcPr>
            <w:tcW w:w="80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2016</w:t>
            </w:r>
          </w:p>
        </w:tc>
      </w:tr>
      <w:tr>
        <w:trPr>
          <w:trHeight w:val="203"/>
        </w:trPr>
        <w:tc>
          <w:tcPr>
            <w:tcW w:w="5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7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13"/>
        </w:trPr>
        <w:tc>
          <w:tcPr>
            <w:tcW w:w="5900" w:type="dxa"/>
            <w:vAlign w:val="bottom"/>
          </w:tcPr>
          <w:p>
            <w:pPr>
              <w:spacing w:after="0"/>
              <w:rPr>
                <w:sz w:val="20"/>
                <w:szCs w:val="20"/>
                <w:color w:val="auto"/>
              </w:rPr>
            </w:pPr>
            <w:r>
              <w:rPr>
                <w:rFonts w:ascii="Arial" w:cs="Arial" w:eastAsia="Arial" w:hAnsi="Arial"/>
                <w:sz w:val="16"/>
                <w:szCs w:val="16"/>
                <w:color w:val="auto"/>
              </w:rPr>
              <w:t>Current assets:</w:t>
            </w:r>
          </w:p>
        </w:tc>
        <w:tc>
          <w:tcPr>
            <w:tcW w:w="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9"/>
        </w:trPr>
        <w:tc>
          <w:tcPr>
            <w:tcW w:w="5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780" w:type="dxa"/>
            <w:vAlign w:val="bottom"/>
            <w:shd w:val="clear" w:color="auto" w:fill="CCEEFF"/>
          </w:tcPr>
          <w:p>
            <w:pPr>
              <w:ind w:left="480"/>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1,847</w:t>
            </w:r>
          </w:p>
        </w:tc>
        <w:tc>
          <w:tcPr>
            <w:tcW w:w="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1,277</w:t>
            </w:r>
          </w:p>
        </w:tc>
      </w:tr>
      <w:tr>
        <w:trPr>
          <w:trHeight w:val="215"/>
        </w:trPr>
        <w:tc>
          <w:tcPr>
            <w:tcW w:w="5900" w:type="dxa"/>
            <w:vAlign w:val="bottom"/>
          </w:tcPr>
          <w:p>
            <w:pPr>
              <w:ind w:left="220"/>
              <w:spacing w:after="0"/>
              <w:rPr>
                <w:sz w:val="20"/>
                <w:szCs w:val="20"/>
                <w:color w:val="auto"/>
              </w:rPr>
            </w:pPr>
            <w:r>
              <w:rPr>
                <w:rFonts w:ascii="Arial" w:cs="Arial" w:eastAsia="Arial" w:hAnsi="Arial"/>
                <w:sz w:val="16"/>
                <w:szCs w:val="16"/>
                <w:color w:val="auto"/>
              </w:rPr>
              <w:t>Short-term investments (Note 14)</w:t>
            </w:r>
          </w:p>
        </w:tc>
        <w:tc>
          <w:tcPr>
            <w:tcW w:w="78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b w:val="1"/>
                <w:bCs w:val="1"/>
                <w:color w:val="auto"/>
              </w:rPr>
              <w:t>90</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17"/>
        </w:trPr>
        <w:tc>
          <w:tcPr>
            <w:tcW w:w="5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 net (Note 11)</w:t>
            </w:r>
          </w:p>
        </w:tc>
        <w:tc>
          <w:tcPr>
            <w:tcW w:w="7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1,428</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1,258</w:t>
            </w:r>
          </w:p>
        </w:tc>
      </w:tr>
      <w:tr>
        <w:trPr>
          <w:trHeight w:val="215"/>
        </w:trPr>
        <w:tc>
          <w:tcPr>
            <w:tcW w:w="5900" w:type="dxa"/>
            <w:vAlign w:val="bottom"/>
          </w:tcPr>
          <w:p>
            <w:pPr>
              <w:ind w:left="220"/>
              <w:spacing w:after="0"/>
              <w:rPr>
                <w:sz w:val="20"/>
                <w:szCs w:val="20"/>
                <w:color w:val="auto"/>
              </w:rPr>
            </w:pPr>
            <w:r>
              <w:rPr>
                <w:rFonts w:ascii="Arial" w:cs="Arial" w:eastAsia="Arial" w:hAnsi="Arial"/>
                <w:sz w:val="16"/>
                <w:szCs w:val="16"/>
                <w:color w:val="auto"/>
              </w:rPr>
              <w:t>Materials and supplies</w:t>
            </w:r>
          </w:p>
        </w:tc>
        <w:tc>
          <w:tcPr>
            <w:tcW w:w="78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b w:val="1"/>
                <w:bCs w:val="1"/>
                <w:color w:val="auto"/>
              </w:rPr>
              <w:t>742</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717</w:t>
            </w:r>
          </w:p>
        </w:tc>
      </w:tr>
      <w:tr>
        <w:trPr>
          <w:trHeight w:val="210"/>
        </w:trPr>
        <w:tc>
          <w:tcPr>
            <w:tcW w:w="5900" w:type="dxa"/>
            <w:vAlign w:val="bottom"/>
            <w:tcBorders>
              <w:bottom w:val="single" w:sz="8" w:color="7F7F7F"/>
            </w:tcBorders>
            <w:shd w:val="clear" w:color="auto" w:fill="CCEEFF"/>
          </w:tcPr>
          <w:p>
            <w:pPr>
              <w:ind w:left="220"/>
              <w:spacing w:after="0"/>
              <w:rPr>
                <w:sz w:val="20"/>
                <w:szCs w:val="20"/>
                <w:color w:val="auto"/>
              </w:rPr>
            </w:pPr>
            <w:r>
              <w:rPr>
                <w:rFonts w:ascii="Arial" w:cs="Arial" w:eastAsia="Arial" w:hAnsi="Arial"/>
                <w:sz w:val="16"/>
                <w:szCs w:val="16"/>
                <w:color w:val="auto"/>
              </w:rPr>
              <w:t>Other current assets</w:t>
            </w:r>
          </w:p>
        </w:tc>
        <w:tc>
          <w:tcPr>
            <w:tcW w:w="780" w:type="dxa"/>
            <w:vAlign w:val="bottom"/>
            <w:tcBorders>
              <w:bottom w:val="single" w:sz="8" w:color="7F7F7F"/>
            </w:tcBorders>
            <w:shd w:val="clear" w:color="auto" w:fill="CCEEFF"/>
          </w:tcPr>
          <w:p>
            <w:pPr>
              <w:spacing w:after="0"/>
              <w:rPr>
                <w:sz w:val="18"/>
                <w:szCs w:val="18"/>
                <w:color w:val="auto"/>
              </w:rPr>
            </w:pPr>
          </w:p>
        </w:tc>
        <w:tc>
          <w:tcPr>
            <w:tcW w:w="940" w:type="dxa"/>
            <w:vAlign w:val="bottom"/>
            <w:tcBorders>
              <w:bottom w:val="single" w:sz="8" w:color="7F7F7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342</w:t>
            </w:r>
          </w:p>
        </w:tc>
        <w:tc>
          <w:tcPr>
            <w:tcW w:w="400" w:type="dxa"/>
            <w:vAlign w:val="bottom"/>
            <w:tcBorders>
              <w:bottom w:val="single" w:sz="8" w:color="7F7F7F"/>
            </w:tcBorders>
            <w:shd w:val="clear" w:color="auto" w:fill="CCEEFF"/>
          </w:tcPr>
          <w:p>
            <w:pPr>
              <w:spacing w:after="0"/>
              <w:rPr>
                <w:sz w:val="18"/>
                <w:szCs w:val="18"/>
                <w:color w:val="auto"/>
              </w:rPr>
            </w:pPr>
          </w:p>
        </w:tc>
        <w:tc>
          <w:tcPr>
            <w:tcW w:w="8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284</w:t>
            </w:r>
          </w:p>
        </w:tc>
      </w:tr>
      <w:tr>
        <w:trPr>
          <w:trHeight w:val="251"/>
        </w:trPr>
        <w:tc>
          <w:tcPr>
            <w:tcW w:w="5900" w:type="dxa"/>
            <w:vAlign w:val="bottom"/>
          </w:tcPr>
          <w:p>
            <w:pPr>
              <w:spacing w:after="0"/>
              <w:rPr>
                <w:sz w:val="20"/>
                <w:szCs w:val="20"/>
                <w:color w:val="auto"/>
              </w:rPr>
            </w:pPr>
            <w:r>
              <w:rPr>
                <w:rFonts w:ascii="Arial" w:cs="Arial" w:eastAsia="Arial" w:hAnsi="Arial"/>
                <w:sz w:val="16"/>
                <w:szCs w:val="16"/>
                <w:color w:val="auto"/>
              </w:rPr>
              <w:t>Total current assets</w:t>
            </w:r>
          </w:p>
        </w:tc>
        <w:tc>
          <w:tcPr>
            <w:tcW w:w="780" w:type="dxa"/>
            <w:vAlign w:val="bottom"/>
          </w:tcPr>
          <w:p>
            <w:pPr>
              <w:spacing w:after="0"/>
              <w:rPr>
                <w:sz w:val="21"/>
                <w:szCs w:val="21"/>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b w:val="1"/>
                <w:bCs w:val="1"/>
                <w:color w:val="auto"/>
              </w:rPr>
              <w:t>4,449</w:t>
            </w: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3,596</w:t>
            </w:r>
          </w:p>
        </w:tc>
      </w:tr>
      <w:tr>
        <w:trPr>
          <w:trHeight w:val="54"/>
        </w:trPr>
        <w:tc>
          <w:tcPr>
            <w:tcW w:w="5900" w:type="dxa"/>
            <w:vAlign w:val="bottom"/>
            <w:tcBorders>
              <w:bottom w:val="single" w:sz="8" w:color="7F7F7F"/>
            </w:tcBorders>
          </w:tcPr>
          <w:p>
            <w:pPr>
              <w:spacing w:after="0"/>
              <w:rPr>
                <w:sz w:val="4"/>
                <w:szCs w:val="4"/>
                <w:color w:val="auto"/>
              </w:rPr>
            </w:pPr>
          </w:p>
        </w:tc>
        <w:tc>
          <w:tcPr>
            <w:tcW w:w="780" w:type="dxa"/>
            <w:vAlign w:val="bottom"/>
            <w:tcBorders>
              <w:bottom w:val="single" w:sz="8" w:color="7F7F7F"/>
            </w:tcBorders>
          </w:tcPr>
          <w:p>
            <w:pPr>
              <w:spacing w:after="0"/>
              <w:rPr>
                <w:sz w:val="4"/>
                <w:szCs w:val="4"/>
                <w:color w:val="auto"/>
              </w:rPr>
            </w:pPr>
          </w:p>
        </w:tc>
        <w:tc>
          <w:tcPr>
            <w:tcW w:w="940" w:type="dxa"/>
            <w:vAlign w:val="bottom"/>
            <w:tcBorders>
              <w:bottom w:val="single" w:sz="8" w:color="7F7F7F"/>
            </w:tcBorders>
          </w:tcPr>
          <w:p>
            <w:pPr>
              <w:spacing w:after="0"/>
              <w:rPr>
                <w:sz w:val="4"/>
                <w:szCs w:val="4"/>
                <w:color w:val="auto"/>
              </w:rPr>
            </w:pPr>
          </w:p>
        </w:tc>
        <w:tc>
          <w:tcPr>
            <w:tcW w:w="400" w:type="dxa"/>
            <w:vAlign w:val="bottom"/>
            <w:tcBorders>
              <w:bottom w:val="single" w:sz="8" w:color="7F7F7F"/>
            </w:tcBorders>
          </w:tcPr>
          <w:p>
            <w:pPr>
              <w:spacing w:after="0"/>
              <w:rPr>
                <w:sz w:val="4"/>
                <w:szCs w:val="4"/>
                <w:color w:val="auto"/>
              </w:rPr>
            </w:pPr>
          </w:p>
        </w:tc>
        <w:tc>
          <w:tcPr>
            <w:tcW w:w="800" w:type="dxa"/>
            <w:vAlign w:val="bottom"/>
            <w:tcBorders>
              <w:bottom w:val="single" w:sz="8" w:color="7F7F7F"/>
            </w:tcBorders>
          </w:tcPr>
          <w:p>
            <w:pPr>
              <w:spacing w:after="0"/>
              <w:rPr>
                <w:sz w:val="4"/>
                <w:szCs w:val="4"/>
                <w:color w:val="auto"/>
              </w:rPr>
            </w:pPr>
          </w:p>
        </w:tc>
      </w:tr>
      <w:tr>
        <w:trPr>
          <w:trHeight w:val="203"/>
        </w:trPr>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Investments</w:t>
            </w:r>
          </w:p>
        </w:tc>
        <w:tc>
          <w:tcPr>
            <w:tcW w:w="7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1,566</w:t>
            </w: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1,457</w:t>
            </w:r>
          </w:p>
        </w:tc>
      </w:tr>
      <w:tr>
        <w:trPr>
          <w:trHeight w:val="215"/>
        </w:trPr>
        <w:tc>
          <w:tcPr>
            <w:tcW w:w="5900" w:type="dxa"/>
            <w:vAlign w:val="bottom"/>
          </w:tcPr>
          <w:p>
            <w:pPr>
              <w:spacing w:after="0"/>
              <w:rPr>
                <w:sz w:val="20"/>
                <w:szCs w:val="20"/>
                <w:color w:val="auto"/>
              </w:rPr>
            </w:pPr>
            <w:r>
              <w:rPr>
                <w:rFonts w:ascii="Arial" w:cs="Arial" w:eastAsia="Arial" w:hAnsi="Arial"/>
                <w:sz w:val="16"/>
                <w:szCs w:val="16"/>
                <w:color w:val="auto"/>
              </w:rPr>
              <w:t>Net properties (Note 12)</w:t>
            </w:r>
          </w:p>
        </w:tc>
        <w:tc>
          <w:tcPr>
            <w:tcW w:w="78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b w:val="1"/>
                <w:bCs w:val="1"/>
                <w:color w:val="auto"/>
              </w:rPr>
              <w:t>51,036</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50,389</w:t>
            </w:r>
          </w:p>
        </w:tc>
      </w:tr>
      <w:tr>
        <w:trPr>
          <w:trHeight w:val="210"/>
        </w:trPr>
        <w:tc>
          <w:tcPr>
            <w:tcW w:w="590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Other assets</w:t>
            </w:r>
          </w:p>
        </w:tc>
        <w:tc>
          <w:tcPr>
            <w:tcW w:w="780" w:type="dxa"/>
            <w:vAlign w:val="bottom"/>
            <w:tcBorders>
              <w:bottom w:val="single" w:sz="8" w:color="7F7F7F"/>
            </w:tcBorders>
            <w:shd w:val="clear" w:color="auto" w:fill="CCEEFF"/>
          </w:tcPr>
          <w:p>
            <w:pPr>
              <w:spacing w:after="0"/>
              <w:rPr>
                <w:sz w:val="18"/>
                <w:szCs w:val="18"/>
                <w:color w:val="auto"/>
              </w:rPr>
            </w:pPr>
          </w:p>
        </w:tc>
        <w:tc>
          <w:tcPr>
            <w:tcW w:w="940" w:type="dxa"/>
            <w:vAlign w:val="bottom"/>
            <w:tcBorders>
              <w:bottom w:val="single" w:sz="8" w:color="7F7F7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346</w:t>
            </w:r>
          </w:p>
        </w:tc>
        <w:tc>
          <w:tcPr>
            <w:tcW w:w="400" w:type="dxa"/>
            <w:vAlign w:val="bottom"/>
            <w:tcBorders>
              <w:bottom w:val="single" w:sz="8" w:color="7F7F7F"/>
            </w:tcBorders>
            <w:shd w:val="clear" w:color="auto" w:fill="CCEEFF"/>
          </w:tcPr>
          <w:p>
            <w:pPr>
              <w:spacing w:after="0"/>
              <w:rPr>
                <w:sz w:val="18"/>
                <w:szCs w:val="18"/>
                <w:color w:val="auto"/>
              </w:rPr>
            </w:pPr>
          </w:p>
        </w:tc>
        <w:tc>
          <w:tcPr>
            <w:tcW w:w="8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276</w:t>
            </w:r>
          </w:p>
        </w:tc>
      </w:tr>
      <w:tr>
        <w:trPr>
          <w:trHeight w:val="251"/>
        </w:trPr>
        <w:tc>
          <w:tcPr>
            <w:tcW w:w="5900" w:type="dxa"/>
            <w:vAlign w:val="bottom"/>
          </w:tcPr>
          <w:p>
            <w:pPr>
              <w:spacing w:after="0"/>
              <w:rPr>
                <w:sz w:val="20"/>
                <w:szCs w:val="20"/>
                <w:color w:val="auto"/>
              </w:rPr>
            </w:pPr>
            <w:r>
              <w:rPr>
                <w:rFonts w:ascii="Arial" w:cs="Arial" w:eastAsia="Arial" w:hAnsi="Arial"/>
                <w:sz w:val="16"/>
                <w:szCs w:val="16"/>
                <w:color w:val="auto"/>
              </w:rPr>
              <w:t>Total assets</w:t>
            </w:r>
          </w:p>
        </w:tc>
        <w:tc>
          <w:tcPr>
            <w:tcW w:w="780" w:type="dxa"/>
            <w:vAlign w:val="bottom"/>
          </w:tcPr>
          <w:p>
            <w:pPr>
              <w:ind w:left="480"/>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119"/>
              <w:spacing w:after="0"/>
              <w:rPr>
                <w:sz w:val="20"/>
                <w:szCs w:val="20"/>
                <w:color w:val="auto"/>
              </w:rPr>
            </w:pPr>
            <w:r>
              <w:rPr>
                <w:rFonts w:ascii="Arial" w:cs="Arial" w:eastAsia="Arial" w:hAnsi="Arial"/>
                <w:sz w:val="16"/>
                <w:szCs w:val="16"/>
                <w:b w:val="1"/>
                <w:bCs w:val="1"/>
                <w:color w:val="auto"/>
              </w:rPr>
              <w:t>57,397</w:t>
            </w: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55,718</w:t>
            </w:r>
          </w:p>
        </w:tc>
      </w:tr>
      <w:tr>
        <w:trPr>
          <w:trHeight w:val="54"/>
        </w:trPr>
        <w:tc>
          <w:tcPr>
            <w:tcW w:w="5900" w:type="dxa"/>
            <w:vAlign w:val="bottom"/>
            <w:tcBorders>
              <w:bottom w:val="single" w:sz="8" w:color="7F7F7F"/>
            </w:tcBorders>
          </w:tcPr>
          <w:p>
            <w:pPr>
              <w:spacing w:after="0"/>
              <w:rPr>
                <w:sz w:val="4"/>
                <w:szCs w:val="4"/>
                <w:color w:val="auto"/>
              </w:rPr>
            </w:pPr>
          </w:p>
        </w:tc>
        <w:tc>
          <w:tcPr>
            <w:tcW w:w="780" w:type="dxa"/>
            <w:vAlign w:val="bottom"/>
            <w:tcBorders>
              <w:bottom w:val="single" w:sz="8" w:color="7F7F7F"/>
            </w:tcBorders>
          </w:tcPr>
          <w:p>
            <w:pPr>
              <w:spacing w:after="0"/>
              <w:rPr>
                <w:sz w:val="4"/>
                <w:szCs w:val="4"/>
                <w:color w:val="auto"/>
              </w:rPr>
            </w:pPr>
          </w:p>
        </w:tc>
        <w:tc>
          <w:tcPr>
            <w:tcW w:w="940" w:type="dxa"/>
            <w:vAlign w:val="bottom"/>
            <w:tcBorders>
              <w:bottom w:val="single" w:sz="8" w:color="7F7F7F"/>
            </w:tcBorders>
          </w:tcPr>
          <w:p>
            <w:pPr>
              <w:spacing w:after="0"/>
              <w:rPr>
                <w:sz w:val="4"/>
                <w:szCs w:val="4"/>
                <w:color w:val="auto"/>
              </w:rPr>
            </w:pPr>
          </w:p>
        </w:tc>
        <w:tc>
          <w:tcPr>
            <w:tcW w:w="400" w:type="dxa"/>
            <w:vAlign w:val="bottom"/>
            <w:tcBorders>
              <w:bottom w:val="single" w:sz="8" w:color="7F7F7F"/>
            </w:tcBorders>
          </w:tcPr>
          <w:p>
            <w:pPr>
              <w:spacing w:after="0"/>
              <w:rPr>
                <w:sz w:val="4"/>
                <w:szCs w:val="4"/>
                <w:color w:val="auto"/>
              </w:rPr>
            </w:pPr>
          </w:p>
        </w:tc>
        <w:tc>
          <w:tcPr>
            <w:tcW w:w="800" w:type="dxa"/>
            <w:vAlign w:val="bottom"/>
            <w:tcBorders>
              <w:bottom w:val="single" w:sz="8" w:color="7F7F7F"/>
            </w:tcBorders>
          </w:tcPr>
          <w:p>
            <w:pPr>
              <w:spacing w:after="0"/>
              <w:rPr>
                <w:sz w:val="4"/>
                <w:szCs w:val="4"/>
                <w:color w:val="auto"/>
              </w:rPr>
            </w:pPr>
          </w:p>
        </w:tc>
      </w:tr>
      <w:tr>
        <w:trPr>
          <w:trHeight w:val="203"/>
        </w:trPr>
        <w:tc>
          <w:tcPr>
            <w:tcW w:w="5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and Common Shareholders' Equity</w:t>
            </w:r>
          </w:p>
        </w:tc>
        <w:tc>
          <w:tcPr>
            <w:tcW w:w="7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13"/>
        </w:trPr>
        <w:tc>
          <w:tcPr>
            <w:tcW w:w="5900" w:type="dxa"/>
            <w:vAlign w:val="bottom"/>
          </w:tcPr>
          <w:p>
            <w:pPr>
              <w:spacing w:after="0"/>
              <w:rPr>
                <w:sz w:val="20"/>
                <w:szCs w:val="20"/>
                <w:color w:val="auto"/>
              </w:rPr>
            </w:pPr>
            <w:r>
              <w:rPr>
                <w:rFonts w:ascii="Arial" w:cs="Arial" w:eastAsia="Arial" w:hAnsi="Arial"/>
                <w:sz w:val="16"/>
                <w:szCs w:val="16"/>
                <w:color w:val="auto"/>
              </w:rPr>
              <w:t>Current liabilities:</w:t>
            </w:r>
          </w:p>
        </w:tc>
        <w:tc>
          <w:tcPr>
            <w:tcW w:w="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9"/>
        </w:trPr>
        <w:tc>
          <w:tcPr>
            <w:tcW w:w="5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 and other current liabilities (Note 13)</w:t>
            </w:r>
          </w:p>
        </w:tc>
        <w:tc>
          <w:tcPr>
            <w:tcW w:w="780" w:type="dxa"/>
            <w:vAlign w:val="bottom"/>
            <w:shd w:val="clear" w:color="auto" w:fill="CCEEFF"/>
          </w:tcPr>
          <w:p>
            <w:pPr>
              <w:ind w:left="480"/>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2,928</w:t>
            </w:r>
          </w:p>
        </w:tc>
        <w:tc>
          <w:tcPr>
            <w:tcW w:w="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2,882</w:t>
            </w:r>
          </w:p>
        </w:tc>
      </w:tr>
      <w:tr>
        <w:trPr>
          <w:trHeight w:val="210"/>
        </w:trPr>
        <w:tc>
          <w:tcPr>
            <w:tcW w:w="5900" w:type="dxa"/>
            <w:vAlign w:val="bottom"/>
            <w:tcBorders>
              <w:bottom w:val="single" w:sz="8" w:color="7F7F7F"/>
            </w:tcBorders>
          </w:tcPr>
          <w:p>
            <w:pPr>
              <w:ind w:left="220"/>
              <w:spacing w:after="0"/>
              <w:rPr>
                <w:sz w:val="20"/>
                <w:szCs w:val="20"/>
                <w:color w:val="auto"/>
              </w:rPr>
            </w:pPr>
            <w:r>
              <w:rPr>
                <w:rFonts w:ascii="Arial" w:cs="Arial" w:eastAsia="Arial" w:hAnsi="Arial"/>
                <w:sz w:val="16"/>
                <w:szCs w:val="16"/>
                <w:color w:val="auto"/>
              </w:rPr>
              <w:t>Debt due within one year (Note 15)</w:t>
            </w:r>
          </w:p>
        </w:tc>
        <w:tc>
          <w:tcPr>
            <w:tcW w:w="780" w:type="dxa"/>
            <w:vAlign w:val="bottom"/>
            <w:tcBorders>
              <w:bottom w:val="single" w:sz="8" w:color="7F7F7F"/>
            </w:tcBorders>
          </w:tcPr>
          <w:p>
            <w:pPr>
              <w:spacing w:after="0"/>
              <w:rPr>
                <w:sz w:val="18"/>
                <w:szCs w:val="18"/>
                <w:color w:val="auto"/>
              </w:rPr>
            </w:pPr>
          </w:p>
        </w:tc>
        <w:tc>
          <w:tcPr>
            <w:tcW w:w="940" w:type="dxa"/>
            <w:vAlign w:val="bottom"/>
            <w:tcBorders>
              <w:bottom w:val="single" w:sz="8" w:color="7F7F7F"/>
            </w:tcBorders>
          </w:tcPr>
          <w:p>
            <w:pPr>
              <w:jc w:val="right"/>
              <w:ind w:right="119"/>
              <w:spacing w:after="0"/>
              <w:rPr>
                <w:sz w:val="20"/>
                <w:szCs w:val="20"/>
                <w:color w:val="auto"/>
              </w:rPr>
            </w:pPr>
            <w:r>
              <w:rPr>
                <w:rFonts w:ascii="Arial" w:cs="Arial" w:eastAsia="Arial" w:hAnsi="Arial"/>
                <w:sz w:val="16"/>
                <w:szCs w:val="16"/>
                <w:b w:val="1"/>
                <w:bCs w:val="1"/>
                <w:color w:val="auto"/>
              </w:rPr>
              <w:t>903</w:t>
            </w:r>
          </w:p>
        </w:tc>
        <w:tc>
          <w:tcPr>
            <w:tcW w:w="400" w:type="dxa"/>
            <w:vAlign w:val="bottom"/>
            <w:tcBorders>
              <w:bottom w:val="single" w:sz="8" w:color="7F7F7F"/>
            </w:tcBorders>
          </w:tcPr>
          <w:p>
            <w:pPr>
              <w:spacing w:after="0"/>
              <w:rPr>
                <w:sz w:val="18"/>
                <w:szCs w:val="18"/>
                <w:color w:val="auto"/>
              </w:rPr>
            </w:pPr>
          </w:p>
        </w:tc>
        <w:tc>
          <w:tcPr>
            <w:tcW w:w="8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758</w:t>
            </w:r>
          </w:p>
        </w:tc>
      </w:tr>
      <w:tr>
        <w:trPr>
          <w:trHeight w:val="309"/>
        </w:trPr>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current liabilities</w:t>
            </w:r>
          </w:p>
        </w:tc>
        <w:tc>
          <w:tcPr>
            <w:tcW w:w="7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3,831</w:t>
            </w:r>
          </w:p>
        </w:tc>
        <w:tc>
          <w:tcPr>
            <w:tcW w:w="4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3,640</w:t>
            </w:r>
          </w:p>
        </w:tc>
      </w:tr>
      <w:tr>
        <w:trPr>
          <w:trHeight w:val="203"/>
        </w:trPr>
        <w:tc>
          <w:tcPr>
            <w:tcW w:w="5900" w:type="dxa"/>
            <w:vAlign w:val="bottom"/>
            <w:tcBorders>
              <w:top w:val="single" w:sz="8" w:color="7F7F7F"/>
            </w:tcBorders>
          </w:tcPr>
          <w:p>
            <w:pPr>
              <w:spacing w:after="0"/>
              <w:rPr>
                <w:sz w:val="20"/>
                <w:szCs w:val="20"/>
                <w:color w:val="auto"/>
              </w:rPr>
            </w:pPr>
            <w:r>
              <w:rPr>
                <w:rFonts w:ascii="Arial" w:cs="Arial" w:eastAsia="Arial" w:hAnsi="Arial"/>
                <w:sz w:val="16"/>
                <w:szCs w:val="16"/>
                <w:color w:val="auto"/>
              </w:rPr>
              <w:t>Debt due after one year (Note 15)</w:t>
            </w:r>
          </w:p>
        </w:tc>
        <w:tc>
          <w:tcPr>
            <w:tcW w:w="780" w:type="dxa"/>
            <w:vAlign w:val="bottom"/>
            <w:tcBorders>
              <w:top w:val="single" w:sz="8" w:color="7F7F7F"/>
            </w:tcBorders>
          </w:tcPr>
          <w:p>
            <w:pPr>
              <w:spacing w:after="0"/>
              <w:rPr>
                <w:sz w:val="17"/>
                <w:szCs w:val="17"/>
                <w:color w:val="auto"/>
              </w:rPr>
            </w:pPr>
          </w:p>
        </w:tc>
        <w:tc>
          <w:tcPr>
            <w:tcW w:w="940" w:type="dxa"/>
            <w:vAlign w:val="bottom"/>
            <w:tcBorders>
              <w:top w:val="single" w:sz="8" w:color="7F7F7F"/>
            </w:tcBorders>
          </w:tcPr>
          <w:p>
            <w:pPr>
              <w:jc w:val="right"/>
              <w:ind w:right="119"/>
              <w:spacing w:after="0"/>
              <w:rPr>
                <w:sz w:val="20"/>
                <w:szCs w:val="20"/>
                <w:color w:val="auto"/>
              </w:rPr>
            </w:pPr>
            <w:r>
              <w:rPr>
                <w:rFonts w:ascii="Arial" w:cs="Arial" w:eastAsia="Arial" w:hAnsi="Arial"/>
                <w:sz w:val="16"/>
                <w:szCs w:val="16"/>
                <w:b w:val="1"/>
                <w:bCs w:val="1"/>
                <w:color w:val="auto"/>
              </w:rPr>
              <w:t>15,930</w:t>
            </w:r>
          </w:p>
        </w:tc>
        <w:tc>
          <w:tcPr>
            <w:tcW w:w="400" w:type="dxa"/>
            <w:vAlign w:val="bottom"/>
            <w:tcBorders>
              <w:top w:val="single" w:sz="8" w:color="7F7F7F"/>
            </w:tcBorders>
          </w:tcPr>
          <w:p>
            <w:pPr>
              <w:spacing w:after="0"/>
              <w:rPr>
                <w:sz w:val="17"/>
                <w:szCs w:val="17"/>
                <w:color w:val="auto"/>
              </w:rPr>
            </w:pPr>
          </w:p>
        </w:tc>
        <w:tc>
          <w:tcPr>
            <w:tcW w:w="800" w:type="dxa"/>
            <w:vAlign w:val="bottom"/>
            <w:tcBorders>
              <w:top w:val="single" w:sz="8" w:color="7F7F7F"/>
            </w:tcBorders>
          </w:tcPr>
          <w:p>
            <w:pPr>
              <w:jc w:val="right"/>
              <w:spacing w:after="0"/>
              <w:rPr>
                <w:sz w:val="20"/>
                <w:szCs w:val="20"/>
                <w:color w:val="auto"/>
              </w:rPr>
            </w:pPr>
            <w:r>
              <w:rPr>
                <w:rFonts w:ascii="Arial" w:cs="Arial" w:eastAsia="Arial" w:hAnsi="Arial"/>
                <w:sz w:val="16"/>
                <w:szCs w:val="16"/>
                <w:color w:val="auto"/>
              </w:rPr>
              <w:t>14,249</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Deferred income taxes</w:t>
            </w:r>
          </w:p>
        </w:tc>
        <w:tc>
          <w:tcPr>
            <w:tcW w:w="7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16,524</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15,996</w:t>
            </w:r>
          </w:p>
        </w:tc>
      </w:tr>
      <w:tr>
        <w:trPr>
          <w:trHeight w:val="215"/>
        </w:trPr>
        <w:tc>
          <w:tcPr>
            <w:tcW w:w="590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78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b w:val="1"/>
                <w:bCs w:val="1"/>
                <w:color w:val="auto"/>
              </w:rPr>
              <w:t>1,961</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1,901</w:t>
            </w:r>
          </w:p>
        </w:tc>
      </w:tr>
      <w:tr>
        <w:trPr>
          <w:trHeight w:val="210"/>
        </w:trPr>
        <w:tc>
          <w:tcPr>
            <w:tcW w:w="590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Commitments and contingencies (Note 17)</w:t>
            </w:r>
          </w:p>
        </w:tc>
        <w:tc>
          <w:tcPr>
            <w:tcW w:w="780" w:type="dxa"/>
            <w:vAlign w:val="bottom"/>
            <w:tcBorders>
              <w:bottom w:val="single" w:sz="8" w:color="7F7F7F"/>
            </w:tcBorders>
            <w:shd w:val="clear" w:color="auto" w:fill="CCEEFF"/>
          </w:tcPr>
          <w:p>
            <w:pPr>
              <w:spacing w:after="0"/>
              <w:rPr>
                <w:sz w:val="18"/>
                <w:szCs w:val="18"/>
                <w:color w:val="auto"/>
              </w:rPr>
            </w:pPr>
          </w:p>
        </w:tc>
        <w:tc>
          <w:tcPr>
            <w:tcW w:w="940" w:type="dxa"/>
            <w:vAlign w:val="bottom"/>
            <w:tcBorders>
              <w:bottom w:val="single" w:sz="8" w:color="7F7F7F"/>
            </w:tcBorders>
            <w:shd w:val="clear" w:color="auto" w:fill="CCEEFF"/>
          </w:tcPr>
          <w:p>
            <w:pPr>
              <w:spacing w:after="0"/>
              <w:rPr>
                <w:sz w:val="18"/>
                <w:szCs w:val="18"/>
                <w:color w:val="auto"/>
              </w:rPr>
            </w:pPr>
          </w:p>
        </w:tc>
        <w:tc>
          <w:tcPr>
            <w:tcW w:w="400" w:type="dxa"/>
            <w:vAlign w:val="bottom"/>
            <w:tcBorders>
              <w:bottom w:val="single" w:sz="8" w:color="7F7F7F"/>
            </w:tcBorders>
            <w:shd w:val="clear" w:color="auto" w:fill="CCEEFF"/>
          </w:tcPr>
          <w:p>
            <w:pPr>
              <w:spacing w:after="0"/>
              <w:rPr>
                <w:sz w:val="18"/>
                <w:szCs w:val="18"/>
                <w:color w:val="auto"/>
              </w:rPr>
            </w:pPr>
          </w:p>
        </w:tc>
        <w:tc>
          <w:tcPr>
            <w:tcW w:w="800" w:type="dxa"/>
            <w:vAlign w:val="bottom"/>
            <w:tcBorders>
              <w:bottom w:val="single" w:sz="8" w:color="7F7F7F"/>
            </w:tcBorders>
            <w:shd w:val="clear" w:color="auto" w:fill="CCEEFF"/>
          </w:tcPr>
          <w:p>
            <w:pPr>
              <w:spacing w:after="0"/>
              <w:rPr>
                <w:sz w:val="18"/>
                <w:szCs w:val="18"/>
                <w:color w:val="auto"/>
              </w:rPr>
            </w:pPr>
          </w:p>
        </w:tc>
      </w:tr>
      <w:tr>
        <w:trPr>
          <w:trHeight w:val="251"/>
        </w:trPr>
        <w:tc>
          <w:tcPr>
            <w:tcW w:w="5900" w:type="dxa"/>
            <w:vAlign w:val="bottom"/>
          </w:tcPr>
          <w:p>
            <w:pPr>
              <w:spacing w:after="0"/>
              <w:rPr>
                <w:sz w:val="20"/>
                <w:szCs w:val="20"/>
                <w:color w:val="auto"/>
              </w:rPr>
            </w:pPr>
            <w:r>
              <w:rPr>
                <w:rFonts w:ascii="Arial" w:cs="Arial" w:eastAsia="Arial" w:hAnsi="Arial"/>
                <w:sz w:val="16"/>
                <w:szCs w:val="16"/>
                <w:color w:val="auto"/>
              </w:rPr>
              <w:t>Total liabilities</w:t>
            </w:r>
          </w:p>
        </w:tc>
        <w:tc>
          <w:tcPr>
            <w:tcW w:w="780" w:type="dxa"/>
            <w:vAlign w:val="bottom"/>
          </w:tcPr>
          <w:p>
            <w:pPr>
              <w:spacing w:after="0"/>
              <w:rPr>
                <w:sz w:val="21"/>
                <w:szCs w:val="21"/>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b w:val="1"/>
                <w:bCs w:val="1"/>
                <w:color w:val="auto"/>
              </w:rPr>
              <w:t>38,246</w:t>
            </w: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35,786</w:t>
            </w:r>
          </w:p>
        </w:tc>
      </w:tr>
      <w:tr>
        <w:trPr>
          <w:trHeight w:val="54"/>
        </w:trPr>
        <w:tc>
          <w:tcPr>
            <w:tcW w:w="5900" w:type="dxa"/>
            <w:vAlign w:val="bottom"/>
            <w:tcBorders>
              <w:bottom w:val="single" w:sz="8" w:color="7F7F7F"/>
            </w:tcBorders>
          </w:tcPr>
          <w:p>
            <w:pPr>
              <w:spacing w:after="0"/>
              <w:rPr>
                <w:sz w:val="4"/>
                <w:szCs w:val="4"/>
                <w:color w:val="auto"/>
              </w:rPr>
            </w:pPr>
          </w:p>
        </w:tc>
        <w:tc>
          <w:tcPr>
            <w:tcW w:w="780" w:type="dxa"/>
            <w:vAlign w:val="bottom"/>
            <w:tcBorders>
              <w:bottom w:val="single" w:sz="8" w:color="7F7F7F"/>
            </w:tcBorders>
          </w:tcPr>
          <w:p>
            <w:pPr>
              <w:spacing w:after="0"/>
              <w:rPr>
                <w:sz w:val="4"/>
                <w:szCs w:val="4"/>
                <w:color w:val="auto"/>
              </w:rPr>
            </w:pPr>
          </w:p>
        </w:tc>
        <w:tc>
          <w:tcPr>
            <w:tcW w:w="940" w:type="dxa"/>
            <w:vAlign w:val="bottom"/>
            <w:tcBorders>
              <w:bottom w:val="single" w:sz="8" w:color="7F7F7F"/>
            </w:tcBorders>
          </w:tcPr>
          <w:p>
            <w:pPr>
              <w:spacing w:after="0"/>
              <w:rPr>
                <w:sz w:val="4"/>
                <w:szCs w:val="4"/>
                <w:color w:val="auto"/>
              </w:rPr>
            </w:pPr>
          </w:p>
        </w:tc>
        <w:tc>
          <w:tcPr>
            <w:tcW w:w="400" w:type="dxa"/>
            <w:vAlign w:val="bottom"/>
            <w:tcBorders>
              <w:bottom w:val="single" w:sz="8" w:color="7F7F7F"/>
            </w:tcBorders>
          </w:tcPr>
          <w:p>
            <w:pPr>
              <w:spacing w:after="0"/>
              <w:rPr>
                <w:sz w:val="4"/>
                <w:szCs w:val="4"/>
                <w:color w:val="auto"/>
              </w:rPr>
            </w:pPr>
          </w:p>
        </w:tc>
        <w:tc>
          <w:tcPr>
            <w:tcW w:w="800" w:type="dxa"/>
            <w:vAlign w:val="bottom"/>
            <w:tcBorders>
              <w:bottom w:val="single" w:sz="8" w:color="7F7F7F"/>
            </w:tcBorders>
          </w:tcPr>
          <w:p>
            <w:pPr>
              <w:spacing w:after="0"/>
              <w:rPr>
                <w:sz w:val="4"/>
                <w:szCs w:val="4"/>
                <w:color w:val="auto"/>
              </w:rPr>
            </w:pPr>
          </w:p>
        </w:tc>
      </w:tr>
      <w:tr>
        <w:trPr>
          <w:trHeight w:val="203"/>
        </w:trPr>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Common shareholders' equity:</w:t>
            </w:r>
          </w:p>
        </w:tc>
        <w:tc>
          <w:tcPr>
            <w:tcW w:w="7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13"/>
        </w:trPr>
        <w:tc>
          <w:tcPr>
            <w:tcW w:w="5900" w:type="dxa"/>
            <w:vAlign w:val="bottom"/>
          </w:tcPr>
          <w:p>
            <w:pPr>
              <w:ind w:left="220"/>
              <w:spacing w:after="0"/>
              <w:rPr>
                <w:sz w:val="20"/>
                <w:szCs w:val="20"/>
                <w:color w:val="auto"/>
              </w:rPr>
            </w:pPr>
            <w:r>
              <w:rPr>
                <w:rFonts w:ascii="Arial" w:cs="Arial" w:eastAsia="Arial" w:hAnsi="Arial"/>
                <w:sz w:val="16"/>
                <w:szCs w:val="16"/>
                <w:color w:val="auto"/>
              </w:rPr>
              <w:t>Common shares, $2.50 par value, 1,400,000,000 authorized;</w:t>
            </w:r>
          </w:p>
        </w:tc>
        <w:tc>
          <w:tcPr>
            <w:tcW w:w="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9"/>
        </w:trPr>
        <w:tc>
          <w:tcPr>
            <w:tcW w:w="5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1,111,418,228 and 1,110,986,415 issued; 789,834,578 and 815,824,413</w:t>
            </w:r>
          </w:p>
        </w:tc>
        <w:tc>
          <w:tcPr>
            <w:tcW w:w="7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5"/>
        </w:trPr>
        <w:tc>
          <w:tcPr>
            <w:tcW w:w="5900" w:type="dxa"/>
            <w:vAlign w:val="bottom"/>
          </w:tcPr>
          <w:p>
            <w:pPr>
              <w:ind w:left="220"/>
              <w:spacing w:after="0"/>
              <w:rPr>
                <w:sz w:val="20"/>
                <w:szCs w:val="20"/>
                <w:color w:val="auto"/>
              </w:rPr>
            </w:pPr>
            <w:r>
              <w:rPr>
                <w:rFonts w:ascii="Arial" w:cs="Arial" w:eastAsia="Arial" w:hAnsi="Arial"/>
                <w:sz w:val="16"/>
                <w:szCs w:val="16"/>
                <w:color w:val="auto"/>
              </w:rPr>
              <w:t>outstanding, respectively</w:t>
            </w:r>
          </w:p>
        </w:tc>
        <w:tc>
          <w:tcPr>
            <w:tcW w:w="78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b w:val="1"/>
                <w:bCs w:val="1"/>
                <w:color w:val="auto"/>
              </w:rPr>
              <w:t>2,778</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2,777</w:t>
            </w:r>
          </w:p>
        </w:tc>
      </w:tr>
      <w:tr>
        <w:trPr>
          <w:trHeight w:val="217"/>
        </w:trPr>
        <w:tc>
          <w:tcPr>
            <w:tcW w:w="5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Paid-in-surplus</w:t>
            </w:r>
          </w:p>
        </w:tc>
        <w:tc>
          <w:tcPr>
            <w:tcW w:w="7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4,454</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4,421</w:t>
            </w:r>
          </w:p>
        </w:tc>
      </w:tr>
      <w:tr>
        <w:trPr>
          <w:trHeight w:val="215"/>
        </w:trPr>
        <w:tc>
          <w:tcPr>
            <w:tcW w:w="5900" w:type="dxa"/>
            <w:vAlign w:val="bottom"/>
          </w:tcPr>
          <w:p>
            <w:pPr>
              <w:ind w:left="220"/>
              <w:spacing w:after="0"/>
              <w:rPr>
                <w:sz w:val="20"/>
                <w:szCs w:val="20"/>
                <w:color w:val="auto"/>
              </w:rPr>
            </w:pPr>
            <w:r>
              <w:rPr>
                <w:rFonts w:ascii="Arial" w:cs="Arial" w:eastAsia="Arial" w:hAnsi="Arial"/>
                <w:sz w:val="16"/>
                <w:szCs w:val="16"/>
                <w:color w:val="auto"/>
              </w:rPr>
              <w:t>Retained earnings</w:t>
            </w:r>
          </w:p>
        </w:tc>
        <w:tc>
          <w:tcPr>
            <w:tcW w:w="78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b w:val="1"/>
                <w:bCs w:val="1"/>
                <w:color w:val="auto"/>
              </w:rPr>
              <w:t>34,561</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32,587</w:t>
            </w:r>
          </w:p>
        </w:tc>
      </w:tr>
      <w:tr>
        <w:trPr>
          <w:trHeight w:val="217"/>
        </w:trPr>
        <w:tc>
          <w:tcPr>
            <w:tcW w:w="5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Treasury stock</w:t>
            </w:r>
          </w:p>
        </w:tc>
        <w:tc>
          <w:tcPr>
            <w:tcW w:w="7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(21,470)</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(18,581)</w:t>
            </w:r>
          </w:p>
        </w:tc>
      </w:tr>
      <w:tr>
        <w:trPr>
          <w:trHeight w:val="210"/>
        </w:trPr>
        <w:tc>
          <w:tcPr>
            <w:tcW w:w="5900" w:type="dxa"/>
            <w:vAlign w:val="bottom"/>
            <w:tcBorders>
              <w:bottom w:val="single" w:sz="8" w:color="7F7F7F"/>
            </w:tcBorders>
          </w:tcPr>
          <w:p>
            <w:pPr>
              <w:ind w:left="220"/>
              <w:spacing w:after="0"/>
              <w:rPr>
                <w:sz w:val="20"/>
                <w:szCs w:val="20"/>
                <w:color w:val="auto"/>
              </w:rPr>
            </w:pPr>
            <w:r>
              <w:rPr>
                <w:rFonts w:ascii="Arial" w:cs="Arial" w:eastAsia="Arial" w:hAnsi="Arial"/>
                <w:sz w:val="16"/>
                <w:szCs w:val="16"/>
                <w:color w:val="auto"/>
              </w:rPr>
              <w:t>Accumulated other comprehensive loss (Note 10)</w:t>
            </w:r>
          </w:p>
        </w:tc>
        <w:tc>
          <w:tcPr>
            <w:tcW w:w="780" w:type="dxa"/>
            <w:vAlign w:val="bottom"/>
            <w:tcBorders>
              <w:bottom w:val="single" w:sz="8" w:color="7F7F7F"/>
            </w:tcBorders>
          </w:tcPr>
          <w:p>
            <w:pPr>
              <w:spacing w:after="0"/>
              <w:rPr>
                <w:sz w:val="18"/>
                <w:szCs w:val="18"/>
                <w:color w:val="auto"/>
              </w:rPr>
            </w:pPr>
          </w:p>
        </w:tc>
        <w:tc>
          <w:tcPr>
            <w:tcW w:w="940" w:type="dxa"/>
            <w:vAlign w:val="bottom"/>
            <w:tcBorders>
              <w:bottom w:val="single" w:sz="8" w:color="7F7F7F"/>
            </w:tcBorders>
          </w:tcPr>
          <w:p>
            <w:pPr>
              <w:jc w:val="right"/>
              <w:ind w:right="59"/>
              <w:spacing w:after="0"/>
              <w:rPr>
                <w:sz w:val="20"/>
                <w:szCs w:val="20"/>
                <w:color w:val="auto"/>
              </w:rPr>
            </w:pPr>
            <w:r>
              <w:rPr>
                <w:rFonts w:ascii="Arial" w:cs="Arial" w:eastAsia="Arial" w:hAnsi="Arial"/>
                <w:sz w:val="16"/>
                <w:szCs w:val="16"/>
                <w:b w:val="1"/>
                <w:bCs w:val="1"/>
                <w:color w:val="auto"/>
              </w:rPr>
              <w:t>(1,172)</w:t>
            </w:r>
          </w:p>
        </w:tc>
        <w:tc>
          <w:tcPr>
            <w:tcW w:w="400" w:type="dxa"/>
            <w:vAlign w:val="bottom"/>
            <w:tcBorders>
              <w:bottom w:val="single" w:sz="8" w:color="7F7F7F"/>
            </w:tcBorders>
          </w:tcPr>
          <w:p>
            <w:pPr>
              <w:spacing w:after="0"/>
              <w:rPr>
                <w:sz w:val="18"/>
                <w:szCs w:val="18"/>
                <w:color w:val="auto"/>
              </w:rPr>
            </w:pPr>
          </w:p>
        </w:tc>
        <w:tc>
          <w:tcPr>
            <w:tcW w:w="8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(1,272)</w:t>
            </w:r>
          </w:p>
        </w:tc>
      </w:tr>
      <w:tr>
        <w:trPr>
          <w:trHeight w:val="309"/>
        </w:trPr>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common shareholders' equity</w:t>
            </w:r>
          </w:p>
        </w:tc>
        <w:tc>
          <w:tcPr>
            <w:tcW w:w="7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19,151</w:t>
            </w:r>
          </w:p>
        </w:tc>
        <w:tc>
          <w:tcPr>
            <w:tcW w:w="4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19,932</w:t>
            </w:r>
          </w:p>
        </w:tc>
      </w:tr>
      <w:tr>
        <w:trPr>
          <w:trHeight w:val="251"/>
        </w:trPr>
        <w:tc>
          <w:tcPr>
            <w:tcW w:w="5900" w:type="dxa"/>
            <w:vAlign w:val="bottom"/>
            <w:tcBorders>
              <w:top w:val="single" w:sz="8" w:color="7F7F7F"/>
            </w:tcBorders>
          </w:tcPr>
          <w:p>
            <w:pPr>
              <w:spacing w:after="0"/>
              <w:rPr>
                <w:sz w:val="20"/>
                <w:szCs w:val="20"/>
                <w:color w:val="auto"/>
              </w:rPr>
            </w:pPr>
            <w:r>
              <w:rPr>
                <w:rFonts w:ascii="Arial" w:cs="Arial" w:eastAsia="Arial" w:hAnsi="Arial"/>
                <w:sz w:val="16"/>
                <w:szCs w:val="16"/>
                <w:color w:val="auto"/>
              </w:rPr>
              <w:t>Total liabilities and common shareholders' equity</w:t>
            </w:r>
          </w:p>
        </w:tc>
        <w:tc>
          <w:tcPr>
            <w:tcW w:w="780" w:type="dxa"/>
            <w:vAlign w:val="bottom"/>
            <w:tcBorders>
              <w:top w:val="single" w:sz="8" w:color="7F7F7F"/>
            </w:tcBorders>
          </w:tcPr>
          <w:p>
            <w:pPr>
              <w:ind w:left="480"/>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7F7F7F"/>
            </w:tcBorders>
          </w:tcPr>
          <w:p>
            <w:pPr>
              <w:jc w:val="right"/>
              <w:ind w:right="119"/>
              <w:spacing w:after="0"/>
              <w:rPr>
                <w:sz w:val="20"/>
                <w:szCs w:val="20"/>
                <w:color w:val="auto"/>
              </w:rPr>
            </w:pPr>
            <w:r>
              <w:rPr>
                <w:rFonts w:ascii="Arial" w:cs="Arial" w:eastAsia="Arial" w:hAnsi="Arial"/>
                <w:sz w:val="16"/>
                <w:szCs w:val="16"/>
                <w:b w:val="1"/>
                <w:bCs w:val="1"/>
                <w:color w:val="auto"/>
              </w:rPr>
              <w:t>57,397</w:t>
            </w:r>
          </w:p>
        </w:tc>
        <w:tc>
          <w:tcPr>
            <w:tcW w:w="400" w:type="dxa"/>
            <w:vAlign w:val="bottom"/>
            <w:tcBorders>
              <w:top w:val="single" w:sz="8" w:color="7F7F7F"/>
            </w:tcBorders>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7F7F7F"/>
            </w:tcBorders>
          </w:tcPr>
          <w:p>
            <w:pPr>
              <w:jc w:val="right"/>
              <w:spacing w:after="0"/>
              <w:rPr>
                <w:sz w:val="20"/>
                <w:szCs w:val="20"/>
                <w:color w:val="auto"/>
              </w:rPr>
            </w:pPr>
            <w:r>
              <w:rPr>
                <w:rFonts w:ascii="Arial" w:cs="Arial" w:eastAsia="Arial" w:hAnsi="Arial"/>
                <w:sz w:val="16"/>
                <w:szCs w:val="16"/>
                <w:color w:val="auto"/>
              </w:rPr>
              <w:t>55,718</w:t>
            </w:r>
          </w:p>
        </w:tc>
      </w:tr>
      <w:tr>
        <w:trPr>
          <w:trHeight w:val="54"/>
        </w:trPr>
        <w:tc>
          <w:tcPr>
            <w:tcW w:w="5900" w:type="dxa"/>
            <w:vAlign w:val="bottom"/>
            <w:tcBorders>
              <w:bottom w:val="single" w:sz="8" w:color="7F7F7F"/>
            </w:tcBorders>
          </w:tcPr>
          <w:p>
            <w:pPr>
              <w:spacing w:after="0"/>
              <w:rPr>
                <w:sz w:val="4"/>
                <w:szCs w:val="4"/>
                <w:color w:val="auto"/>
              </w:rPr>
            </w:pPr>
          </w:p>
        </w:tc>
        <w:tc>
          <w:tcPr>
            <w:tcW w:w="780" w:type="dxa"/>
            <w:vAlign w:val="bottom"/>
            <w:tcBorders>
              <w:bottom w:val="single" w:sz="8" w:color="7F7F7F"/>
            </w:tcBorders>
          </w:tcPr>
          <w:p>
            <w:pPr>
              <w:spacing w:after="0"/>
              <w:rPr>
                <w:sz w:val="4"/>
                <w:szCs w:val="4"/>
                <w:color w:val="auto"/>
              </w:rPr>
            </w:pPr>
          </w:p>
        </w:tc>
        <w:tc>
          <w:tcPr>
            <w:tcW w:w="940" w:type="dxa"/>
            <w:vAlign w:val="bottom"/>
            <w:tcBorders>
              <w:bottom w:val="single" w:sz="8" w:color="7F7F7F"/>
            </w:tcBorders>
          </w:tcPr>
          <w:p>
            <w:pPr>
              <w:spacing w:after="0"/>
              <w:rPr>
                <w:sz w:val="4"/>
                <w:szCs w:val="4"/>
                <w:color w:val="auto"/>
              </w:rPr>
            </w:pPr>
          </w:p>
        </w:tc>
        <w:tc>
          <w:tcPr>
            <w:tcW w:w="400" w:type="dxa"/>
            <w:vAlign w:val="bottom"/>
            <w:tcBorders>
              <w:bottom w:val="single" w:sz="8" w:color="7F7F7F"/>
            </w:tcBorders>
          </w:tcPr>
          <w:p>
            <w:pPr>
              <w:spacing w:after="0"/>
              <w:rPr>
                <w:sz w:val="4"/>
                <w:szCs w:val="4"/>
                <w:color w:val="auto"/>
              </w:rPr>
            </w:pPr>
          </w:p>
        </w:tc>
        <w:tc>
          <w:tcPr>
            <w:tcW w:w="800" w:type="dxa"/>
            <w:vAlign w:val="bottom"/>
            <w:tcBorders>
              <w:bottom w:val="single" w:sz="8" w:color="7F7F7F"/>
            </w:tcBorders>
          </w:tcPr>
          <w:p>
            <w:pPr>
              <w:spacing w:after="0"/>
              <w:rPr>
                <w:sz w:val="4"/>
                <w:szCs w:val="4"/>
                <w:color w:val="auto"/>
              </w:rPr>
            </w:pPr>
          </w:p>
        </w:tc>
      </w:tr>
    </w:tbl>
    <w:p>
      <w:pPr>
        <w:spacing w:after="0" w:line="153" w:lineRule="exact"/>
        <w:rPr>
          <w:sz w:val="20"/>
          <w:szCs w:val="20"/>
          <w:color w:val="auto"/>
        </w:rPr>
      </w:pPr>
    </w:p>
    <w:p>
      <w:pPr>
        <w:ind w:left="100"/>
        <w:spacing w:after="0"/>
        <w:rPr>
          <w:sz w:val="20"/>
          <w:szCs w:val="20"/>
          <w:color w:val="auto"/>
        </w:rPr>
      </w:pPr>
      <w:r>
        <w:rPr>
          <w:rFonts w:ascii="Arial" w:cs="Arial" w:eastAsia="Arial" w:hAnsi="Arial"/>
          <w:sz w:val="14"/>
          <w:szCs w:val="14"/>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45085</wp:posOffset>
            </wp:positionV>
            <wp:extent cx="5642610"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 w:name="page6"/>
    <w:bookmarkEnd w:id="5"/>
    <w:p>
      <w:pPr>
        <w:ind w:left="10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3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Condensed Consolidated Statements of Cash Flows (Unaudited)</w:t>
      </w:r>
    </w:p>
    <w:p>
      <w:pPr>
        <w:ind w:left="100"/>
        <w:spacing w:after="0"/>
        <w:rPr>
          <w:sz w:val="20"/>
          <w:szCs w:val="20"/>
          <w:color w:val="auto"/>
        </w:rPr>
      </w:pPr>
      <w:r>
        <w:rPr>
          <w:rFonts w:ascii="Arial" w:cs="Arial" w:eastAsia="Arial" w:hAnsi="Arial"/>
          <w:sz w:val="18"/>
          <w:szCs w:val="18"/>
          <w:i w:val="1"/>
          <w:iCs w:val="1"/>
          <w:color w:val="auto"/>
        </w:rPr>
        <w:t>Union Pacific Corporation and Subsidiary Companies</w:t>
      </w:r>
    </w:p>
    <w:p>
      <w:pPr>
        <w:spacing w:after="0" w:line="193" w:lineRule="exact"/>
        <w:rPr>
          <w:sz w:val="20"/>
          <w:szCs w:val="20"/>
          <w:color w:val="auto"/>
        </w:rPr>
      </w:pPr>
    </w:p>
    <w:tbl>
      <w:tblPr>
        <w:tblLayout w:type="fixed"/>
        <w:tblInd w:w="100" w:type="dxa"/>
        <w:tblCellMar>
          <w:top w:w="0" w:type="dxa"/>
          <w:left w:w="0" w:type="dxa"/>
          <w:bottom w:w="0" w:type="dxa"/>
          <w:right w:w="0" w:type="dxa"/>
        </w:tblCellMar>
      </w:tblPr>
      <w:tr>
        <w:trPr>
          <w:trHeight w:val="256"/>
        </w:trPr>
        <w:tc>
          <w:tcPr>
            <w:tcW w:w="6220" w:type="dxa"/>
            <w:vAlign w:val="bottom"/>
            <w:tcBorders>
              <w:top w:val="single" w:sz="8" w:color="7F7F7F"/>
            </w:tcBorders>
          </w:tcPr>
          <w:p>
            <w:pPr>
              <w:spacing w:after="0"/>
              <w:rPr>
                <w:sz w:val="20"/>
                <w:szCs w:val="20"/>
                <w:color w:val="auto"/>
              </w:rPr>
            </w:pPr>
            <w:r>
              <w:rPr>
                <w:rFonts w:ascii="Arial" w:cs="Arial" w:eastAsia="Arial" w:hAnsi="Arial"/>
                <w:sz w:val="16"/>
                <w:szCs w:val="16"/>
                <w:i w:val="1"/>
                <w:iCs w:val="1"/>
                <w:color w:val="auto"/>
              </w:rPr>
              <w:t>Millions,</w:t>
            </w:r>
          </w:p>
        </w:tc>
        <w:tc>
          <w:tcPr>
            <w:tcW w:w="920" w:type="dxa"/>
            <w:vAlign w:val="bottom"/>
            <w:tcBorders>
              <w:top w:val="single" w:sz="8" w:color="7F7F7F"/>
            </w:tcBorders>
          </w:tcPr>
          <w:p>
            <w:pPr>
              <w:spacing w:after="0"/>
              <w:rPr>
                <w:sz w:val="22"/>
                <w:szCs w:val="22"/>
                <w:color w:val="auto"/>
              </w:rPr>
            </w:pPr>
          </w:p>
        </w:tc>
        <w:tc>
          <w:tcPr>
            <w:tcW w:w="740" w:type="dxa"/>
            <w:vAlign w:val="bottom"/>
            <w:tcBorders>
              <w:top w:val="single" w:sz="8" w:color="7F7F7F"/>
            </w:tcBorders>
            <w:vMerge w:val="restart"/>
          </w:tcPr>
          <w:p>
            <w:pPr>
              <w:jc w:val="right"/>
              <w:ind w:right="79"/>
              <w:spacing w:after="0"/>
              <w:rPr>
                <w:sz w:val="20"/>
                <w:szCs w:val="20"/>
                <w:color w:val="auto"/>
              </w:rPr>
            </w:pPr>
            <w:r>
              <w:rPr>
                <w:rFonts w:ascii="Arial" w:cs="Arial" w:eastAsia="Arial" w:hAnsi="Arial"/>
                <w:sz w:val="16"/>
                <w:szCs w:val="16"/>
                <w:b w:val="1"/>
                <w:bCs w:val="1"/>
                <w:i w:val="1"/>
                <w:iCs w:val="1"/>
                <w:color w:val="auto"/>
              </w:rPr>
              <w:t>2017</w:t>
            </w:r>
          </w:p>
        </w:tc>
        <w:tc>
          <w:tcPr>
            <w:tcW w:w="320" w:type="dxa"/>
            <w:vAlign w:val="bottom"/>
            <w:tcBorders>
              <w:top w:val="single" w:sz="8" w:color="7F7F7F"/>
            </w:tcBorders>
          </w:tcPr>
          <w:p>
            <w:pPr>
              <w:spacing w:after="0"/>
              <w:rPr>
                <w:sz w:val="22"/>
                <w:szCs w:val="22"/>
                <w:color w:val="auto"/>
              </w:rPr>
            </w:pPr>
          </w:p>
        </w:tc>
        <w:tc>
          <w:tcPr>
            <w:tcW w:w="620" w:type="dxa"/>
            <w:vAlign w:val="bottom"/>
            <w:tcBorders>
              <w:top w:val="single" w:sz="8" w:color="7F7F7F"/>
            </w:tcBorders>
            <w:vMerge w:val="restart"/>
          </w:tcPr>
          <w:p>
            <w:pPr>
              <w:jc w:val="right"/>
              <w:spacing w:after="0"/>
              <w:rPr>
                <w:sz w:val="20"/>
                <w:szCs w:val="20"/>
                <w:color w:val="auto"/>
              </w:rPr>
            </w:pPr>
            <w:r>
              <w:rPr>
                <w:rFonts w:ascii="Arial" w:cs="Arial" w:eastAsia="Arial" w:hAnsi="Arial"/>
                <w:sz w:val="16"/>
                <w:szCs w:val="16"/>
                <w:i w:val="1"/>
                <w:iCs w:val="1"/>
                <w:color w:val="auto"/>
              </w:rPr>
              <w:t>2016</w:t>
            </w:r>
          </w:p>
        </w:tc>
        <w:tc>
          <w:tcPr>
            <w:tcW w:w="0" w:type="dxa"/>
            <w:vAlign w:val="bottom"/>
          </w:tcPr>
          <w:p>
            <w:pPr>
              <w:spacing w:after="0"/>
              <w:rPr>
                <w:sz w:val="1"/>
                <w:szCs w:val="1"/>
                <w:color w:val="auto"/>
              </w:rPr>
            </w:pPr>
          </w:p>
        </w:tc>
      </w:tr>
      <w:tr>
        <w:trPr>
          <w:trHeight w:val="197"/>
        </w:trPr>
        <w:tc>
          <w:tcPr>
            <w:tcW w:w="6220" w:type="dxa"/>
            <w:vAlign w:val="bottom"/>
            <w:tcBorders>
              <w:bottom w:val="single" w:sz="8" w:color="7F7F7F"/>
            </w:tcBorders>
          </w:tcPr>
          <w:p>
            <w:pPr>
              <w:spacing w:after="0"/>
              <w:rPr>
                <w:sz w:val="20"/>
                <w:szCs w:val="20"/>
                <w:color w:val="auto"/>
              </w:rPr>
            </w:pPr>
            <w:r>
              <w:rPr>
                <w:rFonts w:ascii="Arial" w:cs="Arial" w:eastAsia="Arial" w:hAnsi="Arial"/>
                <w:sz w:val="16"/>
                <w:szCs w:val="16"/>
                <w:i w:val="1"/>
                <w:iCs w:val="1"/>
                <w:color w:val="auto"/>
              </w:rPr>
              <w:t>for the Nine Months Ended September 30,</w:t>
            </w:r>
          </w:p>
        </w:tc>
        <w:tc>
          <w:tcPr>
            <w:tcW w:w="920" w:type="dxa"/>
            <w:vAlign w:val="bottom"/>
            <w:tcBorders>
              <w:bottom w:val="single" w:sz="8" w:color="7F7F7F"/>
            </w:tcBorders>
          </w:tcPr>
          <w:p>
            <w:pPr>
              <w:spacing w:after="0"/>
              <w:rPr>
                <w:sz w:val="17"/>
                <w:szCs w:val="17"/>
                <w:color w:val="auto"/>
              </w:rPr>
            </w:pPr>
          </w:p>
        </w:tc>
        <w:tc>
          <w:tcPr>
            <w:tcW w:w="740" w:type="dxa"/>
            <w:vAlign w:val="bottom"/>
            <w:tcBorders>
              <w:bottom w:val="single" w:sz="8" w:color="7F7F7F"/>
            </w:tcBorders>
            <w:vMerge w:val="continue"/>
          </w:tcPr>
          <w:p>
            <w:pPr>
              <w:spacing w:after="0"/>
              <w:rPr>
                <w:sz w:val="17"/>
                <w:szCs w:val="17"/>
                <w:color w:val="auto"/>
              </w:rPr>
            </w:pPr>
          </w:p>
        </w:tc>
        <w:tc>
          <w:tcPr>
            <w:tcW w:w="320" w:type="dxa"/>
            <w:vAlign w:val="bottom"/>
            <w:tcBorders>
              <w:bottom w:val="single" w:sz="8" w:color="7F7F7F"/>
            </w:tcBorders>
          </w:tcPr>
          <w:p>
            <w:pPr>
              <w:spacing w:after="0"/>
              <w:rPr>
                <w:sz w:val="17"/>
                <w:szCs w:val="17"/>
                <w:color w:val="auto"/>
              </w:rPr>
            </w:pPr>
          </w:p>
        </w:tc>
        <w:tc>
          <w:tcPr>
            <w:tcW w:w="620" w:type="dxa"/>
            <w:vAlign w:val="bottom"/>
            <w:tcBorders>
              <w:bottom w:val="single" w:sz="8" w:color="7F7F7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Activities</w:t>
            </w:r>
          </w:p>
        </w:tc>
        <w:tc>
          <w:tcPr>
            <w:tcW w:w="9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220" w:type="dxa"/>
            <w:vAlign w:val="bottom"/>
          </w:tcPr>
          <w:p>
            <w:pPr>
              <w:spacing w:after="0"/>
              <w:rPr>
                <w:sz w:val="20"/>
                <w:szCs w:val="20"/>
                <w:color w:val="auto"/>
              </w:rPr>
            </w:pPr>
            <w:r>
              <w:rPr>
                <w:rFonts w:ascii="Arial" w:cs="Arial" w:eastAsia="Arial" w:hAnsi="Arial"/>
                <w:sz w:val="16"/>
                <w:szCs w:val="16"/>
                <w:color w:val="auto"/>
              </w:rPr>
              <w:t>Net income</w:t>
            </w: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ind w:right="79"/>
              <w:spacing w:after="0"/>
              <w:rPr>
                <w:sz w:val="20"/>
                <w:szCs w:val="20"/>
                <w:color w:val="auto"/>
              </w:rPr>
            </w:pPr>
            <w:r>
              <w:rPr>
                <w:rFonts w:ascii="Arial" w:cs="Arial" w:eastAsia="Arial" w:hAnsi="Arial"/>
                <w:sz w:val="16"/>
                <w:szCs w:val="16"/>
                <w:b w:val="1"/>
                <w:bCs w:val="1"/>
                <w:color w:val="auto"/>
              </w:rPr>
              <w:t>3,434</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3,089</w:t>
            </w:r>
          </w:p>
        </w:tc>
        <w:tc>
          <w:tcPr>
            <w:tcW w:w="0" w:type="dxa"/>
            <w:vAlign w:val="bottom"/>
          </w:tcPr>
          <w:p>
            <w:pPr>
              <w:spacing w:after="0"/>
              <w:rPr>
                <w:sz w:val="1"/>
                <w:szCs w:val="1"/>
                <w:color w:val="auto"/>
              </w:rPr>
            </w:pPr>
          </w:p>
        </w:tc>
      </w:tr>
      <w:tr>
        <w:trPr>
          <w:trHeight w:val="217"/>
        </w:trPr>
        <w:tc>
          <w:tcPr>
            <w:tcW w:w="622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income to cash provided by operating activities:</w:t>
            </w:r>
          </w:p>
        </w:tc>
        <w:tc>
          <w:tcPr>
            <w:tcW w:w="9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20" w:type="dxa"/>
            <w:vAlign w:val="bottom"/>
          </w:tcPr>
          <w:p>
            <w:pPr>
              <w:ind w:left="100"/>
              <w:spacing w:after="0"/>
              <w:rPr>
                <w:sz w:val="20"/>
                <w:szCs w:val="20"/>
                <w:color w:val="auto"/>
              </w:rPr>
            </w:pPr>
            <w:r>
              <w:rPr>
                <w:rFonts w:ascii="Arial" w:cs="Arial" w:eastAsia="Arial" w:hAnsi="Arial"/>
                <w:sz w:val="16"/>
                <w:szCs w:val="16"/>
                <w:color w:val="auto"/>
              </w:rPr>
              <w:t>Depreciation</w:t>
            </w:r>
          </w:p>
        </w:tc>
        <w:tc>
          <w:tcPr>
            <w:tcW w:w="920" w:type="dxa"/>
            <w:vAlign w:val="bottom"/>
          </w:tcPr>
          <w:p>
            <w:pPr>
              <w:spacing w:after="0"/>
              <w:rPr>
                <w:sz w:val="18"/>
                <w:szCs w:val="18"/>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b w:val="1"/>
                <w:bCs w:val="1"/>
                <w:color w:val="auto"/>
              </w:rPr>
              <w:t>1,573</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1,518</w:t>
            </w:r>
          </w:p>
        </w:tc>
        <w:tc>
          <w:tcPr>
            <w:tcW w:w="0" w:type="dxa"/>
            <w:vAlign w:val="bottom"/>
          </w:tcPr>
          <w:p>
            <w:pPr>
              <w:spacing w:after="0"/>
              <w:rPr>
                <w:sz w:val="1"/>
                <w:szCs w:val="1"/>
                <w:color w:val="auto"/>
              </w:rPr>
            </w:pPr>
          </w:p>
        </w:tc>
      </w:tr>
      <w:tr>
        <w:trPr>
          <w:trHeight w:val="217"/>
        </w:trPr>
        <w:tc>
          <w:tcPr>
            <w:tcW w:w="62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Deferred and other income taxes</w:t>
            </w:r>
          </w:p>
        </w:tc>
        <w:tc>
          <w:tcPr>
            <w:tcW w:w="9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514</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w:t>
            </w:r>
          </w:p>
        </w:tc>
        <w:tc>
          <w:tcPr>
            <w:tcW w:w="0" w:type="dxa"/>
            <w:vAlign w:val="bottom"/>
          </w:tcPr>
          <w:p>
            <w:pPr>
              <w:spacing w:after="0"/>
              <w:rPr>
                <w:sz w:val="1"/>
                <w:szCs w:val="1"/>
                <w:color w:val="auto"/>
              </w:rPr>
            </w:pPr>
          </w:p>
        </w:tc>
      </w:tr>
      <w:tr>
        <w:trPr>
          <w:trHeight w:val="215"/>
        </w:trPr>
        <w:tc>
          <w:tcPr>
            <w:tcW w:w="6220" w:type="dxa"/>
            <w:vAlign w:val="bottom"/>
          </w:tcPr>
          <w:p>
            <w:pPr>
              <w:ind w:left="100"/>
              <w:spacing w:after="0"/>
              <w:rPr>
                <w:sz w:val="20"/>
                <w:szCs w:val="20"/>
                <w:color w:val="auto"/>
              </w:rPr>
            </w:pPr>
            <w:r>
              <w:rPr>
                <w:rFonts w:ascii="Arial" w:cs="Arial" w:eastAsia="Arial" w:hAnsi="Arial"/>
                <w:sz w:val="16"/>
                <w:szCs w:val="16"/>
                <w:color w:val="auto"/>
              </w:rPr>
              <w:t>Other operating activities, net</w:t>
            </w:r>
          </w:p>
        </w:tc>
        <w:tc>
          <w:tcPr>
            <w:tcW w:w="920" w:type="dxa"/>
            <w:vAlign w:val="bottom"/>
          </w:tcPr>
          <w:p>
            <w:pPr>
              <w:spacing w:after="0"/>
              <w:rPr>
                <w:sz w:val="18"/>
                <w:szCs w:val="18"/>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b w:val="1"/>
                <w:bCs w:val="1"/>
                <w:color w:val="auto"/>
              </w:rPr>
              <w:t>85</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217"/>
        </w:trPr>
        <w:tc>
          <w:tcPr>
            <w:tcW w:w="62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Changes in current assets and liabilities:</w:t>
            </w:r>
          </w:p>
        </w:tc>
        <w:tc>
          <w:tcPr>
            <w:tcW w:w="9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20" w:type="dxa"/>
            <w:vAlign w:val="bottom"/>
          </w:tcPr>
          <w:p>
            <w:pPr>
              <w:ind w:left="220"/>
              <w:spacing w:after="0"/>
              <w:rPr>
                <w:sz w:val="20"/>
                <w:szCs w:val="20"/>
                <w:color w:val="auto"/>
              </w:rPr>
            </w:pPr>
            <w:r>
              <w:rPr>
                <w:rFonts w:ascii="Arial" w:cs="Arial" w:eastAsia="Arial" w:hAnsi="Arial"/>
                <w:sz w:val="16"/>
                <w:szCs w:val="16"/>
                <w:color w:val="auto"/>
              </w:rPr>
              <w:t>Accounts receivable, net</w:t>
            </w:r>
          </w:p>
        </w:tc>
        <w:tc>
          <w:tcPr>
            <w:tcW w:w="920" w:type="dxa"/>
            <w:vAlign w:val="bottom"/>
          </w:tcPr>
          <w:p>
            <w:pPr>
              <w:spacing w:after="0"/>
              <w:rPr>
                <w:sz w:val="18"/>
                <w:szCs w:val="18"/>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b w:val="1"/>
                <w:bCs w:val="1"/>
                <w:color w:val="auto"/>
              </w:rPr>
              <w:t>(170)</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7"/>
        </w:trPr>
        <w:tc>
          <w:tcPr>
            <w:tcW w:w="6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Materials and supplies</w:t>
            </w:r>
          </w:p>
        </w:tc>
        <w:tc>
          <w:tcPr>
            <w:tcW w:w="9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(25)</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5"/>
        </w:trPr>
        <w:tc>
          <w:tcPr>
            <w:tcW w:w="6220" w:type="dxa"/>
            <w:vAlign w:val="bottom"/>
          </w:tcPr>
          <w:p>
            <w:pPr>
              <w:ind w:left="220"/>
              <w:spacing w:after="0"/>
              <w:rPr>
                <w:sz w:val="20"/>
                <w:szCs w:val="20"/>
                <w:color w:val="auto"/>
              </w:rPr>
            </w:pPr>
            <w:r>
              <w:rPr>
                <w:rFonts w:ascii="Arial" w:cs="Arial" w:eastAsia="Arial" w:hAnsi="Arial"/>
                <w:sz w:val="16"/>
                <w:szCs w:val="16"/>
                <w:color w:val="auto"/>
              </w:rPr>
              <w:t>Other current assets</w:t>
            </w:r>
          </w:p>
        </w:tc>
        <w:tc>
          <w:tcPr>
            <w:tcW w:w="920" w:type="dxa"/>
            <w:vAlign w:val="bottom"/>
          </w:tcPr>
          <w:p>
            <w:pPr>
              <w:spacing w:after="0"/>
              <w:rPr>
                <w:sz w:val="18"/>
                <w:szCs w:val="18"/>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b w:val="1"/>
                <w:bCs w:val="1"/>
                <w:color w:val="auto"/>
              </w:rPr>
              <w:t>(58)</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7"/>
        </w:trPr>
        <w:tc>
          <w:tcPr>
            <w:tcW w:w="6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 and other current liabilities</w:t>
            </w:r>
          </w:p>
        </w:tc>
        <w:tc>
          <w:tcPr>
            <w:tcW w:w="9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(43)</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23"/>
        </w:trPr>
        <w:tc>
          <w:tcPr>
            <w:tcW w:w="6220" w:type="dxa"/>
            <w:vAlign w:val="bottom"/>
            <w:tcBorders>
              <w:bottom w:val="single" w:sz="8" w:color="7F7F7F"/>
            </w:tcBorders>
          </w:tcPr>
          <w:p>
            <w:pPr>
              <w:ind w:left="220"/>
              <w:spacing w:after="0"/>
              <w:rPr>
                <w:sz w:val="20"/>
                <w:szCs w:val="20"/>
                <w:color w:val="auto"/>
              </w:rPr>
            </w:pPr>
            <w:r>
              <w:rPr>
                <w:rFonts w:ascii="Arial" w:cs="Arial" w:eastAsia="Arial" w:hAnsi="Arial"/>
                <w:sz w:val="16"/>
                <w:szCs w:val="16"/>
                <w:color w:val="auto"/>
              </w:rPr>
              <w:t>Income and other taxes</w:t>
            </w:r>
          </w:p>
        </w:tc>
        <w:tc>
          <w:tcPr>
            <w:tcW w:w="920" w:type="dxa"/>
            <w:vAlign w:val="bottom"/>
            <w:tcBorders>
              <w:bottom w:val="single" w:sz="8" w:color="7F7F7F"/>
            </w:tcBorders>
          </w:tcPr>
          <w:p>
            <w:pPr>
              <w:spacing w:after="0"/>
              <w:rPr>
                <w:sz w:val="19"/>
                <w:szCs w:val="19"/>
                <w:color w:val="auto"/>
              </w:rPr>
            </w:pPr>
          </w:p>
        </w:tc>
        <w:tc>
          <w:tcPr>
            <w:tcW w:w="740" w:type="dxa"/>
            <w:vAlign w:val="bottom"/>
            <w:tcBorders>
              <w:bottom w:val="single" w:sz="8" w:color="7F7F7F"/>
            </w:tcBorders>
          </w:tcPr>
          <w:p>
            <w:pPr>
              <w:jc w:val="right"/>
              <w:ind w:right="79"/>
              <w:spacing w:after="0"/>
              <w:rPr>
                <w:sz w:val="20"/>
                <w:szCs w:val="20"/>
                <w:color w:val="auto"/>
              </w:rPr>
            </w:pPr>
            <w:r>
              <w:rPr>
                <w:rFonts w:ascii="Arial" w:cs="Arial" w:eastAsia="Arial" w:hAnsi="Arial"/>
                <w:sz w:val="16"/>
                <w:szCs w:val="16"/>
                <w:b w:val="1"/>
                <w:bCs w:val="1"/>
                <w:color w:val="auto"/>
              </w:rPr>
              <w:t>88</w:t>
            </w:r>
          </w:p>
        </w:tc>
        <w:tc>
          <w:tcPr>
            <w:tcW w:w="320" w:type="dxa"/>
            <w:vAlign w:val="bottom"/>
            <w:tcBorders>
              <w:bottom w:val="single" w:sz="8" w:color="7F7F7F"/>
            </w:tcBorders>
          </w:tcPr>
          <w:p>
            <w:pPr>
              <w:spacing w:after="0"/>
              <w:rPr>
                <w:sz w:val="19"/>
                <w:szCs w:val="19"/>
                <w:color w:val="auto"/>
              </w:rPr>
            </w:pPr>
          </w:p>
        </w:tc>
        <w:tc>
          <w:tcPr>
            <w:tcW w:w="6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494</w:t>
            </w:r>
          </w:p>
        </w:tc>
        <w:tc>
          <w:tcPr>
            <w:tcW w:w="0" w:type="dxa"/>
            <w:vAlign w:val="bottom"/>
          </w:tcPr>
          <w:p>
            <w:pPr>
              <w:spacing w:after="0"/>
              <w:rPr>
                <w:sz w:val="1"/>
                <w:szCs w:val="1"/>
                <w:color w:val="auto"/>
              </w:rPr>
            </w:pPr>
          </w:p>
        </w:tc>
      </w:tr>
      <w:tr>
        <w:trPr>
          <w:trHeight w:val="196"/>
        </w:trPr>
        <w:tc>
          <w:tcPr>
            <w:tcW w:w="622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Cash provided by operating activities</w:t>
            </w:r>
          </w:p>
        </w:tc>
        <w:tc>
          <w:tcPr>
            <w:tcW w:w="920" w:type="dxa"/>
            <w:vAlign w:val="bottom"/>
            <w:tcBorders>
              <w:bottom w:val="single" w:sz="8" w:color="7F7F7F"/>
            </w:tcBorders>
            <w:shd w:val="clear" w:color="auto" w:fill="CCEEFF"/>
          </w:tcPr>
          <w:p>
            <w:pPr>
              <w:spacing w:after="0"/>
              <w:rPr>
                <w:sz w:val="17"/>
                <w:szCs w:val="17"/>
                <w:color w:val="auto"/>
              </w:rPr>
            </w:pPr>
          </w:p>
        </w:tc>
        <w:tc>
          <w:tcPr>
            <w:tcW w:w="740" w:type="dxa"/>
            <w:vAlign w:val="bottom"/>
            <w:tcBorders>
              <w:bottom w:val="single" w:sz="8" w:color="7F7F7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5,398</w:t>
            </w:r>
          </w:p>
        </w:tc>
        <w:tc>
          <w:tcPr>
            <w:tcW w:w="320" w:type="dxa"/>
            <w:vAlign w:val="bottom"/>
            <w:tcBorders>
              <w:bottom w:val="single" w:sz="8" w:color="7F7F7F"/>
            </w:tcBorders>
            <w:shd w:val="clear" w:color="auto" w:fill="CCEEFF"/>
          </w:tcPr>
          <w:p>
            <w:pPr>
              <w:spacing w:after="0"/>
              <w:rPr>
                <w:sz w:val="17"/>
                <w:szCs w:val="17"/>
                <w:color w:val="auto"/>
              </w:rPr>
            </w:pPr>
          </w:p>
        </w:tc>
        <w:tc>
          <w:tcPr>
            <w:tcW w:w="6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5,467</w:t>
            </w:r>
          </w:p>
        </w:tc>
        <w:tc>
          <w:tcPr>
            <w:tcW w:w="0" w:type="dxa"/>
            <w:vAlign w:val="bottom"/>
          </w:tcPr>
          <w:p>
            <w:pPr>
              <w:spacing w:after="0"/>
              <w:rPr>
                <w:sz w:val="1"/>
                <w:szCs w:val="1"/>
                <w:color w:val="auto"/>
              </w:rPr>
            </w:pPr>
          </w:p>
        </w:tc>
      </w:tr>
      <w:tr>
        <w:trPr>
          <w:trHeight w:val="203"/>
        </w:trPr>
        <w:tc>
          <w:tcPr>
            <w:tcW w:w="622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6"/>
                <w:szCs w:val="16"/>
                <w:color w:val="auto"/>
              </w:rPr>
              <w:t>Capital investments</w:t>
            </w:r>
          </w:p>
        </w:tc>
        <w:tc>
          <w:tcPr>
            <w:tcW w:w="9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(2,379)</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(2,604)</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6"/>
                <w:szCs w:val="16"/>
                <w:color w:val="auto"/>
              </w:rPr>
              <w:t>Proceeds from asset sales</w:t>
            </w:r>
          </w:p>
        </w:tc>
        <w:tc>
          <w:tcPr>
            <w:tcW w:w="920" w:type="dxa"/>
            <w:vAlign w:val="bottom"/>
          </w:tcPr>
          <w:p>
            <w:pPr>
              <w:spacing w:after="0"/>
              <w:rPr>
                <w:sz w:val="18"/>
                <w:szCs w:val="18"/>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b w:val="1"/>
                <w:bCs w:val="1"/>
                <w:color w:val="auto"/>
              </w:rPr>
              <w:t>152</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6"/>
                <w:szCs w:val="16"/>
                <w:color w:val="auto"/>
              </w:rPr>
              <w:t>Purchases of short-term investments (Note 14)</w:t>
            </w:r>
          </w:p>
        </w:tc>
        <w:tc>
          <w:tcPr>
            <w:tcW w:w="9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(90)</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w:t>
            </w:r>
          </w:p>
        </w:tc>
        <w:tc>
          <w:tcPr>
            <w:tcW w:w="0" w:type="dxa"/>
            <w:vAlign w:val="bottom"/>
          </w:tcPr>
          <w:p>
            <w:pPr>
              <w:spacing w:after="0"/>
              <w:rPr>
                <w:sz w:val="1"/>
                <w:szCs w:val="1"/>
                <w:color w:val="auto"/>
              </w:rPr>
            </w:pPr>
          </w:p>
        </w:tc>
      </w:tr>
      <w:tr>
        <w:trPr>
          <w:trHeight w:val="215"/>
        </w:trPr>
        <w:tc>
          <w:tcPr>
            <w:tcW w:w="6220" w:type="dxa"/>
            <w:vAlign w:val="bottom"/>
          </w:tcPr>
          <w:p>
            <w:pPr>
              <w:spacing w:after="0"/>
              <w:rPr>
                <w:sz w:val="20"/>
                <w:szCs w:val="20"/>
                <w:color w:val="auto"/>
              </w:rPr>
            </w:pPr>
            <w:r>
              <w:rPr>
                <w:rFonts w:ascii="Arial" w:cs="Arial" w:eastAsia="Arial" w:hAnsi="Arial"/>
                <w:sz w:val="16"/>
                <w:szCs w:val="16"/>
                <w:color w:val="auto"/>
              </w:rPr>
              <w:t>Maturities of short-term investments (Note 14)</w:t>
            </w:r>
          </w:p>
        </w:tc>
        <w:tc>
          <w:tcPr>
            <w:tcW w:w="920" w:type="dxa"/>
            <w:vAlign w:val="bottom"/>
          </w:tcPr>
          <w:p>
            <w:pPr>
              <w:spacing w:after="0"/>
              <w:rPr>
                <w:sz w:val="18"/>
                <w:szCs w:val="18"/>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b w:val="1"/>
                <w:bCs w:val="1"/>
                <w:color w:val="auto"/>
              </w:rPr>
              <w:t>60</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10"/>
        </w:trPr>
        <w:tc>
          <w:tcPr>
            <w:tcW w:w="622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Other investing activities, net</w:t>
            </w:r>
          </w:p>
        </w:tc>
        <w:tc>
          <w:tcPr>
            <w:tcW w:w="920" w:type="dxa"/>
            <w:vAlign w:val="bottom"/>
            <w:tcBorders>
              <w:bottom w:val="single" w:sz="8" w:color="7F7F7F"/>
            </w:tcBorders>
            <w:shd w:val="clear" w:color="auto" w:fill="CCEEFF"/>
          </w:tcPr>
          <w:p>
            <w:pPr>
              <w:spacing w:after="0"/>
              <w:rPr>
                <w:sz w:val="18"/>
                <w:szCs w:val="18"/>
                <w:color w:val="auto"/>
              </w:rPr>
            </w:pPr>
          </w:p>
        </w:tc>
        <w:tc>
          <w:tcPr>
            <w:tcW w:w="740" w:type="dxa"/>
            <w:vAlign w:val="bottom"/>
            <w:tcBorders>
              <w:bottom w:val="single" w:sz="8" w:color="7F7F7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w:t>
            </w:r>
          </w:p>
        </w:tc>
        <w:tc>
          <w:tcPr>
            <w:tcW w:w="320" w:type="dxa"/>
            <w:vAlign w:val="bottom"/>
            <w:tcBorders>
              <w:bottom w:val="single" w:sz="8" w:color="7F7F7F"/>
            </w:tcBorders>
            <w:shd w:val="clear" w:color="auto" w:fill="CCEEFF"/>
          </w:tcPr>
          <w:p>
            <w:pPr>
              <w:spacing w:after="0"/>
              <w:rPr>
                <w:sz w:val="18"/>
                <w:szCs w:val="18"/>
                <w:color w:val="auto"/>
              </w:rPr>
            </w:pPr>
          </w:p>
        </w:tc>
        <w:tc>
          <w:tcPr>
            <w:tcW w:w="6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6"/>
        </w:trPr>
        <w:tc>
          <w:tcPr>
            <w:tcW w:w="622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Cash used in investing activities</w:t>
            </w:r>
          </w:p>
        </w:tc>
        <w:tc>
          <w:tcPr>
            <w:tcW w:w="920" w:type="dxa"/>
            <w:vAlign w:val="bottom"/>
            <w:tcBorders>
              <w:bottom w:val="single" w:sz="8" w:color="7F7F7F"/>
            </w:tcBorders>
          </w:tcPr>
          <w:p>
            <w:pPr>
              <w:spacing w:after="0"/>
              <w:rPr>
                <w:sz w:val="17"/>
                <w:szCs w:val="17"/>
                <w:color w:val="auto"/>
              </w:rPr>
            </w:pPr>
          </w:p>
        </w:tc>
        <w:tc>
          <w:tcPr>
            <w:tcW w:w="740" w:type="dxa"/>
            <w:vAlign w:val="bottom"/>
            <w:tcBorders>
              <w:bottom w:val="single" w:sz="8" w:color="7F7F7F"/>
            </w:tcBorders>
          </w:tcPr>
          <w:p>
            <w:pPr>
              <w:jc w:val="right"/>
              <w:ind w:right="39"/>
              <w:spacing w:after="0"/>
              <w:rPr>
                <w:sz w:val="20"/>
                <w:szCs w:val="20"/>
                <w:color w:val="auto"/>
              </w:rPr>
            </w:pPr>
            <w:r>
              <w:rPr>
                <w:rFonts w:ascii="Arial" w:cs="Arial" w:eastAsia="Arial" w:hAnsi="Arial"/>
                <w:sz w:val="16"/>
                <w:szCs w:val="16"/>
                <w:b w:val="1"/>
                <w:bCs w:val="1"/>
                <w:color w:val="auto"/>
              </w:rPr>
              <w:t>(2,260)</w:t>
            </w:r>
          </w:p>
        </w:tc>
        <w:tc>
          <w:tcPr>
            <w:tcW w:w="320" w:type="dxa"/>
            <w:vAlign w:val="bottom"/>
            <w:tcBorders>
              <w:bottom w:val="single" w:sz="8" w:color="7F7F7F"/>
            </w:tcBorders>
          </w:tcPr>
          <w:p>
            <w:pPr>
              <w:spacing w:after="0"/>
              <w:rPr>
                <w:sz w:val="17"/>
                <w:szCs w:val="17"/>
                <w:color w:val="auto"/>
              </w:rPr>
            </w:pPr>
          </w:p>
        </w:tc>
        <w:tc>
          <w:tcPr>
            <w:tcW w:w="6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(2,819)</w:t>
            </w:r>
          </w:p>
        </w:tc>
        <w:tc>
          <w:tcPr>
            <w:tcW w:w="0" w:type="dxa"/>
            <w:vAlign w:val="bottom"/>
          </w:tcPr>
          <w:p>
            <w:pPr>
              <w:spacing w:after="0"/>
              <w:rPr>
                <w:sz w:val="1"/>
                <w:szCs w:val="1"/>
                <w:color w:val="auto"/>
              </w:rPr>
            </w:pPr>
          </w:p>
        </w:tc>
      </w:tr>
      <w:tr>
        <w:trPr>
          <w:trHeight w:val="203"/>
        </w:trPr>
        <w:tc>
          <w:tcPr>
            <w:tcW w:w="62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Financing Activities</w:t>
            </w:r>
          </w:p>
        </w:tc>
        <w:tc>
          <w:tcPr>
            <w:tcW w:w="9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220" w:type="dxa"/>
            <w:vAlign w:val="bottom"/>
          </w:tcPr>
          <w:p>
            <w:pPr>
              <w:spacing w:after="0"/>
              <w:rPr>
                <w:sz w:val="20"/>
                <w:szCs w:val="20"/>
                <w:color w:val="auto"/>
              </w:rPr>
            </w:pPr>
            <w:r>
              <w:rPr>
                <w:rFonts w:ascii="Arial" w:cs="Arial" w:eastAsia="Arial" w:hAnsi="Arial"/>
                <w:sz w:val="16"/>
                <w:szCs w:val="16"/>
                <w:color w:val="auto"/>
              </w:rPr>
              <w:t>Common share repurchases (Note 18)</w:t>
            </w:r>
          </w:p>
        </w:tc>
        <w:tc>
          <w:tcPr>
            <w:tcW w:w="920" w:type="dxa"/>
            <w:vAlign w:val="bottom"/>
          </w:tcPr>
          <w:p>
            <w:pPr>
              <w:spacing w:after="0"/>
              <w:rPr>
                <w:sz w:val="18"/>
                <w:szCs w:val="18"/>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b w:val="1"/>
                <w:bCs w:val="1"/>
                <w:color w:val="auto"/>
              </w:rPr>
              <w:t>(2,882)</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(2,100)</w:t>
            </w:r>
          </w:p>
        </w:tc>
        <w:tc>
          <w:tcPr>
            <w:tcW w:w="0" w:type="dxa"/>
            <w:vAlign w:val="bottom"/>
          </w:tcPr>
          <w:p>
            <w:pPr>
              <w:spacing w:after="0"/>
              <w:rPr>
                <w:sz w:val="1"/>
                <w:szCs w:val="1"/>
                <w:color w:val="auto"/>
              </w:rPr>
            </w:pPr>
          </w:p>
        </w:tc>
      </w:tr>
      <w:tr>
        <w:trPr>
          <w:trHeight w:val="217"/>
        </w:trPr>
        <w:tc>
          <w:tcPr>
            <w:tcW w:w="6220" w:type="dxa"/>
            <w:vAlign w:val="bottom"/>
            <w:shd w:val="clear" w:color="auto" w:fill="CCEEFF"/>
          </w:tcPr>
          <w:p>
            <w:pPr>
              <w:spacing w:after="0"/>
              <w:rPr>
                <w:sz w:val="20"/>
                <w:szCs w:val="20"/>
                <w:color w:val="auto"/>
              </w:rPr>
            </w:pPr>
            <w:r>
              <w:rPr>
                <w:rFonts w:ascii="Arial" w:cs="Arial" w:eastAsia="Arial" w:hAnsi="Arial"/>
                <w:sz w:val="16"/>
                <w:szCs w:val="16"/>
                <w:color w:val="auto"/>
              </w:rPr>
              <w:t>Debt issued (Note 15)</w:t>
            </w:r>
          </w:p>
        </w:tc>
        <w:tc>
          <w:tcPr>
            <w:tcW w:w="9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2,285</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1,883</w:t>
            </w:r>
          </w:p>
        </w:tc>
        <w:tc>
          <w:tcPr>
            <w:tcW w:w="0" w:type="dxa"/>
            <w:vAlign w:val="bottom"/>
          </w:tcPr>
          <w:p>
            <w:pPr>
              <w:spacing w:after="0"/>
              <w:rPr>
                <w:sz w:val="1"/>
                <w:szCs w:val="1"/>
                <w:color w:val="auto"/>
              </w:rPr>
            </w:pPr>
          </w:p>
        </w:tc>
      </w:tr>
      <w:tr>
        <w:trPr>
          <w:trHeight w:val="215"/>
        </w:trPr>
        <w:tc>
          <w:tcPr>
            <w:tcW w:w="6220" w:type="dxa"/>
            <w:vAlign w:val="bottom"/>
          </w:tcPr>
          <w:p>
            <w:pPr>
              <w:spacing w:after="0"/>
              <w:rPr>
                <w:sz w:val="20"/>
                <w:szCs w:val="20"/>
                <w:color w:val="auto"/>
              </w:rPr>
            </w:pPr>
            <w:r>
              <w:rPr>
                <w:rFonts w:ascii="Arial" w:cs="Arial" w:eastAsia="Arial" w:hAnsi="Arial"/>
                <w:sz w:val="16"/>
                <w:szCs w:val="16"/>
                <w:color w:val="auto"/>
              </w:rPr>
              <w:t>Dividends paid</w:t>
            </w:r>
          </w:p>
        </w:tc>
        <w:tc>
          <w:tcPr>
            <w:tcW w:w="920" w:type="dxa"/>
            <w:vAlign w:val="bottom"/>
          </w:tcPr>
          <w:p>
            <w:pPr>
              <w:spacing w:after="0"/>
              <w:rPr>
                <w:sz w:val="18"/>
                <w:szCs w:val="18"/>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b w:val="1"/>
                <w:bCs w:val="1"/>
                <w:color w:val="auto"/>
              </w:rPr>
              <w:t>(1,460)</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(1,382)</w:t>
            </w:r>
          </w:p>
        </w:tc>
        <w:tc>
          <w:tcPr>
            <w:tcW w:w="0" w:type="dxa"/>
            <w:vAlign w:val="bottom"/>
          </w:tcPr>
          <w:p>
            <w:pPr>
              <w:spacing w:after="0"/>
              <w:rPr>
                <w:sz w:val="1"/>
                <w:szCs w:val="1"/>
                <w:color w:val="auto"/>
              </w:rPr>
            </w:pPr>
          </w:p>
        </w:tc>
      </w:tr>
      <w:tr>
        <w:trPr>
          <w:trHeight w:val="217"/>
        </w:trPr>
        <w:tc>
          <w:tcPr>
            <w:tcW w:w="6220" w:type="dxa"/>
            <w:vAlign w:val="bottom"/>
            <w:shd w:val="clear" w:color="auto" w:fill="CCEEFF"/>
          </w:tcPr>
          <w:p>
            <w:pPr>
              <w:spacing w:after="0"/>
              <w:rPr>
                <w:sz w:val="20"/>
                <w:szCs w:val="20"/>
                <w:color w:val="auto"/>
              </w:rPr>
            </w:pPr>
            <w:r>
              <w:rPr>
                <w:rFonts w:ascii="Arial" w:cs="Arial" w:eastAsia="Arial" w:hAnsi="Arial"/>
                <w:sz w:val="16"/>
                <w:szCs w:val="16"/>
                <w:color w:val="auto"/>
              </w:rPr>
              <w:t>Debt repaid</w:t>
            </w:r>
          </w:p>
        </w:tc>
        <w:tc>
          <w:tcPr>
            <w:tcW w:w="9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(471)</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w:t>
            </w:r>
          </w:p>
        </w:tc>
        <w:tc>
          <w:tcPr>
            <w:tcW w:w="0" w:type="dxa"/>
            <w:vAlign w:val="bottom"/>
          </w:tcPr>
          <w:p>
            <w:pPr>
              <w:spacing w:after="0"/>
              <w:rPr>
                <w:sz w:val="1"/>
                <w:szCs w:val="1"/>
                <w:color w:val="auto"/>
              </w:rPr>
            </w:pPr>
          </w:p>
        </w:tc>
      </w:tr>
      <w:tr>
        <w:trPr>
          <w:trHeight w:val="210"/>
        </w:trPr>
        <w:tc>
          <w:tcPr>
            <w:tcW w:w="622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Other financing activities, net</w:t>
            </w:r>
          </w:p>
        </w:tc>
        <w:tc>
          <w:tcPr>
            <w:tcW w:w="920" w:type="dxa"/>
            <w:vAlign w:val="bottom"/>
            <w:tcBorders>
              <w:bottom w:val="single" w:sz="8" w:color="7F7F7F"/>
            </w:tcBorders>
          </w:tcPr>
          <w:p>
            <w:pPr>
              <w:spacing w:after="0"/>
              <w:rPr>
                <w:sz w:val="18"/>
                <w:szCs w:val="18"/>
                <w:color w:val="auto"/>
              </w:rPr>
            </w:pPr>
          </w:p>
        </w:tc>
        <w:tc>
          <w:tcPr>
            <w:tcW w:w="740" w:type="dxa"/>
            <w:vAlign w:val="bottom"/>
            <w:tcBorders>
              <w:bottom w:val="single" w:sz="8" w:color="7F7F7F"/>
            </w:tcBorders>
          </w:tcPr>
          <w:p>
            <w:pPr>
              <w:jc w:val="right"/>
              <w:ind w:right="39"/>
              <w:spacing w:after="0"/>
              <w:rPr>
                <w:sz w:val="20"/>
                <w:szCs w:val="20"/>
                <w:color w:val="auto"/>
              </w:rPr>
            </w:pPr>
            <w:r>
              <w:rPr>
                <w:rFonts w:ascii="Arial" w:cs="Arial" w:eastAsia="Arial" w:hAnsi="Arial"/>
                <w:sz w:val="16"/>
                <w:szCs w:val="16"/>
                <w:b w:val="1"/>
                <w:bCs w:val="1"/>
                <w:color w:val="auto"/>
              </w:rPr>
              <w:t>(40)</w:t>
            </w:r>
          </w:p>
        </w:tc>
        <w:tc>
          <w:tcPr>
            <w:tcW w:w="320" w:type="dxa"/>
            <w:vAlign w:val="bottom"/>
            <w:tcBorders>
              <w:bottom w:val="single" w:sz="8" w:color="7F7F7F"/>
            </w:tcBorders>
          </w:tcPr>
          <w:p>
            <w:pPr>
              <w:spacing w:after="0"/>
              <w:rPr>
                <w:sz w:val="18"/>
                <w:szCs w:val="18"/>
                <w:color w:val="auto"/>
              </w:rPr>
            </w:pPr>
          </w:p>
        </w:tc>
        <w:tc>
          <w:tcPr>
            <w:tcW w:w="6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96"/>
        </w:trPr>
        <w:tc>
          <w:tcPr>
            <w:tcW w:w="622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Cash used in financing activities</w:t>
            </w:r>
          </w:p>
        </w:tc>
        <w:tc>
          <w:tcPr>
            <w:tcW w:w="920" w:type="dxa"/>
            <w:vAlign w:val="bottom"/>
            <w:tcBorders>
              <w:bottom w:val="single" w:sz="8" w:color="7F7F7F"/>
            </w:tcBorders>
            <w:shd w:val="clear" w:color="auto" w:fill="CCEEFF"/>
          </w:tcPr>
          <w:p>
            <w:pPr>
              <w:spacing w:after="0"/>
              <w:rPr>
                <w:sz w:val="17"/>
                <w:szCs w:val="17"/>
                <w:color w:val="auto"/>
              </w:rPr>
            </w:pPr>
          </w:p>
        </w:tc>
        <w:tc>
          <w:tcPr>
            <w:tcW w:w="740" w:type="dxa"/>
            <w:vAlign w:val="bottom"/>
            <w:tcBorders>
              <w:bottom w:val="single" w:sz="8" w:color="7F7F7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(2,568)</w:t>
            </w:r>
          </w:p>
        </w:tc>
        <w:tc>
          <w:tcPr>
            <w:tcW w:w="320" w:type="dxa"/>
            <w:vAlign w:val="bottom"/>
            <w:tcBorders>
              <w:bottom w:val="single" w:sz="8" w:color="7F7F7F"/>
            </w:tcBorders>
            <w:shd w:val="clear" w:color="auto" w:fill="CCEEFF"/>
          </w:tcPr>
          <w:p>
            <w:pPr>
              <w:spacing w:after="0"/>
              <w:rPr>
                <w:sz w:val="17"/>
                <w:szCs w:val="17"/>
                <w:color w:val="auto"/>
              </w:rPr>
            </w:pPr>
          </w:p>
        </w:tc>
        <w:tc>
          <w:tcPr>
            <w:tcW w:w="6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(2,130)</w:t>
            </w:r>
          </w:p>
        </w:tc>
        <w:tc>
          <w:tcPr>
            <w:tcW w:w="0" w:type="dxa"/>
            <w:vAlign w:val="bottom"/>
          </w:tcPr>
          <w:p>
            <w:pPr>
              <w:spacing w:after="0"/>
              <w:rPr>
                <w:sz w:val="1"/>
                <w:szCs w:val="1"/>
                <w:color w:val="auto"/>
              </w:rPr>
            </w:pPr>
          </w:p>
        </w:tc>
      </w:tr>
      <w:tr>
        <w:trPr>
          <w:trHeight w:val="203"/>
        </w:trPr>
        <w:tc>
          <w:tcPr>
            <w:tcW w:w="6220" w:type="dxa"/>
            <w:vAlign w:val="bottom"/>
          </w:tcPr>
          <w:p>
            <w:pPr>
              <w:spacing w:after="0"/>
              <w:rPr>
                <w:sz w:val="20"/>
                <w:szCs w:val="20"/>
                <w:color w:val="auto"/>
              </w:rPr>
            </w:pPr>
            <w:r>
              <w:rPr>
                <w:rFonts w:ascii="Arial" w:cs="Arial" w:eastAsia="Arial" w:hAnsi="Arial"/>
                <w:sz w:val="16"/>
                <w:szCs w:val="16"/>
                <w:color w:val="auto"/>
              </w:rPr>
              <w:t>Net change in cash and cash equivalents</w:t>
            </w:r>
          </w:p>
        </w:tc>
        <w:tc>
          <w:tcPr>
            <w:tcW w:w="920" w:type="dxa"/>
            <w:vAlign w:val="bottom"/>
          </w:tcPr>
          <w:p>
            <w:pPr>
              <w:spacing w:after="0"/>
              <w:rPr>
                <w:sz w:val="17"/>
                <w:szCs w:val="17"/>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b w:val="1"/>
                <w:bCs w:val="1"/>
                <w:color w:val="auto"/>
              </w:rPr>
              <w:t>570</w:t>
            </w:r>
          </w:p>
        </w:tc>
        <w:tc>
          <w:tcPr>
            <w:tcW w:w="3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518</w:t>
            </w:r>
          </w:p>
        </w:tc>
        <w:tc>
          <w:tcPr>
            <w:tcW w:w="0" w:type="dxa"/>
            <w:vAlign w:val="bottom"/>
          </w:tcPr>
          <w:p>
            <w:pPr>
              <w:spacing w:after="0"/>
              <w:rPr>
                <w:sz w:val="1"/>
                <w:szCs w:val="1"/>
                <w:color w:val="auto"/>
              </w:rPr>
            </w:pPr>
          </w:p>
        </w:tc>
      </w:tr>
      <w:tr>
        <w:trPr>
          <w:trHeight w:val="210"/>
        </w:trPr>
        <w:tc>
          <w:tcPr>
            <w:tcW w:w="622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Cash and cash equivalents at beginning of year</w:t>
            </w:r>
          </w:p>
        </w:tc>
        <w:tc>
          <w:tcPr>
            <w:tcW w:w="920" w:type="dxa"/>
            <w:vAlign w:val="bottom"/>
            <w:tcBorders>
              <w:bottom w:val="single" w:sz="8" w:color="7F7F7F"/>
            </w:tcBorders>
            <w:shd w:val="clear" w:color="auto" w:fill="CCEEFF"/>
          </w:tcPr>
          <w:p>
            <w:pPr>
              <w:spacing w:after="0"/>
              <w:rPr>
                <w:sz w:val="18"/>
                <w:szCs w:val="18"/>
                <w:color w:val="auto"/>
              </w:rPr>
            </w:pPr>
          </w:p>
        </w:tc>
        <w:tc>
          <w:tcPr>
            <w:tcW w:w="740" w:type="dxa"/>
            <w:vAlign w:val="bottom"/>
            <w:tcBorders>
              <w:bottom w:val="single" w:sz="8" w:color="7F7F7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1,277</w:t>
            </w:r>
          </w:p>
        </w:tc>
        <w:tc>
          <w:tcPr>
            <w:tcW w:w="320" w:type="dxa"/>
            <w:vAlign w:val="bottom"/>
            <w:tcBorders>
              <w:bottom w:val="single" w:sz="8" w:color="7F7F7F"/>
            </w:tcBorders>
            <w:shd w:val="clear" w:color="auto" w:fill="CCEEFF"/>
          </w:tcPr>
          <w:p>
            <w:pPr>
              <w:spacing w:after="0"/>
              <w:rPr>
                <w:sz w:val="18"/>
                <w:szCs w:val="18"/>
                <w:color w:val="auto"/>
              </w:rPr>
            </w:pPr>
          </w:p>
        </w:tc>
        <w:tc>
          <w:tcPr>
            <w:tcW w:w="6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1,391</w:t>
            </w:r>
          </w:p>
        </w:tc>
        <w:tc>
          <w:tcPr>
            <w:tcW w:w="0" w:type="dxa"/>
            <w:vAlign w:val="bottom"/>
          </w:tcPr>
          <w:p>
            <w:pPr>
              <w:spacing w:after="0"/>
              <w:rPr>
                <w:sz w:val="1"/>
                <w:szCs w:val="1"/>
                <w:color w:val="auto"/>
              </w:rPr>
            </w:pPr>
          </w:p>
        </w:tc>
      </w:tr>
      <w:tr>
        <w:trPr>
          <w:trHeight w:val="223"/>
        </w:trPr>
        <w:tc>
          <w:tcPr>
            <w:tcW w:w="622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Cash and cash equivalents at end of period</w:t>
            </w:r>
          </w:p>
        </w:tc>
        <w:tc>
          <w:tcPr>
            <w:tcW w:w="920" w:type="dxa"/>
            <w:vAlign w:val="bottom"/>
            <w:tcBorders>
              <w:bottom w:val="single" w:sz="8" w:color="7F7F7F"/>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7F7F7F"/>
            </w:tcBorders>
          </w:tcPr>
          <w:p>
            <w:pPr>
              <w:jc w:val="right"/>
              <w:ind w:right="79"/>
              <w:spacing w:after="0"/>
              <w:rPr>
                <w:sz w:val="20"/>
                <w:szCs w:val="20"/>
                <w:color w:val="auto"/>
              </w:rPr>
            </w:pPr>
            <w:r>
              <w:rPr>
                <w:rFonts w:ascii="Arial" w:cs="Arial" w:eastAsia="Arial" w:hAnsi="Arial"/>
                <w:sz w:val="16"/>
                <w:szCs w:val="16"/>
                <w:b w:val="1"/>
                <w:bCs w:val="1"/>
                <w:color w:val="auto"/>
              </w:rPr>
              <w:t>1,847</w:t>
            </w:r>
          </w:p>
        </w:tc>
        <w:tc>
          <w:tcPr>
            <w:tcW w:w="320" w:type="dxa"/>
            <w:vAlign w:val="bottom"/>
            <w:tcBorders>
              <w:bottom w:val="single" w:sz="8" w:color="7F7F7F"/>
            </w:tcBorders>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1,909</w:t>
            </w:r>
          </w:p>
        </w:tc>
        <w:tc>
          <w:tcPr>
            <w:tcW w:w="0" w:type="dxa"/>
            <w:vAlign w:val="bottom"/>
          </w:tcPr>
          <w:p>
            <w:pPr>
              <w:spacing w:after="0"/>
              <w:rPr>
                <w:sz w:val="1"/>
                <w:szCs w:val="1"/>
                <w:color w:val="auto"/>
              </w:rPr>
            </w:pPr>
          </w:p>
        </w:tc>
      </w:tr>
      <w:tr>
        <w:trPr>
          <w:trHeight w:val="189"/>
        </w:trPr>
        <w:tc>
          <w:tcPr>
            <w:tcW w:w="62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Cash Flow Information</w:t>
            </w:r>
          </w:p>
        </w:tc>
        <w:tc>
          <w:tcPr>
            <w:tcW w:w="9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220" w:type="dxa"/>
            <w:vAlign w:val="bottom"/>
          </w:tcPr>
          <w:p>
            <w:pPr>
              <w:ind w:left="100"/>
              <w:spacing w:after="0"/>
              <w:rPr>
                <w:sz w:val="20"/>
                <w:szCs w:val="20"/>
                <w:color w:val="auto"/>
              </w:rPr>
            </w:pPr>
            <w:r>
              <w:rPr>
                <w:rFonts w:ascii="Arial" w:cs="Arial" w:eastAsia="Arial" w:hAnsi="Arial"/>
                <w:sz w:val="16"/>
                <w:szCs w:val="16"/>
                <w:color w:val="auto"/>
              </w:rPr>
              <w:t>Non-cash investing and financing activities:</w:t>
            </w: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Capital investments accrued but not yet paid</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120</w:t>
            </w:r>
          </w:p>
        </w:tc>
        <w:tc>
          <w:tcPr>
            <w:tcW w:w="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15"/>
        </w:trPr>
        <w:tc>
          <w:tcPr>
            <w:tcW w:w="6220" w:type="dxa"/>
            <w:vAlign w:val="bottom"/>
          </w:tcPr>
          <w:p>
            <w:pPr>
              <w:ind w:left="220"/>
              <w:spacing w:after="0"/>
              <w:rPr>
                <w:sz w:val="20"/>
                <w:szCs w:val="20"/>
                <w:color w:val="auto"/>
              </w:rPr>
            </w:pPr>
            <w:r>
              <w:rPr>
                <w:rFonts w:ascii="Arial" w:cs="Arial" w:eastAsia="Arial" w:hAnsi="Arial"/>
                <w:sz w:val="16"/>
                <w:szCs w:val="16"/>
                <w:color w:val="auto"/>
              </w:rPr>
              <w:t>Common shares repurchased but not yet paid</w:t>
            </w:r>
          </w:p>
        </w:tc>
        <w:tc>
          <w:tcPr>
            <w:tcW w:w="920" w:type="dxa"/>
            <w:vAlign w:val="bottom"/>
          </w:tcPr>
          <w:p>
            <w:pPr>
              <w:spacing w:after="0"/>
              <w:rPr>
                <w:sz w:val="18"/>
                <w:szCs w:val="18"/>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b w:val="1"/>
                <w:bCs w:val="1"/>
                <w:color w:val="auto"/>
              </w:rPr>
              <w:t>29</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17"/>
        </w:trPr>
        <w:tc>
          <w:tcPr>
            <w:tcW w:w="62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Cash (paid for)/received from:</w:t>
            </w:r>
          </w:p>
        </w:tc>
        <w:tc>
          <w:tcPr>
            <w:tcW w:w="9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20" w:type="dxa"/>
            <w:vAlign w:val="bottom"/>
          </w:tcPr>
          <w:p>
            <w:pPr>
              <w:ind w:left="220"/>
              <w:spacing w:after="0"/>
              <w:rPr>
                <w:sz w:val="20"/>
                <w:szCs w:val="20"/>
                <w:color w:val="auto"/>
              </w:rPr>
            </w:pPr>
            <w:r>
              <w:rPr>
                <w:rFonts w:ascii="Arial" w:cs="Arial" w:eastAsia="Arial" w:hAnsi="Arial"/>
                <w:sz w:val="16"/>
                <w:szCs w:val="16"/>
                <w:color w:val="auto"/>
              </w:rPr>
              <w:t>Income taxes, net of refunds</w:t>
            </w: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b w:val="1"/>
                <w:bCs w:val="1"/>
                <w:color w:val="auto"/>
              </w:rPr>
              <w:t>(1,557)</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(877)</w:t>
            </w:r>
          </w:p>
        </w:tc>
        <w:tc>
          <w:tcPr>
            <w:tcW w:w="0" w:type="dxa"/>
            <w:vAlign w:val="bottom"/>
          </w:tcPr>
          <w:p>
            <w:pPr>
              <w:spacing w:after="0"/>
              <w:rPr>
                <w:sz w:val="1"/>
                <w:szCs w:val="1"/>
                <w:color w:val="auto"/>
              </w:rPr>
            </w:pPr>
          </w:p>
        </w:tc>
      </w:tr>
      <w:tr>
        <w:trPr>
          <w:trHeight w:val="224"/>
        </w:trPr>
        <w:tc>
          <w:tcPr>
            <w:tcW w:w="6220" w:type="dxa"/>
            <w:vAlign w:val="bottom"/>
            <w:tcBorders>
              <w:bottom w:val="single" w:sz="8" w:color="7F7F7F"/>
            </w:tcBorders>
            <w:shd w:val="clear" w:color="auto" w:fill="CCEEFF"/>
          </w:tcPr>
          <w:p>
            <w:pPr>
              <w:ind w:left="220"/>
              <w:spacing w:after="0"/>
              <w:rPr>
                <w:sz w:val="20"/>
                <w:szCs w:val="20"/>
                <w:color w:val="auto"/>
              </w:rPr>
            </w:pPr>
            <w:r>
              <w:rPr>
                <w:rFonts w:ascii="Arial" w:cs="Arial" w:eastAsia="Arial" w:hAnsi="Arial"/>
                <w:sz w:val="16"/>
                <w:szCs w:val="16"/>
                <w:color w:val="auto"/>
              </w:rPr>
              <w:t>Interest, net of amounts capitalized</w:t>
            </w:r>
          </w:p>
        </w:tc>
        <w:tc>
          <w:tcPr>
            <w:tcW w:w="920" w:type="dxa"/>
            <w:vAlign w:val="bottom"/>
            <w:tcBorders>
              <w:bottom w:val="single" w:sz="8" w:color="7F7F7F"/>
            </w:tcBorders>
            <w:shd w:val="clear" w:color="auto" w:fill="CCEEFF"/>
          </w:tcPr>
          <w:p>
            <w:pPr>
              <w:spacing w:after="0"/>
              <w:rPr>
                <w:sz w:val="19"/>
                <w:szCs w:val="19"/>
                <w:color w:val="auto"/>
              </w:rPr>
            </w:pPr>
          </w:p>
        </w:tc>
        <w:tc>
          <w:tcPr>
            <w:tcW w:w="740" w:type="dxa"/>
            <w:vAlign w:val="bottom"/>
            <w:tcBorders>
              <w:bottom w:val="single" w:sz="8" w:color="7F7F7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(532)</w:t>
            </w:r>
          </w:p>
        </w:tc>
        <w:tc>
          <w:tcPr>
            <w:tcW w:w="320" w:type="dxa"/>
            <w:vAlign w:val="bottom"/>
            <w:tcBorders>
              <w:bottom w:val="single" w:sz="8" w:color="7F7F7F"/>
            </w:tcBorders>
            <w:shd w:val="clear" w:color="auto" w:fill="CCEEFF"/>
          </w:tcPr>
          <w:p>
            <w:pPr>
              <w:spacing w:after="0"/>
              <w:rPr>
                <w:sz w:val="19"/>
                <w:szCs w:val="19"/>
                <w:color w:val="auto"/>
              </w:rPr>
            </w:pPr>
          </w:p>
        </w:tc>
        <w:tc>
          <w:tcPr>
            <w:tcW w:w="6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100"/>
        <w:spacing w:after="0"/>
        <w:rPr>
          <w:sz w:val="20"/>
          <w:szCs w:val="20"/>
          <w:color w:val="auto"/>
        </w:rPr>
      </w:pPr>
      <w:r>
        <w:rPr>
          <w:rFonts w:ascii="Arial" w:cs="Arial" w:eastAsia="Arial" w:hAnsi="Arial"/>
          <w:sz w:val="14"/>
          <w:szCs w:val="14"/>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45085</wp:posOffset>
            </wp:positionV>
            <wp:extent cx="5642610"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6" w:name="page7"/>
    <w:bookmarkEnd w:id="6"/>
    <w:p>
      <w:pPr>
        <w:ind w:left="10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ind w:left="100" w:right="759"/>
        <w:spacing w:after="0"/>
        <w:rPr>
          <w:sz w:val="20"/>
          <w:szCs w:val="20"/>
          <w:color w:val="auto"/>
        </w:rPr>
      </w:pPr>
      <w:r>
        <w:rPr>
          <w:rFonts w:ascii="Arial" w:cs="Arial" w:eastAsia="Arial" w:hAnsi="Arial"/>
          <w:sz w:val="18"/>
          <w:szCs w:val="18"/>
          <w:b w:val="1"/>
          <w:bCs w:val="1"/>
          <w:color w:val="auto"/>
        </w:rPr>
        <w:t xml:space="preserve">Condensed Consolidated Statements of Changes in Common Shareholders’ Equity (Unaudited) </w:t>
      </w:r>
      <w:r>
        <w:rPr>
          <w:rFonts w:ascii="Arial" w:cs="Arial" w:eastAsia="Arial" w:hAnsi="Arial"/>
          <w:sz w:val="18"/>
          <w:szCs w:val="18"/>
          <w:i w:val="1"/>
          <w:iCs w:val="1"/>
          <w:color w:val="auto"/>
        </w:rPr>
        <w:t>Union Pacific Corporation and Subsidiary Companies</w:t>
      </w:r>
    </w:p>
    <w:p>
      <w:pPr>
        <w:spacing w:after="0" w:line="183" w:lineRule="exact"/>
        <w:rPr>
          <w:sz w:val="20"/>
          <w:szCs w:val="20"/>
          <w:color w:val="auto"/>
        </w:rPr>
      </w:pPr>
    </w:p>
    <w:tbl>
      <w:tblPr>
        <w:tblLayout w:type="fixed"/>
        <w:tblInd w:w="100" w:type="dxa"/>
        <w:tblCellMar>
          <w:top w:w="0" w:type="dxa"/>
          <w:left w:w="0" w:type="dxa"/>
          <w:bottom w:w="0" w:type="dxa"/>
          <w:right w:w="0" w:type="dxa"/>
        </w:tblCellMar>
      </w:tblPr>
      <w:tr>
        <w:trPr>
          <w:trHeight w:val="257"/>
        </w:trPr>
        <w:tc>
          <w:tcPr>
            <w:tcW w:w="2720" w:type="dxa"/>
            <w:vAlign w:val="bottom"/>
            <w:tcBorders>
              <w:top w:val="single" w:sz="8" w:color="7F7F7F"/>
              <w:right w:val="single" w:sz="8" w:color="808080"/>
            </w:tcBorders>
            <w:vMerge w:val="restart"/>
          </w:tcPr>
          <w:p>
            <w:pPr>
              <w:spacing w:after="0"/>
              <w:rPr>
                <w:sz w:val="20"/>
                <w:szCs w:val="20"/>
                <w:color w:val="auto"/>
              </w:rPr>
            </w:pPr>
            <w:r>
              <w:rPr>
                <w:rFonts w:ascii="Arial" w:cs="Arial" w:eastAsia="Arial" w:hAnsi="Arial"/>
                <w:sz w:val="16"/>
                <w:szCs w:val="16"/>
                <w:i w:val="1"/>
                <w:iCs w:val="1"/>
                <w:color w:val="auto"/>
              </w:rPr>
              <w:t>Millions</w:t>
            </w:r>
          </w:p>
        </w:tc>
        <w:tc>
          <w:tcPr>
            <w:tcW w:w="1340" w:type="dxa"/>
            <w:vAlign w:val="bottom"/>
            <w:tcBorders>
              <w:top w:val="single" w:sz="8" w:color="7F7F7F"/>
              <w:right w:val="single" w:sz="8" w:color="7F7F7F"/>
            </w:tcBorders>
            <w:gridSpan w:val="2"/>
          </w:tcPr>
          <w:p>
            <w:pPr>
              <w:jc w:val="right"/>
              <w:spacing w:after="0"/>
              <w:rPr>
                <w:sz w:val="20"/>
                <w:szCs w:val="20"/>
                <w:color w:val="auto"/>
              </w:rPr>
            </w:pPr>
            <w:r>
              <w:rPr>
                <w:rFonts w:ascii="Arial" w:cs="Arial" w:eastAsia="Arial" w:hAnsi="Arial"/>
                <w:sz w:val="16"/>
                <w:szCs w:val="16"/>
                <w:i w:val="1"/>
                <w:iCs w:val="1"/>
                <w:color w:val="auto"/>
                <w:w w:val="98"/>
              </w:rPr>
              <w:t>Common Treasury</w:t>
            </w:r>
          </w:p>
        </w:tc>
        <w:tc>
          <w:tcPr>
            <w:tcW w:w="720" w:type="dxa"/>
            <w:vAlign w:val="bottom"/>
            <w:tcBorders>
              <w:top w:val="single" w:sz="8" w:color="7F7F7F"/>
            </w:tcBorders>
            <w:gridSpan w:val="2"/>
          </w:tcPr>
          <w:p>
            <w:pPr>
              <w:ind w:left="40"/>
              <w:spacing w:after="0"/>
              <w:rPr>
                <w:sz w:val="20"/>
                <w:szCs w:val="20"/>
                <w:color w:val="auto"/>
              </w:rPr>
            </w:pPr>
            <w:r>
              <w:rPr>
                <w:rFonts w:ascii="Arial" w:cs="Arial" w:eastAsia="Arial" w:hAnsi="Arial"/>
                <w:sz w:val="16"/>
                <w:szCs w:val="16"/>
                <w:i w:val="1"/>
                <w:iCs w:val="1"/>
                <w:color w:val="auto"/>
              </w:rPr>
              <w:t>Common</w:t>
            </w:r>
          </w:p>
        </w:tc>
        <w:tc>
          <w:tcPr>
            <w:tcW w:w="120" w:type="dxa"/>
            <w:vAlign w:val="bottom"/>
            <w:tcBorders>
              <w:top w:val="single" w:sz="8" w:color="7F7F7F"/>
            </w:tcBorders>
          </w:tcPr>
          <w:p>
            <w:pPr>
              <w:spacing w:after="0"/>
              <w:rPr>
                <w:sz w:val="22"/>
                <w:szCs w:val="22"/>
                <w:color w:val="auto"/>
              </w:rPr>
            </w:pPr>
          </w:p>
        </w:tc>
        <w:tc>
          <w:tcPr>
            <w:tcW w:w="1400" w:type="dxa"/>
            <w:vAlign w:val="bottom"/>
            <w:tcBorders>
              <w:top w:val="single" w:sz="8" w:color="7F7F7F"/>
            </w:tcBorders>
            <w:gridSpan w:val="3"/>
          </w:tcPr>
          <w:p>
            <w:pPr>
              <w:jc w:val="right"/>
              <w:spacing w:after="0"/>
              <w:rPr>
                <w:sz w:val="20"/>
                <w:szCs w:val="20"/>
                <w:color w:val="auto"/>
              </w:rPr>
            </w:pPr>
            <w:r>
              <w:rPr>
                <w:rFonts w:ascii="Arial" w:cs="Arial" w:eastAsia="Arial" w:hAnsi="Arial"/>
                <w:sz w:val="16"/>
                <w:szCs w:val="16"/>
                <w:i w:val="1"/>
                <w:iCs w:val="1"/>
                <w:color w:val="auto"/>
              </w:rPr>
              <w:t>Paid-in-  Retained</w:t>
            </w:r>
          </w:p>
        </w:tc>
        <w:tc>
          <w:tcPr>
            <w:tcW w:w="180" w:type="dxa"/>
            <w:vAlign w:val="bottom"/>
            <w:tcBorders>
              <w:top w:val="single" w:sz="8" w:color="7F7F7F"/>
            </w:tcBorders>
          </w:tcPr>
          <w:p>
            <w:pPr>
              <w:spacing w:after="0"/>
              <w:rPr>
                <w:sz w:val="22"/>
                <w:szCs w:val="22"/>
                <w:color w:val="auto"/>
              </w:rPr>
            </w:pPr>
          </w:p>
        </w:tc>
        <w:tc>
          <w:tcPr>
            <w:tcW w:w="700" w:type="dxa"/>
            <w:vAlign w:val="bottom"/>
            <w:tcBorders>
              <w:top w:val="single" w:sz="8" w:color="7F7F7F"/>
            </w:tcBorders>
          </w:tcPr>
          <w:p>
            <w:pPr>
              <w:jc w:val="right"/>
              <w:spacing w:after="0"/>
              <w:rPr>
                <w:sz w:val="20"/>
                <w:szCs w:val="20"/>
                <w:color w:val="auto"/>
              </w:rPr>
            </w:pPr>
            <w:r>
              <w:rPr>
                <w:rFonts w:ascii="Arial" w:cs="Arial" w:eastAsia="Arial" w:hAnsi="Arial"/>
                <w:sz w:val="16"/>
                <w:szCs w:val="16"/>
                <w:i w:val="1"/>
                <w:iCs w:val="1"/>
                <w:color w:val="auto"/>
              </w:rPr>
              <w:t>Treasury</w:t>
            </w:r>
          </w:p>
        </w:tc>
        <w:tc>
          <w:tcPr>
            <w:tcW w:w="180" w:type="dxa"/>
            <w:vAlign w:val="bottom"/>
            <w:tcBorders>
              <w:top w:val="single" w:sz="8" w:color="7F7F7F"/>
            </w:tcBorders>
          </w:tcPr>
          <w:p>
            <w:pPr>
              <w:spacing w:after="0"/>
              <w:rPr>
                <w:sz w:val="22"/>
                <w:szCs w:val="22"/>
                <w:color w:val="auto"/>
              </w:rPr>
            </w:pPr>
          </w:p>
        </w:tc>
        <w:tc>
          <w:tcPr>
            <w:tcW w:w="620" w:type="dxa"/>
            <w:vAlign w:val="bottom"/>
            <w:tcBorders>
              <w:top w:val="single" w:sz="8" w:color="7F7F7F"/>
            </w:tcBorders>
          </w:tcPr>
          <w:p>
            <w:pPr>
              <w:jc w:val="right"/>
              <w:spacing w:after="0"/>
              <w:rPr>
                <w:sz w:val="20"/>
                <w:szCs w:val="20"/>
                <w:color w:val="auto"/>
              </w:rPr>
            </w:pPr>
            <w:r>
              <w:rPr>
                <w:rFonts w:ascii="Arial" w:cs="Arial" w:eastAsia="Arial" w:hAnsi="Arial"/>
                <w:sz w:val="16"/>
                <w:szCs w:val="16"/>
                <w:i w:val="1"/>
                <w:iCs w:val="1"/>
                <w:color w:val="auto"/>
              </w:rPr>
              <w:t>AOCI</w:t>
            </w:r>
          </w:p>
        </w:tc>
        <w:tc>
          <w:tcPr>
            <w:tcW w:w="220" w:type="dxa"/>
            <w:vAlign w:val="bottom"/>
            <w:tcBorders>
              <w:top w:val="single" w:sz="8" w:color="7F7F7F"/>
            </w:tcBorders>
          </w:tcPr>
          <w:p>
            <w:pPr>
              <w:spacing w:after="0"/>
              <w:rPr>
                <w:sz w:val="22"/>
                <w:szCs w:val="22"/>
                <w:color w:val="auto"/>
              </w:rPr>
            </w:pPr>
          </w:p>
        </w:tc>
        <w:tc>
          <w:tcPr>
            <w:tcW w:w="620" w:type="dxa"/>
            <w:vAlign w:val="bottom"/>
            <w:tcBorders>
              <w:top w:val="single" w:sz="8" w:color="7F7F7F"/>
            </w:tcBorders>
            <w:vMerge w:val="restart"/>
          </w:tcPr>
          <w:p>
            <w:pPr>
              <w:jc w:val="right"/>
              <w:spacing w:after="0"/>
              <w:rPr>
                <w:sz w:val="20"/>
                <w:szCs w:val="20"/>
                <w:color w:val="auto"/>
              </w:rPr>
            </w:pPr>
            <w:r>
              <w:rPr>
                <w:rFonts w:ascii="Arial" w:cs="Arial" w:eastAsia="Arial" w:hAnsi="Arial"/>
                <w:sz w:val="16"/>
                <w:szCs w:val="16"/>
                <w:i w:val="1"/>
                <w:iCs w:val="1"/>
                <w:color w:val="auto"/>
              </w:rPr>
              <w:t>Total</w:t>
            </w:r>
          </w:p>
        </w:tc>
        <w:tc>
          <w:tcPr>
            <w:tcW w:w="0" w:type="dxa"/>
            <w:vAlign w:val="bottom"/>
          </w:tcPr>
          <w:p>
            <w:pPr>
              <w:spacing w:after="0"/>
              <w:rPr>
                <w:sz w:val="1"/>
                <w:szCs w:val="1"/>
                <w:color w:val="auto"/>
              </w:rPr>
            </w:pPr>
          </w:p>
        </w:tc>
      </w:tr>
      <w:tr>
        <w:trPr>
          <w:trHeight w:val="196"/>
        </w:trPr>
        <w:tc>
          <w:tcPr>
            <w:tcW w:w="2720" w:type="dxa"/>
            <w:vAlign w:val="bottom"/>
            <w:tcBorders>
              <w:bottom w:val="single" w:sz="8" w:color="7F7F7F"/>
              <w:right w:val="single" w:sz="8" w:color="808080"/>
            </w:tcBorders>
            <w:vMerge w:val="continue"/>
          </w:tcPr>
          <w:p>
            <w:pPr>
              <w:spacing w:after="0"/>
              <w:rPr>
                <w:sz w:val="17"/>
                <w:szCs w:val="17"/>
                <w:color w:val="auto"/>
              </w:rPr>
            </w:pPr>
          </w:p>
        </w:tc>
        <w:tc>
          <w:tcPr>
            <w:tcW w:w="74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Shares</w:t>
            </w:r>
          </w:p>
        </w:tc>
        <w:tc>
          <w:tcPr>
            <w:tcW w:w="600" w:type="dxa"/>
            <w:vAlign w:val="bottom"/>
            <w:tcBorders>
              <w:bottom w:val="single" w:sz="8" w:color="7F7F7F"/>
              <w:right w:val="single" w:sz="8" w:color="7F7F7F"/>
            </w:tcBorders>
          </w:tcPr>
          <w:p>
            <w:pPr>
              <w:jc w:val="right"/>
              <w:spacing w:after="0"/>
              <w:rPr>
                <w:sz w:val="20"/>
                <w:szCs w:val="20"/>
                <w:color w:val="auto"/>
              </w:rPr>
            </w:pPr>
            <w:r>
              <w:rPr>
                <w:rFonts w:ascii="Arial" w:cs="Arial" w:eastAsia="Arial" w:hAnsi="Arial"/>
                <w:sz w:val="16"/>
                <w:szCs w:val="16"/>
                <w:i w:val="1"/>
                <w:iCs w:val="1"/>
                <w:color w:val="auto"/>
              </w:rPr>
              <w:t>Shares</w:t>
            </w:r>
          </w:p>
        </w:tc>
        <w:tc>
          <w:tcPr>
            <w:tcW w:w="140" w:type="dxa"/>
            <w:vAlign w:val="bottom"/>
            <w:tcBorders>
              <w:bottom w:val="single" w:sz="8" w:color="7F7F7F"/>
            </w:tcBorders>
          </w:tcPr>
          <w:p>
            <w:pPr>
              <w:spacing w:after="0"/>
              <w:rPr>
                <w:sz w:val="17"/>
                <w:szCs w:val="17"/>
                <w:color w:val="auto"/>
              </w:rPr>
            </w:pPr>
          </w:p>
        </w:tc>
        <w:tc>
          <w:tcPr>
            <w:tcW w:w="58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Shares</w:t>
            </w:r>
          </w:p>
        </w:tc>
        <w:tc>
          <w:tcPr>
            <w:tcW w:w="120" w:type="dxa"/>
            <w:vAlign w:val="bottom"/>
            <w:tcBorders>
              <w:bottom w:val="single" w:sz="8" w:color="7F7F7F"/>
            </w:tcBorders>
          </w:tcPr>
          <w:p>
            <w:pPr>
              <w:spacing w:after="0"/>
              <w:rPr>
                <w:sz w:val="17"/>
                <w:szCs w:val="17"/>
                <w:color w:val="auto"/>
              </w:rPr>
            </w:pPr>
          </w:p>
        </w:tc>
        <w:tc>
          <w:tcPr>
            <w:tcW w:w="60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Surplus</w:t>
            </w:r>
          </w:p>
        </w:tc>
        <w:tc>
          <w:tcPr>
            <w:tcW w:w="120" w:type="dxa"/>
            <w:vAlign w:val="bottom"/>
            <w:tcBorders>
              <w:bottom w:val="single" w:sz="8" w:color="7F7F7F"/>
            </w:tcBorders>
          </w:tcPr>
          <w:p>
            <w:pPr>
              <w:spacing w:after="0"/>
              <w:rPr>
                <w:sz w:val="17"/>
                <w:szCs w:val="17"/>
                <w:color w:val="auto"/>
              </w:rPr>
            </w:pPr>
          </w:p>
        </w:tc>
        <w:tc>
          <w:tcPr>
            <w:tcW w:w="68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Earnings</w:t>
            </w:r>
          </w:p>
        </w:tc>
        <w:tc>
          <w:tcPr>
            <w:tcW w:w="180" w:type="dxa"/>
            <w:vAlign w:val="bottom"/>
            <w:tcBorders>
              <w:bottom w:val="single" w:sz="8" w:color="7F7F7F"/>
            </w:tcBorders>
          </w:tcPr>
          <w:p>
            <w:pPr>
              <w:spacing w:after="0"/>
              <w:rPr>
                <w:sz w:val="17"/>
                <w:szCs w:val="17"/>
                <w:color w:val="auto"/>
              </w:rPr>
            </w:pPr>
          </w:p>
        </w:tc>
        <w:tc>
          <w:tcPr>
            <w:tcW w:w="70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Stock</w:t>
            </w:r>
          </w:p>
        </w:tc>
        <w:tc>
          <w:tcPr>
            <w:tcW w:w="180" w:type="dxa"/>
            <w:vAlign w:val="bottom"/>
            <w:tcBorders>
              <w:bottom w:val="single" w:sz="8" w:color="7F7F7F"/>
            </w:tcBorders>
          </w:tcPr>
          <w:p>
            <w:pPr>
              <w:spacing w:after="0"/>
              <w:rPr>
                <w:sz w:val="17"/>
                <w:szCs w:val="17"/>
                <w:color w:val="auto"/>
              </w:rPr>
            </w:pPr>
          </w:p>
        </w:tc>
        <w:tc>
          <w:tcPr>
            <w:tcW w:w="62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[a]</w:t>
            </w:r>
          </w:p>
        </w:tc>
        <w:tc>
          <w:tcPr>
            <w:tcW w:w="220" w:type="dxa"/>
            <w:vAlign w:val="bottom"/>
            <w:tcBorders>
              <w:bottom w:val="single" w:sz="8" w:color="7F7F7F"/>
            </w:tcBorders>
          </w:tcPr>
          <w:p>
            <w:pPr>
              <w:spacing w:after="0"/>
              <w:rPr>
                <w:sz w:val="17"/>
                <w:szCs w:val="17"/>
                <w:color w:val="auto"/>
              </w:rPr>
            </w:pPr>
          </w:p>
        </w:tc>
        <w:tc>
          <w:tcPr>
            <w:tcW w:w="620" w:type="dxa"/>
            <w:vAlign w:val="bottom"/>
            <w:tcBorders>
              <w:bottom w:val="single" w:sz="8" w:color="7F7F7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20" w:type="dxa"/>
            <w:vAlign w:val="bottom"/>
            <w:tcBorders>
              <w:bottom w:val="single" w:sz="8" w:color="7F7F7F"/>
              <w:right w:val="single" w:sz="8" w:color="808080"/>
            </w:tcBorders>
            <w:shd w:val="clear" w:color="auto" w:fill="CCEEFF"/>
          </w:tcPr>
          <w:p>
            <w:pPr>
              <w:spacing w:after="0"/>
              <w:rPr>
                <w:sz w:val="20"/>
                <w:szCs w:val="20"/>
                <w:color w:val="auto"/>
              </w:rPr>
            </w:pPr>
            <w:r>
              <w:rPr>
                <w:rFonts w:ascii="Arial" w:cs="Arial" w:eastAsia="Arial" w:hAnsi="Arial"/>
                <w:sz w:val="16"/>
                <w:szCs w:val="16"/>
                <w:color w:val="auto"/>
              </w:rPr>
              <w:t>Balance at January 1, 2016</w:t>
            </w:r>
          </w:p>
        </w:tc>
        <w:tc>
          <w:tcPr>
            <w:tcW w:w="740" w:type="dxa"/>
            <w:vAlign w:val="bottom"/>
            <w:tcBorders>
              <w:bottom w:val="single" w:sz="8" w:color="7F7F7F"/>
            </w:tcBorders>
            <w:shd w:val="clear" w:color="auto" w:fill="CCEEFF"/>
          </w:tcPr>
          <w:p>
            <w:pPr>
              <w:jc w:val="right"/>
              <w:ind w:right="39"/>
              <w:spacing w:after="0"/>
              <w:rPr>
                <w:sz w:val="20"/>
                <w:szCs w:val="20"/>
                <w:color w:val="auto"/>
              </w:rPr>
            </w:pPr>
            <w:r>
              <w:rPr>
                <w:rFonts w:ascii="Arial" w:cs="Arial" w:eastAsia="Arial" w:hAnsi="Arial"/>
                <w:sz w:val="16"/>
                <w:szCs w:val="16"/>
                <w:color w:val="auto"/>
              </w:rPr>
              <w:t>1,110.4</w:t>
            </w:r>
          </w:p>
        </w:tc>
        <w:tc>
          <w:tcPr>
            <w:tcW w:w="600" w:type="dxa"/>
            <w:vAlign w:val="bottom"/>
            <w:tcBorders>
              <w:bottom w:val="single" w:sz="8" w:color="7F7F7F"/>
              <w:right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(261.2)</w:t>
            </w:r>
          </w:p>
        </w:tc>
        <w:tc>
          <w:tcPr>
            <w:tcW w:w="140" w:type="dxa"/>
            <w:vAlign w:val="bottom"/>
            <w:tcBorders>
              <w:bottom w:val="single" w:sz="8" w:color="7F7F7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2,776</w:t>
            </w:r>
          </w:p>
        </w:tc>
        <w:tc>
          <w:tcPr>
            <w:tcW w:w="1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4,417</w:t>
            </w:r>
          </w:p>
        </w:tc>
        <w:tc>
          <w:tcPr>
            <w:tcW w:w="1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30,233</w:t>
            </w:r>
          </w:p>
        </w:tc>
        <w:tc>
          <w:tcPr>
            <w:tcW w:w="18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(15,529)</w:t>
            </w:r>
          </w:p>
        </w:tc>
        <w:tc>
          <w:tcPr>
            <w:tcW w:w="18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(1,195)</w:t>
            </w:r>
          </w:p>
        </w:tc>
        <w:tc>
          <w:tcPr>
            <w:tcW w:w="220" w:type="dxa"/>
            <w:vAlign w:val="bottom"/>
            <w:tcBorders>
              <w:bottom w:val="single" w:sz="8" w:color="7F7F7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20,702</w:t>
            </w:r>
          </w:p>
        </w:tc>
        <w:tc>
          <w:tcPr>
            <w:tcW w:w="0" w:type="dxa"/>
            <w:vAlign w:val="bottom"/>
          </w:tcPr>
          <w:p>
            <w:pPr>
              <w:spacing w:after="0"/>
              <w:rPr>
                <w:sz w:val="1"/>
                <w:szCs w:val="1"/>
                <w:color w:val="auto"/>
              </w:rPr>
            </w:pPr>
          </w:p>
        </w:tc>
      </w:tr>
      <w:tr>
        <w:trPr>
          <w:trHeight w:val="200"/>
        </w:trPr>
        <w:tc>
          <w:tcPr>
            <w:tcW w:w="2720" w:type="dxa"/>
            <w:vAlign w:val="bottom"/>
            <w:tcBorders>
              <w:right w:val="single" w:sz="8" w:color="808080"/>
            </w:tcBorders>
          </w:tcPr>
          <w:p>
            <w:pPr>
              <w:spacing w:after="0"/>
              <w:rPr>
                <w:sz w:val="20"/>
                <w:szCs w:val="20"/>
                <w:color w:val="auto"/>
              </w:rPr>
            </w:pPr>
            <w:r>
              <w:rPr>
                <w:rFonts w:ascii="Arial" w:cs="Arial" w:eastAsia="Arial" w:hAnsi="Arial"/>
                <w:sz w:val="16"/>
                <w:szCs w:val="16"/>
                <w:color w:val="auto"/>
              </w:rPr>
              <w:t>Net income</w:t>
            </w:r>
          </w:p>
        </w:tc>
        <w:tc>
          <w:tcPr>
            <w:tcW w:w="740" w:type="dxa"/>
            <w:vAlign w:val="bottom"/>
          </w:tcPr>
          <w:p>
            <w:pPr>
              <w:spacing w:after="0"/>
              <w:rPr>
                <w:sz w:val="17"/>
                <w:szCs w:val="17"/>
                <w:color w:val="auto"/>
              </w:rPr>
            </w:pPr>
          </w:p>
        </w:tc>
        <w:tc>
          <w:tcPr>
            <w:tcW w:w="600" w:type="dxa"/>
            <w:vAlign w:val="bottom"/>
            <w:tcBorders>
              <w:right w:val="single" w:sz="8" w:color="7F7F7F"/>
            </w:tcBorders>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3,089</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3,089</w:t>
            </w:r>
          </w:p>
        </w:tc>
        <w:tc>
          <w:tcPr>
            <w:tcW w:w="0" w:type="dxa"/>
            <w:vAlign w:val="bottom"/>
          </w:tcPr>
          <w:p>
            <w:pPr>
              <w:spacing w:after="0"/>
              <w:rPr>
                <w:sz w:val="1"/>
                <w:szCs w:val="1"/>
                <w:color w:val="auto"/>
              </w:rPr>
            </w:pPr>
          </w:p>
        </w:tc>
      </w:tr>
      <w:tr>
        <w:trPr>
          <w:trHeight w:val="219"/>
        </w:trPr>
        <w:tc>
          <w:tcPr>
            <w:tcW w:w="2720" w:type="dxa"/>
            <w:vAlign w:val="bottom"/>
            <w:tcBorders>
              <w:right w:val="single" w:sz="8" w:color="808080"/>
            </w:tcBorders>
            <w:shd w:val="clear" w:color="auto" w:fill="CCEEFF"/>
          </w:tcPr>
          <w:p>
            <w:pPr>
              <w:spacing w:after="0"/>
              <w:rPr>
                <w:sz w:val="20"/>
                <w:szCs w:val="20"/>
                <w:color w:val="auto"/>
              </w:rPr>
            </w:pPr>
            <w:r>
              <w:rPr>
                <w:rFonts w:ascii="Arial" w:cs="Arial" w:eastAsia="Arial" w:hAnsi="Arial"/>
                <w:sz w:val="16"/>
                <w:szCs w:val="16"/>
                <w:color w:val="auto"/>
              </w:rPr>
              <w:t>Other comprehensive income</w:t>
            </w:r>
          </w:p>
        </w:tc>
        <w:tc>
          <w:tcPr>
            <w:tcW w:w="740" w:type="dxa"/>
            <w:vAlign w:val="bottom"/>
            <w:shd w:val="clear" w:color="auto" w:fill="CCEEFF"/>
          </w:tcPr>
          <w:p>
            <w:pPr>
              <w:spacing w:after="0"/>
              <w:rPr>
                <w:sz w:val="19"/>
                <w:szCs w:val="19"/>
                <w:color w:val="auto"/>
              </w:rPr>
            </w:pPr>
          </w:p>
        </w:tc>
        <w:tc>
          <w:tcPr>
            <w:tcW w:w="600" w:type="dxa"/>
            <w:vAlign w:val="bottom"/>
            <w:tcBorders>
              <w:right w:val="single" w:sz="8" w:color="7F7F7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4"/>
        </w:trPr>
        <w:tc>
          <w:tcPr>
            <w:tcW w:w="2720" w:type="dxa"/>
            <w:vAlign w:val="bottom"/>
            <w:tcBorders>
              <w:right w:val="single" w:sz="8" w:color="808080"/>
            </w:tcBorders>
          </w:tcPr>
          <w:p>
            <w:pPr>
              <w:spacing w:after="0"/>
              <w:rPr>
                <w:sz w:val="20"/>
                <w:szCs w:val="20"/>
                <w:color w:val="auto"/>
              </w:rPr>
            </w:pPr>
            <w:r>
              <w:rPr>
                <w:rFonts w:ascii="Arial" w:cs="Arial" w:eastAsia="Arial" w:hAnsi="Arial"/>
                <w:sz w:val="16"/>
                <w:szCs w:val="16"/>
                <w:color w:val="auto"/>
              </w:rPr>
              <w:t>Conversion, stock option</w:t>
            </w:r>
          </w:p>
        </w:tc>
        <w:tc>
          <w:tcPr>
            <w:tcW w:w="740" w:type="dxa"/>
            <w:vAlign w:val="bottom"/>
            <w:vMerge w:val="restart"/>
          </w:tcPr>
          <w:p>
            <w:pPr>
              <w:jc w:val="right"/>
              <w:ind w:right="39"/>
              <w:spacing w:after="0"/>
              <w:rPr>
                <w:sz w:val="20"/>
                <w:szCs w:val="20"/>
                <w:color w:val="auto"/>
              </w:rPr>
            </w:pPr>
            <w:r>
              <w:rPr>
                <w:rFonts w:ascii="Arial" w:cs="Arial" w:eastAsia="Arial" w:hAnsi="Arial"/>
                <w:sz w:val="16"/>
                <w:szCs w:val="16"/>
                <w:color w:val="auto"/>
              </w:rPr>
              <w:t>0.6</w:t>
            </w:r>
          </w:p>
        </w:tc>
        <w:tc>
          <w:tcPr>
            <w:tcW w:w="600" w:type="dxa"/>
            <w:vAlign w:val="bottom"/>
            <w:tcBorders>
              <w:right w:val="single" w:sz="8" w:color="7F7F7F"/>
            </w:tcBorders>
            <w:vMerge w:val="restart"/>
          </w:tcPr>
          <w:p>
            <w:pPr>
              <w:jc w:val="right"/>
              <w:spacing w:after="0"/>
              <w:rPr>
                <w:sz w:val="20"/>
                <w:szCs w:val="20"/>
                <w:color w:val="auto"/>
              </w:rPr>
            </w:pPr>
            <w:r>
              <w:rPr>
                <w:rFonts w:ascii="Arial" w:cs="Arial" w:eastAsia="Arial" w:hAnsi="Arial"/>
                <w:sz w:val="16"/>
                <w:szCs w:val="16"/>
                <w:color w:val="auto"/>
              </w:rPr>
              <w:t>0.8</w:t>
            </w:r>
          </w:p>
        </w:tc>
        <w:tc>
          <w:tcPr>
            <w:tcW w:w="140" w:type="dxa"/>
            <w:vAlign w:val="bottom"/>
          </w:tcPr>
          <w:p>
            <w:pPr>
              <w:spacing w:after="0"/>
              <w:rPr>
                <w:sz w:val="17"/>
                <w:szCs w:val="17"/>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40</w:t>
            </w:r>
          </w:p>
        </w:tc>
        <w:tc>
          <w:tcPr>
            <w:tcW w:w="18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14"/>
        </w:trPr>
        <w:tc>
          <w:tcPr>
            <w:tcW w:w="2720" w:type="dxa"/>
            <w:vAlign w:val="bottom"/>
            <w:tcBorders>
              <w:right w:val="single" w:sz="8" w:color="808080"/>
            </w:tcBorders>
            <w:vMerge w:val="restart"/>
          </w:tcPr>
          <w:p>
            <w:pPr>
              <w:ind w:left="100"/>
              <w:spacing w:after="0"/>
              <w:rPr>
                <w:sz w:val="20"/>
                <w:szCs w:val="20"/>
                <w:color w:val="auto"/>
              </w:rPr>
            </w:pPr>
            <w:r>
              <w:rPr>
                <w:rFonts w:ascii="Arial" w:cs="Arial" w:eastAsia="Arial" w:hAnsi="Arial"/>
                <w:sz w:val="16"/>
                <w:szCs w:val="16"/>
                <w:color w:val="auto"/>
              </w:rPr>
              <w:t>exercises, forfeitures, and other</w:t>
            </w:r>
          </w:p>
        </w:tc>
        <w:tc>
          <w:tcPr>
            <w:tcW w:w="740" w:type="dxa"/>
            <w:vAlign w:val="bottom"/>
            <w:vMerge w:val="continue"/>
          </w:tcPr>
          <w:p>
            <w:pPr>
              <w:spacing w:after="0"/>
              <w:rPr>
                <w:sz w:val="9"/>
                <w:szCs w:val="9"/>
                <w:color w:val="auto"/>
              </w:rPr>
            </w:pPr>
          </w:p>
        </w:tc>
        <w:tc>
          <w:tcPr>
            <w:tcW w:w="600" w:type="dxa"/>
            <w:vAlign w:val="bottom"/>
            <w:tcBorders>
              <w:right w:val="single" w:sz="8" w:color="7F7F7F"/>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720" w:type="dxa"/>
            <w:vAlign w:val="bottom"/>
            <w:tcBorders>
              <w:right w:val="single" w:sz="8" w:color="808080"/>
            </w:tcBorders>
            <w:vMerge w:val="continue"/>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Borders>
              <w:right w:val="single" w:sz="8" w:color="7F7F7F"/>
            </w:tcBorders>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2720" w:type="dxa"/>
            <w:vAlign w:val="bottom"/>
            <w:tcBorders>
              <w:right w:val="single" w:sz="8" w:color="808080"/>
            </w:tcBorders>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tcBorders>
              <w:right w:val="single" w:sz="8" w:color="7F7F7F"/>
            </w:tcBorders>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20" w:type="dxa"/>
            <w:vAlign w:val="bottom"/>
            <w:tcBorders>
              <w:right w:val="single" w:sz="8" w:color="808080"/>
            </w:tcBorders>
            <w:shd w:val="clear" w:color="auto" w:fill="CCEEFF"/>
          </w:tcPr>
          <w:p>
            <w:pPr>
              <w:spacing w:after="0"/>
              <w:rPr>
                <w:sz w:val="20"/>
                <w:szCs w:val="20"/>
                <w:color w:val="auto"/>
              </w:rPr>
            </w:pPr>
            <w:r>
              <w:rPr>
                <w:rFonts w:ascii="Arial" w:cs="Arial" w:eastAsia="Arial" w:hAnsi="Arial"/>
                <w:sz w:val="16"/>
                <w:szCs w:val="16"/>
                <w:color w:val="auto"/>
              </w:rPr>
              <w:t>Share repurchases (Note 18)</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right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(2,165)</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(2,165)</w:t>
            </w:r>
          </w:p>
        </w:tc>
        <w:tc>
          <w:tcPr>
            <w:tcW w:w="0" w:type="dxa"/>
            <w:vAlign w:val="bottom"/>
          </w:tcPr>
          <w:p>
            <w:pPr>
              <w:spacing w:after="0"/>
              <w:rPr>
                <w:sz w:val="1"/>
                <w:szCs w:val="1"/>
                <w:color w:val="auto"/>
              </w:rPr>
            </w:pPr>
          </w:p>
        </w:tc>
      </w:tr>
      <w:tr>
        <w:trPr>
          <w:trHeight w:val="191"/>
        </w:trPr>
        <w:tc>
          <w:tcPr>
            <w:tcW w:w="2720" w:type="dxa"/>
            <w:vAlign w:val="bottom"/>
            <w:tcBorders>
              <w:right w:val="single" w:sz="8" w:color="808080"/>
            </w:tcBorders>
          </w:tcPr>
          <w:p>
            <w:pPr>
              <w:spacing w:after="0"/>
              <w:rPr>
                <w:sz w:val="20"/>
                <w:szCs w:val="20"/>
                <w:color w:val="auto"/>
              </w:rPr>
            </w:pPr>
            <w:r>
              <w:rPr>
                <w:rFonts w:ascii="Arial" w:cs="Arial" w:eastAsia="Arial" w:hAnsi="Arial"/>
                <w:sz w:val="16"/>
                <w:szCs w:val="16"/>
                <w:color w:val="auto"/>
              </w:rPr>
              <w:t>Cash dividends declared</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right w:val="single" w:sz="8" w:color="7F7F7F"/>
            </w:tcBorders>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(1,382)</w:t>
            </w:r>
          </w:p>
        </w:tc>
        <w:tc>
          <w:tcPr>
            <w:tcW w:w="18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(1,382)</w:t>
            </w:r>
          </w:p>
        </w:tc>
        <w:tc>
          <w:tcPr>
            <w:tcW w:w="0" w:type="dxa"/>
            <w:vAlign w:val="bottom"/>
          </w:tcPr>
          <w:p>
            <w:pPr>
              <w:spacing w:after="0"/>
              <w:rPr>
                <w:sz w:val="1"/>
                <w:szCs w:val="1"/>
                <w:color w:val="auto"/>
              </w:rPr>
            </w:pPr>
          </w:p>
        </w:tc>
      </w:tr>
      <w:tr>
        <w:trPr>
          <w:trHeight w:val="114"/>
        </w:trPr>
        <w:tc>
          <w:tcPr>
            <w:tcW w:w="2720" w:type="dxa"/>
            <w:vAlign w:val="bottom"/>
            <w:tcBorders>
              <w:right w:val="single" w:sz="8" w:color="808080"/>
            </w:tcBorders>
            <w:vMerge w:val="restart"/>
          </w:tcPr>
          <w:p>
            <w:pPr>
              <w:ind w:left="140"/>
              <w:spacing w:after="0"/>
              <w:rPr>
                <w:sz w:val="20"/>
                <w:szCs w:val="20"/>
                <w:color w:val="auto"/>
              </w:rPr>
            </w:pPr>
            <w:r>
              <w:rPr>
                <w:rFonts w:ascii="Arial" w:cs="Arial" w:eastAsia="Arial" w:hAnsi="Arial"/>
                <w:sz w:val="16"/>
                <w:szCs w:val="16"/>
                <w:color w:val="auto"/>
              </w:rPr>
              <w:t>($1.65 per share)</w:t>
            </w:r>
          </w:p>
        </w:tc>
        <w:tc>
          <w:tcPr>
            <w:tcW w:w="740" w:type="dxa"/>
            <w:vAlign w:val="bottom"/>
            <w:vMerge w:val="continue"/>
          </w:tcPr>
          <w:p>
            <w:pPr>
              <w:spacing w:after="0"/>
              <w:rPr>
                <w:sz w:val="9"/>
                <w:szCs w:val="9"/>
                <w:color w:val="auto"/>
              </w:rPr>
            </w:pPr>
          </w:p>
        </w:tc>
        <w:tc>
          <w:tcPr>
            <w:tcW w:w="600" w:type="dxa"/>
            <w:vAlign w:val="bottom"/>
            <w:tcBorders>
              <w:right w:val="single" w:sz="8" w:color="7F7F7F"/>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720" w:type="dxa"/>
            <w:vAlign w:val="bottom"/>
            <w:tcBorders>
              <w:right w:val="single" w:sz="8" w:color="808080"/>
            </w:tcBorders>
            <w:vMerge w:val="continue"/>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Borders>
              <w:right w:val="single" w:sz="8" w:color="7F7F7F"/>
            </w:tcBorders>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720" w:type="dxa"/>
            <w:vAlign w:val="bottom"/>
            <w:tcBorders>
              <w:top w:val="single" w:sz="8" w:color="7F7F7F"/>
              <w:bottom w:val="single" w:sz="8" w:color="7F7F7F"/>
              <w:right w:val="single" w:sz="8" w:color="808080"/>
            </w:tcBorders>
            <w:shd w:val="clear" w:color="auto" w:fill="CCEEFF"/>
          </w:tcPr>
          <w:p>
            <w:pPr>
              <w:spacing w:after="0"/>
              <w:rPr>
                <w:sz w:val="20"/>
                <w:szCs w:val="20"/>
                <w:color w:val="auto"/>
              </w:rPr>
            </w:pPr>
            <w:r>
              <w:rPr>
                <w:rFonts w:ascii="Arial" w:cs="Arial" w:eastAsia="Arial" w:hAnsi="Arial"/>
                <w:sz w:val="16"/>
                <w:szCs w:val="16"/>
                <w:color w:val="auto"/>
              </w:rPr>
              <w:t>Balance at September 30, 2016</w:t>
            </w:r>
          </w:p>
        </w:tc>
        <w:tc>
          <w:tcPr>
            <w:tcW w:w="740" w:type="dxa"/>
            <w:vAlign w:val="bottom"/>
            <w:tcBorders>
              <w:top w:val="single" w:sz="8" w:color="7F7F7F"/>
              <w:bottom w:val="single" w:sz="8" w:color="7F7F7F"/>
            </w:tcBorders>
            <w:shd w:val="clear" w:color="auto" w:fill="CCEEFF"/>
          </w:tcPr>
          <w:p>
            <w:pPr>
              <w:jc w:val="right"/>
              <w:ind w:right="39"/>
              <w:spacing w:after="0"/>
              <w:rPr>
                <w:sz w:val="20"/>
                <w:szCs w:val="20"/>
                <w:color w:val="auto"/>
              </w:rPr>
            </w:pPr>
            <w:r>
              <w:rPr>
                <w:rFonts w:ascii="Arial" w:cs="Arial" w:eastAsia="Arial" w:hAnsi="Arial"/>
                <w:sz w:val="16"/>
                <w:szCs w:val="16"/>
                <w:color w:val="auto"/>
              </w:rPr>
              <w:t>1,111.0</w:t>
            </w:r>
          </w:p>
        </w:tc>
        <w:tc>
          <w:tcPr>
            <w:tcW w:w="600" w:type="dxa"/>
            <w:vAlign w:val="bottom"/>
            <w:tcBorders>
              <w:top w:val="single" w:sz="8" w:color="7F7F7F"/>
              <w:bottom w:val="single" w:sz="8" w:color="7F7F7F"/>
              <w:right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(285.8)</w:t>
            </w:r>
          </w:p>
        </w:tc>
        <w:tc>
          <w:tcPr>
            <w:tcW w:w="140" w:type="dxa"/>
            <w:vAlign w:val="bottom"/>
            <w:tcBorders>
              <w:top w:val="single" w:sz="8" w:color="7F7F7F"/>
              <w:bottom w:val="single" w:sz="8" w:color="7F7F7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7F7F7F"/>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2,777</w:t>
            </w:r>
          </w:p>
        </w:tc>
        <w:tc>
          <w:tcPr>
            <w:tcW w:w="120" w:type="dxa"/>
            <w:vAlign w:val="bottom"/>
            <w:tcBorders>
              <w:top w:val="single" w:sz="8" w:color="7F7F7F"/>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7F7F7F"/>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4,406</w:t>
            </w:r>
          </w:p>
        </w:tc>
        <w:tc>
          <w:tcPr>
            <w:tcW w:w="120" w:type="dxa"/>
            <w:vAlign w:val="bottom"/>
            <w:tcBorders>
              <w:top w:val="single" w:sz="8" w:color="7F7F7F"/>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7F7F7F"/>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31,940</w:t>
            </w:r>
          </w:p>
        </w:tc>
        <w:tc>
          <w:tcPr>
            <w:tcW w:w="180" w:type="dxa"/>
            <w:vAlign w:val="bottom"/>
            <w:tcBorders>
              <w:top w:val="single" w:sz="8" w:color="7F7F7F"/>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7F7F7F"/>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(17,654)</w:t>
            </w:r>
          </w:p>
        </w:tc>
        <w:tc>
          <w:tcPr>
            <w:tcW w:w="180" w:type="dxa"/>
            <w:vAlign w:val="bottom"/>
            <w:tcBorders>
              <w:top w:val="single" w:sz="8" w:color="7F7F7F"/>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7F7F7F"/>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(1,185)</w:t>
            </w:r>
          </w:p>
        </w:tc>
        <w:tc>
          <w:tcPr>
            <w:tcW w:w="220" w:type="dxa"/>
            <w:vAlign w:val="bottom"/>
            <w:tcBorders>
              <w:top w:val="single" w:sz="8" w:color="7F7F7F"/>
              <w:bottom w:val="single" w:sz="8" w:color="7F7F7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7F7F7F"/>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20,284</w:t>
            </w:r>
          </w:p>
        </w:tc>
        <w:tc>
          <w:tcPr>
            <w:tcW w:w="0" w:type="dxa"/>
            <w:vAlign w:val="bottom"/>
          </w:tcPr>
          <w:p>
            <w:pPr>
              <w:spacing w:after="0"/>
              <w:rPr>
                <w:sz w:val="1"/>
                <w:szCs w:val="1"/>
                <w:color w:val="auto"/>
              </w:rPr>
            </w:pPr>
          </w:p>
        </w:tc>
      </w:tr>
      <w:tr>
        <w:trPr>
          <w:trHeight w:val="196"/>
        </w:trPr>
        <w:tc>
          <w:tcPr>
            <w:tcW w:w="2720" w:type="dxa"/>
            <w:vAlign w:val="bottom"/>
            <w:tcBorders>
              <w:bottom w:val="single" w:sz="8" w:color="7F7F7F"/>
              <w:right w:val="single" w:sz="8" w:color="808080"/>
            </w:tcBorders>
          </w:tcPr>
          <w:p>
            <w:pPr>
              <w:spacing w:after="0"/>
              <w:rPr>
                <w:sz w:val="17"/>
                <w:szCs w:val="17"/>
                <w:color w:val="auto"/>
              </w:rPr>
            </w:pPr>
          </w:p>
        </w:tc>
        <w:tc>
          <w:tcPr>
            <w:tcW w:w="740" w:type="dxa"/>
            <w:vAlign w:val="bottom"/>
            <w:tcBorders>
              <w:bottom w:val="single" w:sz="8" w:color="7F7F7F"/>
            </w:tcBorders>
          </w:tcPr>
          <w:p>
            <w:pPr>
              <w:spacing w:after="0"/>
              <w:rPr>
                <w:sz w:val="17"/>
                <w:szCs w:val="17"/>
                <w:color w:val="auto"/>
              </w:rPr>
            </w:pPr>
          </w:p>
        </w:tc>
        <w:tc>
          <w:tcPr>
            <w:tcW w:w="600" w:type="dxa"/>
            <w:vAlign w:val="bottom"/>
            <w:tcBorders>
              <w:bottom w:val="single" w:sz="8" w:color="7F7F7F"/>
              <w:right w:val="single" w:sz="8" w:color="7F7F7F"/>
            </w:tcBorders>
          </w:tcPr>
          <w:p>
            <w:pPr>
              <w:spacing w:after="0"/>
              <w:rPr>
                <w:sz w:val="17"/>
                <w:szCs w:val="17"/>
                <w:color w:val="auto"/>
              </w:rPr>
            </w:pPr>
          </w:p>
        </w:tc>
        <w:tc>
          <w:tcPr>
            <w:tcW w:w="140" w:type="dxa"/>
            <w:vAlign w:val="bottom"/>
            <w:tcBorders>
              <w:bottom w:val="single" w:sz="8" w:color="7F7F7F"/>
            </w:tcBorders>
          </w:tcPr>
          <w:p>
            <w:pPr>
              <w:spacing w:after="0"/>
              <w:rPr>
                <w:sz w:val="17"/>
                <w:szCs w:val="17"/>
                <w:color w:val="auto"/>
              </w:rPr>
            </w:pPr>
          </w:p>
        </w:tc>
        <w:tc>
          <w:tcPr>
            <w:tcW w:w="580" w:type="dxa"/>
            <w:vAlign w:val="bottom"/>
            <w:tcBorders>
              <w:bottom w:val="single" w:sz="8" w:color="7F7F7F"/>
            </w:tcBorders>
          </w:tcPr>
          <w:p>
            <w:pPr>
              <w:spacing w:after="0"/>
              <w:rPr>
                <w:sz w:val="17"/>
                <w:szCs w:val="17"/>
                <w:color w:val="auto"/>
              </w:rPr>
            </w:pPr>
          </w:p>
        </w:tc>
        <w:tc>
          <w:tcPr>
            <w:tcW w:w="120" w:type="dxa"/>
            <w:vAlign w:val="bottom"/>
            <w:tcBorders>
              <w:bottom w:val="single" w:sz="8" w:color="7F7F7F"/>
            </w:tcBorders>
          </w:tcPr>
          <w:p>
            <w:pPr>
              <w:spacing w:after="0"/>
              <w:rPr>
                <w:sz w:val="17"/>
                <w:szCs w:val="17"/>
                <w:color w:val="auto"/>
              </w:rPr>
            </w:pPr>
          </w:p>
        </w:tc>
        <w:tc>
          <w:tcPr>
            <w:tcW w:w="600" w:type="dxa"/>
            <w:vAlign w:val="bottom"/>
            <w:tcBorders>
              <w:bottom w:val="single" w:sz="8" w:color="7F7F7F"/>
            </w:tcBorders>
          </w:tcPr>
          <w:p>
            <w:pPr>
              <w:spacing w:after="0"/>
              <w:rPr>
                <w:sz w:val="17"/>
                <w:szCs w:val="17"/>
                <w:color w:val="auto"/>
              </w:rPr>
            </w:pPr>
          </w:p>
        </w:tc>
        <w:tc>
          <w:tcPr>
            <w:tcW w:w="120" w:type="dxa"/>
            <w:vAlign w:val="bottom"/>
            <w:tcBorders>
              <w:bottom w:val="single" w:sz="8" w:color="7F7F7F"/>
            </w:tcBorders>
          </w:tcPr>
          <w:p>
            <w:pPr>
              <w:spacing w:after="0"/>
              <w:rPr>
                <w:sz w:val="17"/>
                <w:szCs w:val="17"/>
                <w:color w:val="auto"/>
              </w:rPr>
            </w:pPr>
          </w:p>
        </w:tc>
        <w:tc>
          <w:tcPr>
            <w:tcW w:w="680" w:type="dxa"/>
            <w:vAlign w:val="bottom"/>
            <w:tcBorders>
              <w:bottom w:val="single" w:sz="8" w:color="7F7F7F"/>
            </w:tcBorders>
          </w:tcPr>
          <w:p>
            <w:pPr>
              <w:spacing w:after="0"/>
              <w:rPr>
                <w:sz w:val="17"/>
                <w:szCs w:val="17"/>
                <w:color w:val="auto"/>
              </w:rPr>
            </w:pPr>
          </w:p>
        </w:tc>
        <w:tc>
          <w:tcPr>
            <w:tcW w:w="180" w:type="dxa"/>
            <w:vAlign w:val="bottom"/>
            <w:tcBorders>
              <w:bottom w:val="single" w:sz="8" w:color="7F7F7F"/>
            </w:tcBorders>
          </w:tcPr>
          <w:p>
            <w:pPr>
              <w:spacing w:after="0"/>
              <w:rPr>
                <w:sz w:val="17"/>
                <w:szCs w:val="17"/>
                <w:color w:val="auto"/>
              </w:rPr>
            </w:pPr>
          </w:p>
        </w:tc>
        <w:tc>
          <w:tcPr>
            <w:tcW w:w="700" w:type="dxa"/>
            <w:vAlign w:val="bottom"/>
            <w:tcBorders>
              <w:bottom w:val="single" w:sz="8" w:color="7F7F7F"/>
            </w:tcBorders>
          </w:tcPr>
          <w:p>
            <w:pPr>
              <w:spacing w:after="0"/>
              <w:rPr>
                <w:sz w:val="17"/>
                <w:szCs w:val="17"/>
                <w:color w:val="auto"/>
              </w:rPr>
            </w:pPr>
          </w:p>
        </w:tc>
        <w:tc>
          <w:tcPr>
            <w:tcW w:w="180" w:type="dxa"/>
            <w:vAlign w:val="bottom"/>
            <w:tcBorders>
              <w:bottom w:val="single" w:sz="8" w:color="7F7F7F"/>
            </w:tcBorders>
          </w:tcPr>
          <w:p>
            <w:pPr>
              <w:spacing w:after="0"/>
              <w:rPr>
                <w:sz w:val="17"/>
                <w:szCs w:val="17"/>
                <w:color w:val="auto"/>
              </w:rPr>
            </w:pPr>
          </w:p>
        </w:tc>
        <w:tc>
          <w:tcPr>
            <w:tcW w:w="620" w:type="dxa"/>
            <w:vAlign w:val="bottom"/>
            <w:tcBorders>
              <w:bottom w:val="single" w:sz="8" w:color="7F7F7F"/>
            </w:tcBorders>
          </w:tcPr>
          <w:p>
            <w:pPr>
              <w:spacing w:after="0"/>
              <w:rPr>
                <w:sz w:val="17"/>
                <w:szCs w:val="17"/>
                <w:color w:val="auto"/>
              </w:rPr>
            </w:pPr>
          </w:p>
        </w:tc>
        <w:tc>
          <w:tcPr>
            <w:tcW w:w="220" w:type="dxa"/>
            <w:vAlign w:val="bottom"/>
            <w:tcBorders>
              <w:bottom w:val="single" w:sz="8" w:color="7F7F7F"/>
            </w:tcBorders>
          </w:tcPr>
          <w:p>
            <w:pPr>
              <w:spacing w:after="0"/>
              <w:rPr>
                <w:sz w:val="17"/>
                <w:szCs w:val="17"/>
                <w:color w:val="auto"/>
              </w:rPr>
            </w:pPr>
          </w:p>
        </w:tc>
        <w:tc>
          <w:tcPr>
            <w:tcW w:w="620" w:type="dxa"/>
            <w:vAlign w:val="bottom"/>
            <w:tcBorders>
              <w:bottom w:val="single" w:sz="8" w:color="7F7F7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20" w:type="dxa"/>
            <w:vAlign w:val="bottom"/>
            <w:tcBorders>
              <w:bottom w:val="single" w:sz="8" w:color="7F7F7F"/>
              <w:right w:val="single" w:sz="8" w:color="808080"/>
            </w:tcBorders>
            <w:shd w:val="clear" w:color="auto" w:fill="CCEEFF"/>
          </w:tcPr>
          <w:p>
            <w:pPr>
              <w:spacing w:after="0"/>
              <w:rPr>
                <w:sz w:val="20"/>
                <w:szCs w:val="20"/>
                <w:color w:val="auto"/>
              </w:rPr>
            </w:pPr>
            <w:r>
              <w:rPr>
                <w:rFonts w:ascii="Arial" w:cs="Arial" w:eastAsia="Arial" w:hAnsi="Arial"/>
                <w:sz w:val="16"/>
                <w:szCs w:val="16"/>
                <w:color w:val="auto"/>
              </w:rPr>
              <w:t>Balance at January 1, 2017</w:t>
            </w:r>
          </w:p>
        </w:tc>
        <w:tc>
          <w:tcPr>
            <w:tcW w:w="740" w:type="dxa"/>
            <w:vAlign w:val="bottom"/>
            <w:tcBorders>
              <w:bottom w:val="single" w:sz="8" w:color="7F7F7F"/>
            </w:tcBorders>
            <w:shd w:val="clear" w:color="auto" w:fill="CCEEFF"/>
          </w:tcPr>
          <w:p>
            <w:pPr>
              <w:jc w:val="right"/>
              <w:ind w:right="39"/>
              <w:spacing w:after="0"/>
              <w:rPr>
                <w:sz w:val="20"/>
                <w:szCs w:val="20"/>
                <w:color w:val="auto"/>
              </w:rPr>
            </w:pPr>
            <w:r>
              <w:rPr>
                <w:rFonts w:ascii="Arial" w:cs="Arial" w:eastAsia="Arial" w:hAnsi="Arial"/>
                <w:sz w:val="16"/>
                <w:szCs w:val="16"/>
                <w:color w:val="auto"/>
              </w:rPr>
              <w:t>1,111.0</w:t>
            </w:r>
          </w:p>
        </w:tc>
        <w:tc>
          <w:tcPr>
            <w:tcW w:w="600" w:type="dxa"/>
            <w:vAlign w:val="bottom"/>
            <w:tcBorders>
              <w:bottom w:val="single" w:sz="8" w:color="7F7F7F"/>
              <w:right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(295.2)</w:t>
            </w:r>
          </w:p>
        </w:tc>
        <w:tc>
          <w:tcPr>
            <w:tcW w:w="140" w:type="dxa"/>
            <w:vAlign w:val="bottom"/>
            <w:tcBorders>
              <w:bottom w:val="single" w:sz="8" w:color="7F7F7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2,777</w:t>
            </w:r>
          </w:p>
        </w:tc>
        <w:tc>
          <w:tcPr>
            <w:tcW w:w="1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4,421</w:t>
            </w:r>
          </w:p>
        </w:tc>
        <w:tc>
          <w:tcPr>
            <w:tcW w:w="1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32,587</w:t>
            </w:r>
          </w:p>
        </w:tc>
        <w:tc>
          <w:tcPr>
            <w:tcW w:w="18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(18,581)</w:t>
            </w:r>
          </w:p>
        </w:tc>
        <w:tc>
          <w:tcPr>
            <w:tcW w:w="18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(1,272)</w:t>
            </w:r>
          </w:p>
        </w:tc>
        <w:tc>
          <w:tcPr>
            <w:tcW w:w="220" w:type="dxa"/>
            <w:vAlign w:val="bottom"/>
            <w:tcBorders>
              <w:bottom w:val="single" w:sz="8" w:color="7F7F7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19,932</w:t>
            </w:r>
          </w:p>
        </w:tc>
        <w:tc>
          <w:tcPr>
            <w:tcW w:w="0" w:type="dxa"/>
            <w:vAlign w:val="bottom"/>
          </w:tcPr>
          <w:p>
            <w:pPr>
              <w:spacing w:after="0"/>
              <w:rPr>
                <w:sz w:val="1"/>
                <w:szCs w:val="1"/>
                <w:color w:val="auto"/>
              </w:rPr>
            </w:pPr>
          </w:p>
        </w:tc>
      </w:tr>
      <w:tr>
        <w:trPr>
          <w:trHeight w:val="200"/>
        </w:trPr>
        <w:tc>
          <w:tcPr>
            <w:tcW w:w="2720" w:type="dxa"/>
            <w:vAlign w:val="bottom"/>
            <w:tcBorders>
              <w:right w:val="single" w:sz="8" w:color="808080"/>
            </w:tcBorders>
          </w:tcPr>
          <w:p>
            <w:pPr>
              <w:spacing w:after="0"/>
              <w:rPr>
                <w:sz w:val="20"/>
                <w:szCs w:val="20"/>
                <w:color w:val="auto"/>
              </w:rPr>
            </w:pPr>
            <w:r>
              <w:rPr>
                <w:rFonts w:ascii="Arial" w:cs="Arial" w:eastAsia="Arial" w:hAnsi="Arial"/>
                <w:sz w:val="16"/>
                <w:szCs w:val="16"/>
                <w:color w:val="auto"/>
              </w:rPr>
              <w:t>Net income</w:t>
            </w:r>
          </w:p>
        </w:tc>
        <w:tc>
          <w:tcPr>
            <w:tcW w:w="740" w:type="dxa"/>
            <w:vAlign w:val="bottom"/>
          </w:tcPr>
          <w:p>
            <w:pPr>
              <w:spacing w:after="0"/>
              <w:rPr>
                <w:sz w:val="17"/>
                <w:szCs w:val="17"/>
                <w:color w:val="auto"/>
              </w:rPr>
            </w:pPr>
          </w:p>
        </w:tc>
        <w:tc>
          <w:tcPr>
            <w:tcW w:w="600" w:type="dxa"/>
            <w:vAlign w:val="bottom"/>
            <w:tcBorders>
              <w:right w:val="single" w:sz="8" w:color="7F7F7F"/>
            </w:tcBorders>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3,434</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3,434</w:t>
            </w:r>
          </w:p>
        </w:tc>
        <w:tc>
          <w:tcPr>
            <w:tcW w:w="0" w:type="dxa"/>
            <w:vAlign w:val="bottom"/>
          </w:tcPr>
          <w:p>
            <w:pPr>
              <w:spacing w:after="0"/>
              <w:rPr>
                <w:sz w:val="1"/>
                <w:szCs w:val="1"/>
                <w:color w:val="auto"/>
              </w:rPr>
            </w:pPr>
          </w:p>
        </w:tc>
      </w:tr>
      <w:tr>
        <w:trPr>
          <w:trHeight w:val="219"/>
        </w:trPr>
        <w:tc>
          <w:tcPr>
            <w:tcW w:w="2720" w:type="dxa"/>
            <w:vAlign w:val="bottom"/>
            <w:tcBorders>
              <w:right w:val="single" w:sz="8" w:color="808080"/>
            </w:tcBorders>
            <w:shd w:val="clear" w:color="auto" w:fill="CCEEFF"/>
          </w:tcPr>
          <w:p>
            <w:pPr>
              <w:spacing w:after="0"/>
              <w:rPr>
                <w:sz w:val="20"/>
                <w:szCs w:val="20"/>
                <w:color w:val="auto"/>
              </w:rPr>
            </w:pPr>
            <w:r>
              <w:rPr>
                <w:rFonts w:ascii="Arial" w:cs="Arial" w:eastAsia="Arial" w:hAnsi="Arial"/>
                <w:sz w:val="16"/>
                <w:szCs w:val="16"/>
                <w:color w:val="auto"/>
              </w:rPr>
              <w:t>Other comprehensive income</w:t>
            </w:r>
          </w:p>
        </w:tc>
        <w:tc>
          <w:tcPr>
            <w:tcW w:w="740" w:type="dxa"/>
            <w:vAlign w:val="bottom"/>
            <w:shd w:val="clear" w:color="auto" w:fill="CCEEFF"/>
          </w:tcPr>
          <w:p>
            <w:pPr>
              <w:spacing w:after="0"/>
              <w:rPr>
                <w:sz w:val="19"/>
                <w:szCs w:val="19"/>
                <w:color w:val="auto"/>
              </w:rPr>
            </w:pPr>
          </w:p>
        </w:tc>
        <w:tc>
          <w:tcPr>
            <w:tcW w:w="600" w:type="dxa"/>
            <w:vAlign w:val="bottom"/>
            <w:tcBorders>
              <w:right w:val="single" w:sz="8" w:color="7F7F7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4"/>
        </w:trPr>
        <w:tc>
          <w:tcPr>
            <w:tcW w:w="2720" w:type="dxa"/>
            <w:vAlign w:val="bottom"/>
            <w:tcBorders>
              <w:right w:val="single" w:sz="8" w:color="808080"/>
            </w:tcBorders>
          </w:tcPr>
          <w:p>
            <w:pPr>
              <w:spacing w:after="0"/>
              <w:rPr>
                <w:sz w:val="20"/>
                <w:szCs w:val="20"/>
                <w:color w:val="auto"/>
              </w:rPr>
            </w:pPr>
            <w:r>
              <w:rPr>
                <w:rFonts w:ascii="Arial" w:cs="Arial" w:eastAsia="Arial" w:hAnsi="Arial"/>
                <w:sz w:val="16"/>
                <w:szCs w:val="16"/>
                <w:color w:val="auto"/>
              </w:rPr>
              <w:t>Conversion, stock option</w:t>
            </w:r>
          </w:p>
        </w:tc>
        <w:tc>
          <w:tcPr>
            <w:tcW w:w="740" w:type="dxa"/>
            <w:vAlign w:val="bottom"/>
            <w:vMerge w:val="restart"/>
          </w:tcPr>
          <w:p>
            <w:pPr>
              <w:jc w:val="right"/>
              <w:ind w:right="39"/>
              <w:spacing w:after="0"/>
              <w:rPr>
                <w:sz w:val="20"/>
                <w:szCs w:val="20"/>
                <w:color w:val="auto"/>
              </w:rPr>
            </w:pPr>
            <w:r>
              <w:rPr>
                <w:rFonts w:ascii="Arial" w:cs="Arial" w:eastAsia="Arial" w:hAnsi="Arial"/>
                <w:sz w:val="16"/>
                <w:szCs w:val="16"/>
                <w:color w:val="auto"/>
              </w:rPr>
              <w:t>0.4</w:t>
            </w:r>
          </w:p>
        </w:tc>
        <w:tc>
          <w:tcPr>
            <w:tcW w:w="600" w:type="dxa"/>
            <w:vAlign w:val="bottom"/>
            <w:tcBorders>
              <w:right w:val="single" w:sz="8" w:color="7F7F7F"/>
            </w:tcBorders>
            <w:vMerge w:val="restart"/>
          </w:tcPr>
          <w:p>
            <w:pPr>
              <w:jc w:val="right"/>
              <w:spacing w:after="0"/>
              <w:rPr>
                <w:sz w:val="20"/>
                <w:szCs w:val="20"/>
                <w:color w:val="auto"/>
              </w:rPr>
            </w:pPr>
            <w:r>
              <w:rPr>
                <w:rFonts w:ascii="Arial" w:cs="Arial" w:eastAsia="Arial" w:hAnsi="Arial"/>
                <w:sz w:val="16"/>
                <w:szCs w:val="16"/>
                <w:color w:val="auto"/>
              </w:rPr>
              <w:t>0.7</w:t>
            </w:r>
          </w:p>
        </w:tc>
        <w:tc>
          <w:tcPr>
            <w:tcW w:w="140" w:type="dxa"/>
            <w:vAlign w:val="bottom"/>
          </w:tcPr>
          <w:p>
            <w:pPr>
              <w:spacing w:after="0"/>
              <w:rPr>
                <w:sz w:val="17"/>
                <w:szCs w:val="17"/>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22</w:t>
            </w:r>
          </w:p>
        </w:tc>
        <w:tc>
          <w:tcPr>
            <w:tcW w:w="18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114"/>
        </w:trPr>
        <w:tc>
          <w:tcPr>
            <w:tcW w:w="2720" w:type="dxa"/>
            <w:vAlign w:val="bottom"/>
            <w:tcBorders>
              <w:right w:val="single" w:sz="8" w:color="808080"/>
            </w:tcBorders>
            <w:vMerge w:val="restart"/>
          </w:tcPr>
          <w:p>
            <w:pPr>
              <w:ind w:left="100"/>
              <w:spacing w:after="0"/>
              <w:rPr>
                <w:sz w:val="20"/>
                <w:szCs w:val="20"/>
                <w:color w:val="auto"/>
              </w:rPr>
            </w:pPr>
            <w:r>
              <w:rPr>
                <w:rFonts w:ascii="Arial" w:cs="Arial" w:eastAsia="Arial" w:hAnsi="Arial"/>
                <w:sz w:val="16"/>
                <w:szCs w:val="16"/>
                <w:color w:val="auto"/>
              </w:rPr>
              <w:t>exercises, forfeitures, and other</w:t>
            </w:r>
          </w:p>
        </w:tc>
        <w:tc>
          <w:tcPr>
            <w:tcW w:w="740" w:type="dxa"/>
            <w:vAlign w:val="bottom"/>
            <w:vMerge w:val="continue"/>
          </w:tcPr>
          <w:p>
            <w:pPr>
              <w:spacing w:after="0"/>
              <w:rPr>
                <w:sz w:val="9"/>
                <w:szCs w:val="9"/>
                <w:color w:val="auto"/>
              </w:rPr>
            </w:pPr>
          </w:p>
        </w:tc>
        <w:tc>
          <w:tcPr>
            <w:tcW w:w="600" w:type="dxa"/>
            <w:vAlign w:val="bottom"/>
            <w:tcBorders>
              <w:right w:val="single" w:sz="8" w:color="7F7F7F"/>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720" w:type="dxa"/>
            <w:vAlign w:val="bottom"/>
            <w:tcBorders>
              <w:right w:val="single" w:sz="8" w:color="808080"/>
            </w:tcBorders>
            <w:vMerge w:val="continue"/>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Borders>
              <w:right w:val="single" w:sz="8" w:color="7F7F7F"/>
            </w:tcBorders>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2720" w:type="dxa"/>
            <w:vAlign w:val="bottom"/>
            <w:tcBorders>
              <w:right w:val="single" w:sz="8" w:color="808080"/>
            </w:tcBorders>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tcBorders>
              <w:right w:val="single" w:sz="8" w:color="7F7F7F"/>
            </w:tcBorders>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20" w:type="dxa"/>
            <w:vAlign w:val="bottom"/>
            <w:tcBorders>
              <w:right w:val="single" w:sz="8" w:color="808080"/>
            </w:tcBorders>
            <w:shd w:val="clear" w:color="auto" w:fill="CCEEFF"/>
          </w:tcPr>
          <w:p>
            <w:pPr>
              <w:spacing w:after="0"/>
              <w:rPr>
                <w:sz w:val="20"/>
                <w:szCs w:val="20"/>
                <w:color w:val="auto"/>
              </w:rPr>
            </w:pPr>
            <w:r>
              <w:rPr>
                <w:rFonts w:ascii="Arial" w:cs="Arial" w:eastAsia="Arial" w:hAnsi="Arial"/>
                <w:sz w:val="16"/>
                <w:szCs w:val="16"/>
                <w:color w:val="auto"/>
              </w:rPr>
              <w:t>Share repurchases (Note 18)</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right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(2,911)</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(2,911)</w:t>
            </w:r>
          </w:p>
        </w:tc>
        <w:tc>
          <w:tcPr>
            <w:tcW w:w="0" w:type="dxa"/>
            <w:vAlign w:val="bottom"/>
          </w:tcPr>
          <w:p>
            <w:pPr>
              <w:spacing w:after="0"/>
              <w:rPr>
                <w:sz w:val="1"/>
                <w:szCs w:val="1"/>
                <w:color w:val="auto"/>
              </w:rPr>
            </w:pPr>
          </w:p>
        </w:tc>
      </w:tr>
      <w:tr>
        <w:trPr>
          <w:trHeight w:val="191"/>
        </w:trPr>
        <w:tc>
          <w:tcPr>
            <w:tcW w:w="2720" w:type="dxa"/>
            <w:vAlign w:val="bottom"/>
            <w:tcBorders>
              <w:right w:val="single" w:sz="8" w:color="808080"/>
            </w:tcBorders>
          </w:tcPr>
          <w:p>
            <w:pPr>
              <w:spacing w:after="0"/>
              <w:rPr>
                <w:sz w:val="20"/>
                <w:szCs w:val="20"/>
                <w:color w:val="auto"/>
              </w:rPr>
            </w:pPr>
            <w:r>
              <w:rPr>
                <w:rFonts w:ascii="Arial" w:cs="Arial" w:eastAsia="Arial" w:hAnsi="Arial"/>
                <w:sz w:val="16"/>
                <w:szCs w:val="16"/>
                <w:color w:val="auto"/>
              </w:rPr>
              <w:t>Cash dividends declared</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right w:val="single" w:sz="8" w:color="7F7F7F"/>
            </w:tcBorders>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(1,460)</w:t>
            </w:r>
          </w:p>
        </w:tc>
        <w:tc>
          <w:tcPr>
            <w:tcW w:w="18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(1,460)</w:t>
            </w:r>
          </w:p>
        </w:tc>
        <w:tc>
          <w:tcPr>
            <w:tcW w:w="0" w:type="dxa"/>
            <w:vAlign w:val="bottom"/>
          </w:tcPr>
          <w:p>
            <w:pPr>
              <w:spacing w:after="0"/>
              <w:rPr>
                <w:sz w:val="1"/>
                <w:szCs w:val="1"/>
                <w:color w:val="auto"/>
              </w:rPr>
            </w:pPr>
          </w:p>
        </w:tc>
      </w:tr>
      <w:tr>
        <w:trPr>
          <w:trHeight w:val="114"/>
        </w:trPr>
        <w:tc>
          <w:tcPr>
            <w:tcW w:w="2720" w:type="dxa"/>
            <w:vAlign w:val="bottom"/>
            <w:tcBorders>
              <w:right w:val="single" w:sz="8" w:color="808080"/>
            </w:tcBorders>
            <w:vMerge w:val="restart"/>
          </w:tcPr>
          <w:p>
            <w:pPr>
              <w:ind w:left="140"/>
              <w:spacing w:after="0"/>
              <w:rPr>
                <w:sz w:val="20"/>
                <w:szCs w:val="20"/>
                <w:color w:val="auto"/>
              </w:rPr>
            </w:pPr>
            <w:r>
              <w:rPr>
                <w:rFonts w:ascii="Arial" w:cs="Arial" w:eastAsia="Arial" w:hAnsi="Arial"/>
                <w:sz w:val="16"/>
                <w:szCs w:val="16"/>
                <w:color w:val="auto"/>
              </w:rPr>
              <w:t>($1.815 per share)</w:t>
            </w:r>
          </w:p>
        </w:tc>
        <w:tc>
          <w:tcPr>
            <w:tcW w:w="740" w:type="dxa"/>
            <w:vAlign w:val="bottom"/>
            <w:vMerge w:val="continue"/>
          </w:tcPr>
          <w:p>
            <w:pPr>
              <w:spacing w:after="0"/>
              <w:rPr>
                <w:sz w:val="9"/>
                <w:szCs w:val="9"/>
                <w:color w:val="auto"/>
              </w:rPr>
            </w:pPr>
          </w:p>
        </w:tc>
        <w:tc>
          <w:tcPr>
            <w:tcW w:w="600" w:type="dxa"/>
            <w:vAlign w:val="bottom"/>
            <w:tcBorders>
              <w:right w:val="single" w:sz="8" w:color="7F7F7F"/>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720" w:type="dxa"/>
            <w:vAlign w:val="bottom"/>
            <w:tcBorders>
              <w:right w:val="single" w:sz="8" w:color="808080"/>
            </w:tcBorders>
            <w:vMerge w:val="continue"/>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Borders>
              <w:right w:val="single" w:sz="8" w:color="7F7F7F"/>
            </w:tcBorders>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720" w:type="dxa"/>
            <w:vAlign w:val="bottom"/>
            <w:tcBorders>
              <w:top w:val="single" w:sz="8" w:color="7F7F7F"/>
              <w:bottom w:val="single" w:sz="8" w:color="7F7F7F"/>
              <w:right w:val="single" w:sz="8" w:color="808080"/>
            </w:tcBorders>
            <w:shd w:val="clear" w:color="auto" w:fill="CCEEFF"/>
          </w:tcPr>
          <w:p>
            <w:pPr>
              <w:spacing w:after="0"/>
              <w:rPr>
                <w:sz w:val="20"/>
                <w:szCs w:val="20"/>
                <w:color w:val="auto"/>
              </w:rPr>
            </w:pPr>
            <w:r>
              <w:rPr>
                <w:rFonts w:ascii="Arial" w:cs="Arial" w:eastAsia="Arial" w:hAnsi="Arial"/>
                <w:sz w:val="16"/>
                <w:szCs w:val="16"/>
                <w:b w:val="1"/>
                <w:bCs w:val="1"/>
                <w:color w:val="auto"/>
              </w:rPr>
              <w:t>Balance at September 30, 2017</w:t>
            </w:r>
          </w:p>
        </w:tc>
        <w:tc>
          <w:tcPr>
            <w:tcW w:w="740" w:type="dxa"/>
            <w:vAlign w:val="bottom"/>
            <w:tcBorders>
              <w:top w:val="single" w:sz="8" w:color="7F7F7F"/>
              <w:bottom w:val="single" w:sz="8" w:color="7F7F7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1,111.4</w:t>
            </w:r>
          </w:p>
        </w:tc>
        <w:tc>
          <w:tcPr>
            <w:tcW w:w="600" w:type="dxa"/>
            <w:vAlign w:val="bottom"/>
            <w:tcBorders>
              <w:top w:val="single" w:sz="8" w:color="7F7F7F"/>
              <w:bottom w:val="single" w:sz="8" w:color="7F7F7F"/>
              <w:right w:val="single" w:sz="8" w:color="7F7F7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(321.6)</w:t>
            </w:r>
          </w:p>
        </w:tc>
        <w:tc>
          <w:tcPr>
            <w:tcW w:w="140" w:type="dxa"/>
            <w:vAlign w:val="bottom"/>
            <w:tcBorders>
              <w:top w:val="single" w:sz="8" w:color="7F7F7F"/>
              <w:bottom w:val="single" w:sz="8" w:color="7F7F7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580" w:type="dxa"/>
            <w:vAlign w:val="bottom"/>
            <w:tcBorders>
              <w:top w:val="single" w:sz="8" w:color="7F7F7F"/>
              <w:bottom w:val="single" w:sz="8" w:color="7F7F7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2,778</w:t>
            </w:r>
          </w:p>
        </w:tc>
        <w:tc>
          <w:tcPr>
            <w:tcW w:w="120" w:type="dxa"/>
            <w:vAlign w:val="bottom"/>
            <w:tcBorders>
              <w:top w:val="single" w:sz="8" w:color="7F7F7F"/>
              <w:bottom w:val="single" w:sz="8" w:color="7F7F7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00" w:type="dxa"/>
            <w:vAlign w:val="bottom"/>
            <w:tcBorders>
              <w:top w:val="single" w:sz="8" w:color="7F7F7F"/>
              <w:bottom w:val="single" w:sz="8" w:color="7F7F7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4,454</w:t>
            </w:r>
          </w:p>
        </w:tc>
        <w:tc>
          <w:tcPr>
            <w:tcW w:w="120" w:type="dxa"/>
            <w:vAlign w:val="bottom"/>
            <w:tcBorders>
              <w:top w:val="single" w:sz="8" w:color="7F7F7F"/>
              <w:bottom w:val="single" w:sz="8" w:color="7F7F7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tcBorders>
              <w:top w:val="single" w:sz="8" w:color="7F7F7F"/>
              <w:bottom w:val="single" w:sz="8" w:color="7F7F7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34,561</w:t>
            </w:r>
          </w:p>
        </w:tc>
        <w:tc>
          <w:tcPr>
            <w:tcW w:w="180" w:type="dxa"/>
            <w:vAlign w:val="bottom"/>
            <w:tcBorders>
              <w:top w:val="single" w:sz="8" w:color="7F7F7F"/>
              <w:bottom w:val="single" w:sz="8" w:color="7F7F7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top w:val="single" w:sz="8" w:color="7F7F7F"/>
              <w:bottom w:val="single" w:sz="8" w:color="7F7F7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(21,470)</w:t>
            </w:r>
          </w:p>
        </w:tc>
        <w:tc>
          <w:tcPr>
            <w:tcW w:w="180" w:type="dxa"/>
            <w:vAlign w:val="bottom"/>
            <w:tcBorders>
              <w:top w:val="single" w:sz="8" w:color="7F7F7F"/>
              <w:bottom w:val="single" w:sz="8" w:color="7F7F7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tcBorders>
              <w:top w:val="single" w:sz="8" w:color="7F7F7F"/>
              <w:bottom w:val="single" w:sz="8" w:color="7F7F7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(1,172)</w:t>
            </w:r>
          </w:p>
        </w:tc>
        <w:tc>
          <w:tcPr>
            <w:tcW w:w="220" w:type="dxa"/>
            <w:vAlign w:val="bottom"/>
            <w:tcBorders>
              <w:top w:val="single" w:sz="8" w:color="7F7F7F"/>
              <w:bottom w:val="single" w:sz="8" w:color="7F7F7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620" w:type="dxa"/>
            <w:vAlign w:val="bottom"/>
            <w:tcBorders>
              <w:top w:val="single" w:sz="8" w:color="7F7F7F"/>
              <w:bottom w:val="single" w:sz="8" w:color="7F7F7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19,151</w:t>
            </w: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460" w:hanging="355"/>
        <w:spacing w:after="0"/>
        <w:tabs>
          <w:tab w:leader="none" w:pos="46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AOCI = Accumulated Other Comprehensive Income/(Loss) (Note 10)</w:t>
      </w:r>
    </w:p>
    <w:p>
      <w:pPr>
        <w:ind w:left="100"/>
        <w:spacing w:after="0"/>
        <w:rPr>
          <w:sz w:val="20"/>
          <w:szCs w:val="20"/>
          <w:color w:val="auto"/>
        </w:rPr>
      </w:pPr>
      <w:r>
        <w:rPr>
          <w:rFonts w:ascii="Arial" w:cs="Arial" w:eastAsia="Arial" w:hAnsi="Arial"/>
          <w:sz w:val="14"/>
          <w:szCs w:val="14"/>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45085</wp:posOffset>
            </wp:positionV>
            <wp:extent cx="5642610"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 w:name="page8"/>
    <w:bookmarkEnd w:id="7"/>
    <w:p>
      <w:pPr>
        <w:ind w:left="10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jc w:val="center"/>
        <w:ind w:left="100" w:right="99"/>
        <w:spacing w:after="0" w:line="415" w:lineRule="auto"/>
        <w:rPr>
          <w:sz w:val="20"/>
          <w:szCs w:val="20"/>
          <w:color w:val="auto"/>
        </w:rPr>
      </w:pPr>
      <w:r>
        <w:rPr>
          <w:rFonts w:ascii="Arial" w:cs="Arial" w:eastAsia="Arial" w:hAnsi="Arial"/>
          <w:sz w:val="18"/>
          <w:szCs w:val="18"/>
          <w:b w:val="1"/>
          <w:bCs w:val="1"/>
          <w:color w:val="auto"/>
        </w:rPr>
        <w:t xml:space="preserve">UNION PACIFIC CORPORATION AND SUBSIDIARY COMPANIES NOTES TO THE CONDENSED CONSOLIDATED FINANCIAL STATEMENTS </w:t>
      </w:r>
      <w:r>
        <w:rPr>
          <w:rFonts w:ascii="Arial" w:cs="Arial" w:eastAsia="Arial" w:hAnsi="Arial"/>
          <w:sz w:val="18"/>
          <w:szCs w:val="18"/>
          <w:color w:val="auto"/>
        </w:rPr>
        <w:t>(Unaudited)</w:t>
      </w:r>
    </w:p>
    <w:p>
      <w:pPr>
        <w:spacing w:after="0" w:line="2" w:lineRule="exact"/>
        <w:rPr>
          <w:sz w:val="20"/>
          <w:szCs w:val="20"/>
          <w:color w:val="auto"/>
        </w:rPr>
      </w:pPr>
    </w:p>
    <w:p>
      <w:pPr>
        <w:jc w:val="both"/>
        <w:ind w:left="100" w:right="99"/>
        <w:spacing w:after="0" w:line="219" w:lineRule="auto"/>
        <w:rPr>
          <w:sz w:val="20"/>
          <w:szCs w:val="20"/>
          <w:color w:val="auto"/>
        </w:rPr>
      </w:pPr>
      <w:r>
        <w:rPr>
          <w:rFonts w:ascii="Arial" w:cs="Arial" w:eastAsia="Arial" w:hAnsi="Arial"/>
          <w:sz w:val="18"/>
          <w:szCs w:val="18"/>
          <w:color w:val="auto"/>
        </w:rPr>
        <w:t>For purposes of this report, unless the context otherwise requires, all references herein to the “Corporation”, “Company”, “UPC”, “we”, “us”, and “our” mean Union Pacific Corporation and its subsidiaries, including Union Pacific Railroad Company, which will be separately referred to herein as “UPRR” or the “Railroad”.</w:t>
      </w:r>
    </w:p>
    <w:p>
      <w:pPr>
        <w:spacing w:after="0" w:line="11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1. Basis of Presentation</w:t>
      </w:r>
    </w:p>
    <w:p>
      <w:pPr>
        <w:spacing w:after="0" w:line="166" w:lineRule="exact"/>
        <w:rPr>
          <w:sz w:val="20"/>
          <w:szCs w:val="20"/>
          <w:color w:val="auto"/>
        </w:rPr>
      </w:pPr>
    </w:p>
    <w:p>
      <w:pPr>
        <w:jc w:val="both"/>
        <w:ind w:left="100" w:right="99"/>
        <w:spacing w:after="0" w:line="208" w:lineRule="auto"/>
        <w:rPr>
          <w:sz w:val="20"/>
          <w:szCs w:val="20"/>
          <w:color w:val="auto"/>
        </w:rPr>
      </w:pPr>
      <w:r>
        <w:rPr>
          <w:rFonts w:ascii="Arial" w:cs="Arial" w:eastAsia="Arial" w:hAnsi="Arial"/>
          <w:sz w:val="18"/>
          <w:szCs w:val="18"/>
          <w:color w:val="auto"/>
        </w:rPr>
        <w:t>Our Condensed Consolidated Financial Statements are unaudited and reflect all adjustments (consisting of normal and recurring adjustments) that are, in the opinion of management, necessary for their fair presentation in conformity with accounting principles generally accepted in the United States of America (GAAP). Pursuant to the rules and regulations of the Securities and Exchange Commission (SEC), certain information and note disclosures normally included in financial statements prepared in accordance with GAAP have been condensed or omitted. Accordingly, this Quarterly Report on Form 10-Q should be read in conjunction with our Consolidated Financial Statements and notes thereto contained in our 2016 Annual Report on Form 10-K. Our Consolidated Statement of Financial Position at December 31, 2016, is derived from audited financial statements. The results of operations for the nine months ended September 30, 2017, are not necessarily indicative of the results for the entire year ending December 31, 2017.</w:t>
      </w:r>
    </w:p>
    <w:p>
      <w:pPr>
        <w:spacing w:after="0" w:line="137" w:lineRule="exact"/>
        <w:rPr>
          <w:sz w:val="20"/>
          <w:szCs w:val="20"/>
          <w:color w:val="auto"/>
        </w:rPr>
      </w:pPr>
    </w:p>
    <w:p>
      <w:pPr>
        <w:jc w:val="both"/>
        <w:ind w:left="100" w:right="99"/>
        <w:spacing w:after="0" w:line="227" w:lineRule="auto"/>
        <w:rPr>
          <w:sz w:val="20"/>
          <w:szCs w:val="20"/>
          <w:color w:val="auto"/>
        </w:rPr>
      </w:pPr>
      <w:r>
        <w:rPr>
          <w:rFonts w:ascii="Arial" w:cs="Arial" w:eastAsia="Arial" w:hAnsi="Arial"/>
          <w:sz w:val="18"/>
          <w:szCs w:val="18"/>
          <w:color w:val="auto"/>
        </w:rPr>
        <w:t>The Condensed Consolidated Financial Statements are presented in accordance with GAAP as codified in the Financial Accounting Standards Board (FASB) Accounting Standards Codification (ASC).</w:t>
      </w:r>
    </w:p>
    <w:p>
      <w:pPr>
        <w:spacing w:after="0" w:line="11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2. Accounting Pronouncements</w:t>
      </w:r>
    </w:p>
    <w:p>
      <w:pPr>
        <w:spacing w:after="0" w:line="135" w:lineRule="exact"/>
        <w:rPr>
          <w:sz w:val="20"/>
          <w:szCs w:val="20"/>
          <w:color w:val="auto"/>
        </w:rPr>
      </w:pPr>
    </w:p>
    <w:p>
      <w:pPr>
        <w:jc w:val="both"/>
        <w:ind w:left="100" w:right="99"/>
        <w:spacing w:after="0" w:line="211" w:lineRule="auto"/>
        <w:rPr>
          <w:sz w:val="20"/>
          <w:szCs w:val="20"/>
          <w:color w:val="auto"/>
        </w:rPr>
      </w:pPr>
      <w:r>
        <w:rPr>
          <w:rFonts w:ascii="Arial" w:cs="Arial" w:eastAsia="Arial" w:hAnsi="Arial"/>
          <w:sz w:val="18"/>
          <w:szCs w:val="18"/>
          <w:color w:val="auto"/>
        </w:rPr>
        <w:t xml:space="preserve">In May 2014, the FASB issued Accounting Standards Update No. 2014-09 (ASU 2014-09),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Contracts with Customers </w:t>
      </w:r>
      <w:r>
        <w:rPr>
          <w:rFonts w:ascii="Arial" w:cs="Arial" w:eastAsia="Arial" w:hAnsi="Arial"/>
          <w:sz w:val="18"/>
          <w:szCs w:val="18"/>
          <w:color w:val="auto"/>
        </w:rPr>
        <w:t>(Topic 606). ASU 2014-09 supersedes the revenue recognition guidance in Topic</w:t>
      </w:r>
      <w:r>
        <w:rPr>
          <w:rFonts w:ascii="Arial" w:cs="Arial" w:eastAsia="Arial" w:hAnsi="Arial"/>
          <w:sz w:val="18"/>
          <w:szCs w:val="18"/>
          <w:i w:val="1"/>
          <w:iCs w:val="1"/>
          <w:color w:val="auto"/>
        </w:rPr>
        <w:t xml:space="preserve"> </w:t>
      </w:r>
      <w:r>
        <w:rPr>
          <w:rFonts w:ascii="Arial" w:cs="Arial" w:eastAsia="Arial" w:hAnsi="Arial"/>
          <w:sz w:val="18"/>
          <w:szCs w:val="18"/>
          <w:color w:val="auto"/>
        </w:rPr>
        <w:t>605, Revenue Recognition. The core principle of the guidance is that an entity should recognize revenue to depict the transfer of promised goods and services to customers in an amount that reflects the consideration to which the entity expects to be entitled in the exchange for those goods or services. This may require the use of more judgment and estimates in order to correctly recognize the revenue expected as an outcome of each specific performance obligation. Additionally, this guidance will require the disclosure of the nature, amount, and timing of revenue arising from contracts so as to aid in the understanding of the users of financial statements.</w:t>
      </w:r>
    </w:p>
    <w:p>
      <w:pPr>
        <w:spacing w:after="0" w:line="136" w:lineRule="exact"/>
        <w:rPr>
          <w:sz w:val="20"/>
          <w:szCs w:val="20"/>
          <w:color w:val="auto"/>
        </w:rPr>
      </w:pPr>
    </w:p>
    <w:p>
      <w:pPr>
        <w:jc w:val="both"/>
        <w:ind w:left="100" w:right="99"/>
        <w:spacing w:after="0" w:line="209" w:lineRule="auto"/>
        <w:rPr>
          <w:sz w:val="20"/>
          <w:szCs w:val="20"/>
          <w:color w:val="auto"/>
        </w:rPr>
      </w:pPr>
      <w:r>
        <w:rPr>
          <w:rFonts w:ascii="Arial" w:cs="Arial" w:eastAsia="Arial" w:hAnsi="Arial"/>
          <w:sz w:val="18"/>
          <w:szCs w:val="18"/>
          <w:color w:val="auto"/>
        </w:rPr>
        <w:t>This standard is effective for annual reporting periods beginning after December 15, 2017, and we intend to adopt the standard beginning in 2018 using the modified retrospective transition method. The Company has analyzed a significant proportion of our freight and other revenues and we expect to continue to recognize freight revenues as freight moves from origin to destination and to recognize other revenues as identified performance obligations are satisfied. We are currently analyzing freight and other revenues in the context of the new guidance on principal versus agent considerations and evaluating the required new disclosures. At this time, ASU 2014-09 is not expected to have a material impact on our consolidated financial position, results of operations, or cash flows.</w:t>
      </w:r>
    </w:p>
    <w:p>
      <w:pPr>
        <w:spacing w:after="0" w:line="107" w:lineRule="exact"/>
        <w:rPr>
          <w:sz w:val="20"/>
          <w:szCs w:val="20"/>
          <w:color w:val="auto"/>
        </w:rPr>
      </w:pPr>
    </w:p>
    <w:p>
      <w:pPr>
        <w:jc w:val="both"/>
        <w:ind w:left="100" w:right="99"/>
        <w:spacing w:after="0" w:line="215" w:lineRule="auto"/>
        <w:rPr>
          <w:sz w:val="20"/>
          <w:szCs w:val="20"/>
          <w:color w:val="auto"/>
        </w:rPr>
      </w:pPr>
      <w:r>
        <w:rPr>
          <w:rFonts w:ascii="Arial" w:cs="Arial" w:eastAsia="Arial" w:hAnsi="Arial"/>
          <w:sz w:val="18"/>
          <w:szCs w:val="18"/>
          <w:color w:val="auto"/>
        </w:rPr>
        <w:t xml:space="preserve">In January 2016, the FASB issued Accounting Standards Update No. 2016-01 (ASU 2016-01), </w:t>
      </w:r>
      <w:r>
        <w:rPr>
          <w:rFonts w:ascii="Arial" w:cs="Arial" w:eastAsia="Arial" w:hAnsi="Arial"/>
          <w:sz w:val="18"/>
          <w:szCs w:val="18"/>
          <w:i w:val="1"/>
          <w:iCs w:val="1"/>
          <w:color w:val="auto"/>
        </w:rPr>
        <w:t>Recognition</w:t>
      </w:r>
      <w:r>
        <w:rPr>
          <w:rFonts w:ascii="Arial" w:cs="Arial" w:eastAsia="Arial" w:hAnsi="Arial"/>
          <w:sz w:val="18"/>
          <w:szCs w:val="18"/>
          <w:color w:val="auto"/>
        </w:rPr>
        <w:t xml:space="preserve"> </w:t>
      </w:r>
      <w:r>
        <w:rPr>
          <w:rFonts w:ascii="Arial" w:cs="Arial" w:eastAsia="Arial" w:hAnsi="Arial"/>
          <w:sz w:val="18"/>
          <w:szCs w:val="18"/>
          <w:i w:val="1"/>
          <w:iCs w:val="1"/>
          <w:color w:val="auto"/>
        </w:rPr>
        <w:t>and Measurement of Financial Assets and Financial Liabilities (Subtopic 825-10)</w:t>
      </w:r>
      <w:r>
        <w:rPr>
          <w:rFonts w:ascii="Arial" w:cs="Arial" w:eastAsia="Arial" w:hAnsi="Arial"/>
          <w:sz w:val="18"/>
          <w:szCs w:val="18"/>
          <w:color w:val="auto"/>
        </w:rPr>
        <w:t>. ASU 2016-01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guidance for the recognition, measurement, presentation, and disclosure of financial instruments. This guidance is effective for annual and interim periods beginning after December 15, 2017, and early adoption is not permitted. ASU 2016-01 is not expected to have a material impact on our consolidated financial position, results of operations, or cash flows.</w:t>
      </w:r>
    </w:p>
    <w:p>
      <w:pPr>
        <w:spacing w:after="0" w:line="103" w:lineRule="exact"/>
        <w:rPr>
          <w:sz w:val="20"/>
          <w:szCs w:val="20"/>
          <w:color w:val="auto"/>
        </w:rPr>
      </w:pPr>
    </w:p>
    <w:p>
      <w:pPr>
        <w:jc w:val="both"/>
        <w:ind w:left="100" w:right="99"/>
        <w:spacing w:after="0" w:line="217" w:lineRule="auto"/>
        <w:rPr>
          <w:sz w:val="20"/>
          <w:szCs w:val="20"/>
          <w:color w:val="auto"/>
        </w:rPr>
      </w:pPr>
      <w:r>
        <w:rPr>
          <w:rFonts w:ascii="Arial" w:cs="Arial" w:eastAsia="Arial" w:hAnsi="Arial"/>
          <w:sz w:val="18"/>
          <w:szCs w:val="18"/>
          <w:color w:val="auto"/>
        </w:rPr>
        <w:t xml:space="preserve">In February 2016, the FASB issued Accounting Standards Update No. 2016-02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w:t>
      </w:r>
      <w:r>
        <w:rPr>
          <w:rFonts w:ascii="Arial" w:cs="Arial" w:eastAsia="Arial" w:hAnsi="Arial"/>
          <w:sz w:val="18"/>
          <w:szCs w:val="18"/>
          <w:i w:val="1"/>
          <w:iCs w:val="1"/>
          <w:color w:val="auto"/>
        </w:rPr>
        <w:t>(Subtopic 842)</w:t>
      </w:r>
      <w:r>
        <w:rPr>
          <w:rFonts w:ascii="Arial" w:cs="Arial" w:eastAsia="Arial" w:hAnsi="Arial"/>
          <w:sz w:val="18"/>
          <w:szCs w:val="18"/>
          <w:color w:val="auto"/>
        </w:rPr>
        <w:t>. ASU 2016-02 will require companies to recognize lease assets and lease liabilities on the</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sheet and disclose key information about leasing arrangements. For public companies, this standard is effective for annual reporting periods beginning after December 15, 2018, and early adoption is permitted. Management is currently evaluating the impact of this standard on our consolidated financial</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45085</wp:posOffset>
            </wp:positionV>
            <wp:extent cx="5642610"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8" w:name="page9"/>
    <w:bookmarkEnd w:id="8"/>
    <w:p>
      <w:pPr>
        <w:ind w:left="10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66" w:lineRule="exact"/>
        <w:rPr>
          <w:sz w:val="20"/>
          <w:szCs w:val="20"/>
          <w:color w:val="auto"/>
        </w:rPr>
      </w:pPr>
    </w:p>
    <w:p>
      <w:pPr>
        <w:jc w:val="both"/>
        <w:ind w:left="100" w:right="99"/>
        <w:spacing w:after="0" w:line="227" w:lineRule="auto"/>
        <w:rPr>
          <w:sz w:val="20"/>
          <w:szCs w:val="20"/>
          <w:color w:val="auto"/>
        </w:rPr>
      </w:pPr>
      <w:r>
        <w:rPr>
          <w:rFonts w:ascii="Arial" w:cs="Arial" w:eastAsia="Arial" w:hAnsi="Arial"/>
          <w:sz w:val="18"/>
          <w:szCs w:val="18"/>
          <w:color w:val="auto"/>
        </w:rPr>
        <w:t>position, results of operations, and cash flows, but expects that the adoption will result in a significant increase in the Company’s assets and liabilities.</w:t>
      </w:r>
    </w:p>
    <w:p>
      <w:pPr>
        <w:spacing w:after="0" w:line="117" w:lineRule="exact"/>
        <w:rPr>
          <w:sz w:val="20"/>
          <w:szCs w:val="20"/>
          <w:color w:val="auto"/>
        </w:rPr>
      </w:pPr>
    </w:p>
    <w:p>
      <w:pPr>
        <w:jc w:val="both"/>
        <w:ind w:left="100" w:right="99"/>
        <w:spacing w:after="0" w:line="208" w:lineRule="auto"/>
        <w:rPr>
          <w:sz w:val="20"/>
          <w:szCs w:val="20"/>
          <w:color w:val="auto"/>
        </w:rPr>
      </w:pPr>
      <w:r>
        <w:rPr>
          <w:rFonts w:ascii="Arial" w:cs="Arial" w:eastAsia="Arial" w:hAnsi="Arial"/>
          <w:sz w:val="18"/>
          <w:szCs w:val="18"/>
          <w:color w:val="auto"/>
        </w:rPr>
        <w:t xml:space="preserve">In March 2017, the FASB issued Accounting Standards Update No. 2017-07 (ASU 2017-07), </w:t>
      </w:r>
      <w:r>
        <w:rPr>
          <w:rFonts w:ascii="Arial" w:cs="Arial" w:eastAsia="Arial" w:hAnsi="Arial"/>
          <w:sz w:val="18"/>
          <w:szCs w:val="18"/>
          <w:i w:val="1"/>
          <w:iCs w:val="1"/>
          <w:color w:val="auto"/>
        </w:rPr>
        <w:t>Improving the</w:t>
      </w:r>
      <w:r>
        <w:rPr>
          <w:rFonts w:ascii="Arial" w:cs="Arial" w:eastAsia="Arial" w:hAnsi="Arial"/>
          <w:sz w:val="18"/>
          <w:szCs w:val="18"/>
          <w:color w:val="auto"/>
        </w:rPr>
        <w:t xml:space="preserve"> </w:t>
      </w:r>
      <w:r>
        <w:rPr>
          <w:rFonts w:ascii="Arial" w:cs="Arial" w:eastAsia="Arial" w:hAnsi="Arial"/>
          <w:sz w:val="18"/>
          <w:szCs w:val="18"/>
          <w:i w:val="1"/>
          <w:iCs w:val="1"/>
          <w:color w:val="auto"/>
        </w:rPr>
        <w:t>Presentation of Net Periodic Pension Cost and Net Periodic Postretirement Benefit Cost (Topic 715)</w:t>
      </w:r>
      <w:r>
        <w:rPr>
          <w:rFonts w:ascii="Arial" w:cs="Arial" w:eastAsia="Arial" w:hAnsi="Arial"/>
          <w:sz w:val="18"/>
          <w:szCs w:val="18"/>
          <w:color w:val="auto"/>
        </w:rPr>
        <w:t>. ASU</w:t>
      </w:r>
      <w:r>
        <w:rPr>
          <w:rFonts w:ascii="Arial" w:cs="Arial" w:eastAsia="Arial" w:hAnsi="Arial"/>
          <w:sz w:val="18"/>
          <w:szCs w:val="18"/>
          <w:i w:val="1"/>
          <w:iCs w:val="1"/>
          <w:color w:val="auto"/>
        </w:rPr>
        <w:t xml:space="preserve"> </w:t>
      </w:r>
      <w:r>
        <w:rPr>
          <w:rFonts w:ascii="Arial" w:cs="Arial" w:eastAsia="Arial" w:hAnsi="Arial"/>
          <w:sz w:val="18"/>
          <w:szCs w:val="18"/>
          <w:color w:val="auto"/>
        </w:rPr>
        <w:t>2017-07 requires the service cost component be reported separately from the other components of net benefit costs in the income statement, provides explicit guidance on the presentation of the service cost component and the other components of net benefit cost in the income statement, and allows only the service cost component of net benefit cost to be eligible for capitalization. This standard is effective for annual and interim reporting periods beginning after December 15, 2017, and requires retrospective adoption. Early adoption is permitted. ASU 2017-07 is not expected to have an impact on our consolidated financial position, results of operations, cash flows, net income or earnings per share as a result of adopting this new standard. The Company currently records service costs and net benefit costs within compensation and benefits expense. Upon adoption, only the service cost will be recorded within compensation and benefits expense, and the other components of net benefit costs, including $67 million related to the 2017 workforce reduction plan as described in Note 6, will be recorded in other income. The retrospective impact of future adoption is shown in the table below:</w:t>
      </w:r>
    </w:p>
    <w:p>
      <w:pPr>
        <w:spacing w:after="0" w:line="161" w:lineRule="exact"/>
        <w:rPr>
          <w:sz w:val="20"/>
          <w:szCs w:val="20"/>
          <w:color w:val="auto"/>
        </w:rPr>
      </w:pPr>
    </w:p>
    <w:tbl>
      <w:tblPr>
        <w:tblLayout w:type="fixed"/>
        <w:tblInd w:w="100" w:type="dxa"/>
        <w:tblCellMar>
          <w:top w:w="0" w:type="dxa"/>
          <w:left w:w="0" w:type="dxa"/>
          <w:bottom w:w="0" w:type="dxa"/>
          <w:right w:w="0" w:type="dxa"/>
        </w:tblCellMar>
      </w:tblPr>
      <w:tr>
        <w:trPr>
          <w:trHeight w:val="256"/>
        </w:trPr>
        <w:tc>
          <w:tcPr>
            <w:tcW w:w="4680" w:type="dxa"/>
            <w:vAlign w:val="bottom"/>
            <w:tcBorders>
              <w:top w:val="single" w:sz="8" w:color="7F7F7F"/>
            </w:tcBorders>
          </w:tcPr>
          <w:p>
            <w:pPr>
              <w:spacing w:after="0"/>
              <w:rPr>
                <w:sz w:val="22"/>
                <w:szCs w:val="22"/>
                <w:color w:val="auto"/>
              </w:rPr>
            </w:pPr>
          </w:p>
        </w:tc>
        <w:tc>
          <w:tcPr>
            <w:tcW w:w="200" w:type="dxa"/>
            <w:vAlign w:val="bottom"/>
            <w:tcBorders>
              <w:top w:val="single" w:sz="8" w:color="7F7F7F"/>
            </w:tcBorders>
          </w:tcPr>
          <w:p>
            <w:pPr>
              <w:spacing w:after="0"/>
              <w:rPr>
                <w:sz w:val="22"/>
                <w:szCs w:val="22"/>
                <w:color w:val="auto"/>
              </w:rPr>
            </w:pPr>
          </w:p>
        </w:tc>
        <w:tc>
          <w:tcPr>
            <w:tcW w:w="300" w:type="dxa"/>
            <w:vAlign w:val="bottom"/>
            <w:tcBorders>
              <w:top w:val="single" w:sz="8" w:color="7F7F7F"/>
            </w:tcBorders>
          </w:tcPr>
          <w:p>
            <w:pPr>
              <w:spacing w:after="0"/>
              <w:rPr>
                <w:sz w:val="22"/>
                <w:szCs w:val="22"/>
                <w:color w:val="auto"/>
              </w:rPr>
            </w:pPr>
          </w:p>
        </w:tc>
        <w:tc>
          <w:tcPr>
            <w:tcW w:w="2060" w:type="dxa"/>
            <w:vAlign w:val="bottom"/>
            <w:tcBorders>
              <w:top w:val="single" w:sz="8" w:color="7F7F7F"/>
            </w:tcBorders>
            <w:gridSpan w:val="5"/>
          </w:tcPr>
          <w:p>
            <w:pPr>
              <w:jc w:val="center"/>
              <w:spacing w:after="0"/>
              <w:rPr>
                <w:sz w:val="20"/>
                <w:szCs w:val="20"/>
                <w:color w:val="auto"/>
              </w:rPr>
            </w:pPr>
            <w:r>
              <w:rPr>
                <w:rFonts w:ascii="Arial" w:cs="Arial" w:eastAsia="Arial" w:hAnsi="Arial"/>
                <w:sz w:val="16"/>
                <w:szCs w:val="16"/>
                <w:i w:val="1"/>
                <w:iCs w:val="1"/>
                <w:color w:val="auto"/>
              </w:rPr>
              <w:t>Three Months Ended</w:t>
            </w:r>
          </w:p>
        </w:tc>
        <w:tc>
          <w:tcPr>
            <w:tcW w:w="1580" w:type="dxa"/>
            <w:vAlign w:val="bottom"/>
            <w:tcBorders>
              <w:top w:val="single" w:sz="8" w:color="7F7F7F"/>
            </w:tcBorders>
            <w:gridSpan w:val="4"/>
          </w:tcPr>
          <w:p>
            <w:pPr>
              <w:ind w:left="80"/>
              <w:spacing w:after="0"/>
              <w:rPr>
                <w:sz w:val="20"/>
                <w:szCs w:val="20"/>
                <w:color w:val="auto"/>
              </w:rPr>
            </w:pPr>
            <w:r>
              <w:rPr>
                <w:rFonts w:ascii="Arial" w:cs="Arial" w:eastAsia="Arial" w:hAnsi="Arial"/>
                <w:sz w:val="16"/>
                <w:szCs w:val="16"/>
                <w:i w:val="1"/>
                <w:iCs w:val="1"/>
                <w:color w:val="auto"/>
              </w:rPr>
              <w:t>Nine Months Ended</w:t>
            </w:r>
          </w:p>
        </w:tc>
      </w:tr>
      <w:tr>
        <w:trPr>
          <w:trHeight w:val="197"/>
        </w:trPr>
        <w:tc>
          <w:tcPr>
            <w:tcW w:w="4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gridSpan w:val="5"/>
          </w:tcPr>
          <w:p>
            <w:pPr>
              <w:jc w:val="center"/>
              <w:spacing w:after="0"/>
              <w:rPr>
                <w:sz w:val="20"/>
                <w:szCs w:val="20"/>
                <w:color w:val="auto"/>
              </w:rPr>
            </w:pPr>
            <w:r>
              <w:rPr>
                <w:rFonts w:ascii="Arial" w:cs="Arial" w:eastAsia="Arial" w:hAnsi="Arial"/>
                <w:sz w:val="16"/>
                <w:szCs w:val="16"/>
                <w:i w:val="1"/>
                <w:iCs w:val="1"/>
                <w:color w:val="auto"/>
              </w:rPr>
              <w:t>September 30,</w:t>
            </w:r>
          </w:p>
        </w:tc>
        <w:tc>
          <w:tcPr>
            <w:tcW w:w="220" w:type="dxa"/>
            <w:vAlign w:val="bottom"/>
          </w:tcPr>
          <w:p>
            <w:pPr>
              <w:spacing w:after="0"/>
              <w:rPr>
                <w:sz w:val="17"/>
                <w:szCs w:val="17"/>
                <w:color w:val="auto"/>
              </w:rPr>
            </w:pPr>
          </w:p>
        </w:tc>
        <w:tc>
          <w:tcPr>
            <w:tcW w:w="1360" w:type="dxa"/>
            <w:vAlign w:val="bottom"/>
            <w:gridSpan w:val="3"/>
          </w:tcPr>
          <w:p>
            <w:pPr>
              <w:jc w:val="right"/>
              <w:ind w:right="179"/>
              <w:spacing w:after="0"/>
              <w:rPr>
                <w:sz w:val="20"/>
                <w:szCs w:val="20"/>
                <w:color w:val="auto"/>
              </w:rPr>
            </w:pPr>
            <w:r>
              <w:rPr>
                <w:rFonts w:ascii="Arial" w:cs="Arial" w:eastAsia="Arial" w:hAnsi="Arial"/>
                <w:sz w:val="16"/>
                <w:szCs w:val="16"/>
                <w:i w:val="1"/>
                <w:iCs w:val="1"/>
                <w:color w:val="auto"/>
              </w:rPr>
              <w:t>September 30,</w:t>
            </w:r>
          </w:p>
        </w:tc>
      </w:tr>
      <w:tr>
        <w:trPr>
          <w:trHeight w:val="223"/>
        </w:trPr>
        <w:tc>
          <w:tcPr>
            <w:tcW w:w="4680" w:type="dxa"/>
            <w:vAlign w:val="bottom"/>
            <w:tcBorders>
              <w:bottom w:val="single" w:sz="8" w:color="7F7F7F"/>
            </w:tcBorders>
          </w:tcPr>
          <w:p>
            <w:pPr>
              <w:spacing w:after="0"/>
              <w:rPr>
                <w:sz w:val="20"/>
                <w:szCs w:val="20"/>
                <w:color w:val="auto"/>
              </w:rPr>
            </w:pPr>
            <w:r>
              <w:rPr>
                <w:rFonts w:ascii="Arial" w:cs="Arial" w:eastAsia="Arial" w:hAnsi="Arial"/>
                <w:sz w:val="16"/>
                <w:szCs w:val="16"/>
                <w:i w:val="1"/>
                <w:iCs w:val="1"/>
                <w:color w:val="auto"/>
              </w:rPr>
              <w:t>Millions</w:t>
            </w:r>
          </w:p>
        </w:tc>
        <w:tc>
          <w:tcPr>
            <w:tcW w:w="200" w:type="dxa"/>
            <w:vAlign w:val="bottom"/>
            <w:tcBorders>
              <w:top w:val="single" w:sz="8" w:color="808080"/>
              <w:bottom w:val="single" w:sz="8" w:color="7F7F7F"/>
            </w:tcBorders>
          </w:tcPr>
          <w:p>
            <w:pPr>
              <w:spacing w:after="0"/>
              <w:rPr>
                <w:sz w:val="19"/>
                <w:szCs w:val="19"/>
                <w:color w:val="auto"/>
              </w:rPr>
            </w:pPr>
          </w:p>
        </w:tc>
        <w:tc>
          <w:tcPr>
            <w:tcW w:w="300" w:type="dxa"/>
            <w:vAlign w:val="bottom"/>
            <w:tcBorders>
              <w:top w:val="single" w:sz="8" w:color="808080"/>
              <w:bottom w:val="single" w:sz="8" w:color="7F7F7F"/>
            </w:tcBorders>
          </w:tcPr>
          <w:p>
            <w:pPr>
              <w:spacing w:after="0"/>
              <w:rPr>
                <w:sz w:val="19"/>
                <w:szCs w:val="19"/>
                <w:color w:val="auto"/>
              </w:rPr>
            </w:pPr>
          </w:p>
        </w:tc>
        <w:tc>
          <w:tcPr>
            <w:tcW w:w="1060" w:type="dxa"/>
            <w:vAlign w:val="bottom"/>
            <w:tcBorders>
              <w:top w:val="single" w:sz="8" w:color="808080"/>
              <w:bottom w:val="single" w:sz="8" w:color="7F7F7F"/>
            </w:tcBorders>
          </w:tcPr>
          <w:p>
            <w:pPr>
              <w:jc w:val="right"/>
              <w:spacing w:after="0"/>
              <w:rPr>
                <w:sz w:val="20"/>
                <w:szCs w:val="20"/>
                <w:color w:val="auto"/>
              </w:rPr>
            </w:pPr>
            <w:r>
              <w:rPr>
                <w:rFonts w:ascii="Arial" w:cs="Arial" w:eastAsia="Arial" w:hAnsi="Arial"/>
                <w:sz w:val="16"/>
                <w:szCs w:val="16"/>
                <w:b w:val="1"/>
                <w:bCs w:val="1"/>
                <w:i w:val="1"/>
                <w:iCs w:val="1"/>
                <w:color w:val="auto"/>
              </w:rPr>
              <w:t>2017</w:t>
            </w:r>
          </w:p>
        </w:tc>
        <w:tc>
          <w:tcPr>
            <w:tcW w:w="40" w:type="dxa"/>
            <w:vAlign w:val="bottom"/>
            <w:tcBorders>
              <w:top w:val="single" w:sz="8" w:color="808080"/>
              <w:bottom w:val="single" w:sz="8" w:color="7F7F7F"/>
            </w:tcBorders>
          </w:tcPr>
          <w:p>
            <w:pPr>
              <w:spacing w:after="0"/>
              <w:rPr>
                <w:sz w:val="19"/>
                <w:szCs w:val="19"/>
                <w:color w:val="auto"/>
              </w:rPr>
            </w:pPr>
          </w:p>
        </w:tc>
        <w:tc>
          <w:tcPr>
            <w:tcW w:w="160" w:type="dxa"/>
            <w:vAlign w:val="bottom"/>
            <w:tcBorders>
              <w:top w:val="single" w:sz="8" w:color="808080"/>
              <w:bottom w:val="single" w:sz="8" w:color="7F7F7F"/>
            </w:tcBorders>
          </w:tcPr>
          <w:p>
            <w:pPr>
              <w:spacing w:after="0"/>
              <w:rPr>
                <w:sz w:val="19"/>
                <w:szCs w:val="19"/>
                <w:color w:val="auto"/>
              </w:rPr>
            </w:pPr>
          </w:p>
        </w:tc>
        <w:tc>
          <w:tcPr>
            <w:tcW w:w="640" w:type="dxa"/>
            <w:vAlign w:val="bottom"/>
            <w:tcBorders>
              <w:top w:val="single" w:sz="8" w:color="808080"/>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2016</w:t>
            </w:r>
          </w:p>
        </w:tc>
        <w:tc>
          <w:tcPr>
            <w:tcW w:w="160" w:type="dxa"/>
            <w:vAlign w:val="bottom"/>
            <w:tcBorders>
              <w:bottom w:val="single" w:sz="8" w:color="7F7F7F"/>
            </w:tcBorders>
          </w:tcPr>
          <w:p>
            <w:pPr>
              <w:spacing w:after="0"/>
              <w:rPr>
                <w:sz w:val="19"/>
                <w:szCs w:val="19"/>
                <w:color w:val="auto"/>
              </w:rPr>
            </w:pPr>
          </w:p>
        </w:tc>
        <w:tc>
          <w:tcPr>
            <w:tcW w:w="220" w:type="dxa"/>
            <w:vAlign w:val="bottom"/>
            <w:tcBorders>
              <w:top w:val="single" w:sz="8" w:color="808080"/>
              <w:bottom w:val="single" w:sz="8" w:color="808080"/>
            </w:tcBorders>
          </w:tcPr>
          <w:p>
            <w:pPr>
              <w:spacing w:after="0"/>
              <w:rPr>
                <w:sz w:val="19"/>
                <w:szCs w:val="19"/>
                <w:color w:val="auto"/>
              </w:rPr>
            </w:pPr>
          </w:p>
        </w:tc>
        <w:tc>
          <w:tcPr>
            <w:tcW w:w="600" w:type="dxa"/>
            <w:vAlign w:val="bottom"/>
            <w:tcBorders>
              <w:top w:val="single" w:sz="8" w:color="808080"/>
              <w:bottom w:val="single" w:sz="8" w:color="808080"/>
            </w:tcBorders>
          </w:tcPr>
          <w:p>
            <w:pPr>
              <w:jc w:val="right"/>
              <w:ind w:right="19"/>
              <w:spacing w:after="0"/>
              <w:rPr>
                <w:sz w:val="20"/>
                <w:szCs w:val="20"/>
                <w:color w:val="auto"/>
              </w:rPr>
            </w:pPr>
            <w:r>
              <w:rPr>
                <w:rFonts w:ascii="Arial" w:cs="Arial" w:eastAsia="Arial" w:hAnsi="Arial"/>
                <w:sz w:val="16"/>
                <w:szCs w:val="16"/>
                <w:b w:val="1"/>
                <w:bCs w:val="1"/>
                <w:i w:val="1"/>
                <w:iCs w:val="1"/>
                <w:color w:val="auto"/>
              </w:rPr>
              <w:t>2017</w:t>
            </w:r>
          </w:p>
        </w:tc>
        <w:tc>
          <w:tcPr>
            <w:tcW w:w="260" w:type="dxa"/>
            <w:vAlign w:val="bottom"/>
            <w:tcBorders>
              <w:top w:val="single" w:sz="8" w:color="808080"/>
              <w:bottom w:val="single" w:sz="8" w:color="808080"/>
            </w:tcBorders>
          </w:tcPr>
          <w:p>
            <w:pPr>
              <w:spacing w:after="0"/>
              <w:rPr>
                <w:sz w:val="19"/>
                <w:szCs w:val="19"/>
                <w:color w:val="auto"/>
              </w:rPr>
            </w:pPr>
          </w:p>
        </w:tc>
        <w:tc>
          <w:tcPr>
            <w:tcW w:w="5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6"/>
                <w:szCs w:val="16"/>
                <w:i w:val="1"/>
                <w:iCs w:val="1"/>
                <w:color w:val="auto"/>
              </w:rPr>
              <w:t>2016</w:t>
            </w:r>
          </w:p>
        </w:tc>
      </w:tr>
      <w:tr>
        <w:trPr>
          <w:trHeight w:val="230"/>
        </w:trPr>
        <w:tc>
          <w:tcPr>
            <w:tcW w:w="4680" w:type="dxa"/>
            <w:vAlign w:val="bottom"/>
            <w:shd w:val="clear" w:color="auto" w:fill="CCEEFF"/>
          </w:tcPr>
          <w:p>
            <w:pPr>
              <w:spacing w:after="0"/>
              <w:rPr>
                <w:sz w:val="20"/>
                <w:szCs w:val="20"/>
                <w:color w:val="auto"/>
              </w:rPr>
            </w:pPr>
            <w:r>
              <w:rPr>
                <w:rFonts w:ascii="Arial" w:cs="Arial" w:eastAsia="Arial" w:hAnsi="Arial"/>
                <w:sz w:val="16"/>
                <w:szCs w:val="16"/>
                <w:color w:val="auto"/>
              </w:rPr>
              <w:t>Increase/(decrease) in operating income</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61</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w:t>
            </w:r>
          </w:p>
        </w:tc>
        <w:tc>
          <w:tcPr>
            <w:tcW w:w="220" w:type="dxa"/>
            <w:vAlign w:val="bottom"/>
            <w:shd w:val="clear" w:color="auto" w:fill="CCEEFF"/>
          </w:tcPr>
          <w:p>
            <w:pPr>
              <w:ind w:left="80"/>
              <w:spacing w:after="0"/>
              <w:rPr>
                <w:sz w:val="20"/>
                <w:szCs w:val="20"/>
                <w:color w:val="auto"/>
              </w:rPr>
            </w:pPr>
            <w:r>
              <w:rPr>
                <w:rFonts w:ascii="Arial" w:cs="Arial" w:eastAsia="Arial" w:hAnsi="Arial"/>
                <w:sz w:val="16"/>
                <w:szCs w:val="16"/>
                <w:b w:val="1"/>
                <w:bCs w:val="1"/>
                <w:color w:val="auto"/>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49</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50"/>
        </w:trPr>
        <w:tc>
          <w:tcPr>
            <w:tcW w:w="4680" w:type="dxa"/>
            <w:vAlign w:val="bottom"/>
            <w:tcBorders>
              <w:bottom w:val="single" w:sz="8" w:color="808080"/>
            </w:tcBorders>
          </w:tcPr>
          <w:p>
            <w:pPr>
              <w:spacing w:after="0"/>
              <w:rPr>
                <w:sz w:val="20"/>
                <w:szCs w:val="20"/>
                <w:color w:val="auto"/>
              </w:rPr>
            </w:pPr>
            <w:r>
              <w:rPr>
                <w:rFonts w:ascii="Arial" w:cs="Arial" w:eastAsia="Arial" w:hAnsi="Arial"/>
                <w:sz w:val="16"/>
                <w:szCs w:val="16"/>
                <w:color w:val="auto"/>
              </w:rPr>
              <w:t>Increase/(decrease) in other income</w:t>
            </w:r>
          </w:p>
        </w:tc>
        <w:tc>
          <w:tcPr>
            <w:tcW w:w="200" w:type="dxa"/>
            <w:vAlign w:val="bottom"/>
            <w:tcBorders>
              <w:bottom w:val="single" w:sz="8" w:color="808080"/>
            </w:tcBorders>
          </w:tcPr>
          <w:p>
            <w:pPr>
              <w:spacing w:after="0"/>
              <w:rPr>
                <w:sz w:val="21"/>
                <w:szCs w:val="21"/>
                <w:color w:val="auto"/>
              </w:rPr>
            </w:pPr>
          </w:p>
        </w:tc>
        <w:tc>
          <w:tcPr>
            <w:tcW w:w="300" w:type="dxa"/>
            <w:vAlign w:val="bottom"/>
            <w:tcBorders>
              <w:bottom w:val="single" w:sz="8" w:color="7F7F7F"/>
            </w:tcBorders>
          </w:tcPr>
          <w:p>
            <w:pPr>
              <w:spacing w:after="0"/>
              <w:rPr>
                <w:sz w:val="21"/>
                <w:szCs w:val="21"/>
                <w:color w:val="auto"/>
              </w:rPr>
            </w:pPr>
          </w:p>
        </w:tc>
        <w:tc>
          <w:tcPr>
            <w:tcW w:w="1060" w:type="dxa"/>
            <w:vAlign w:val="bottom"/>
            <w:tcBorders>
              <w:bottom w:val="single" w:sz="8" w:color="7F7F7F"/>
            </w:tcBorders>
          </w:tcPr>
          <w:p>
            <w:pPr>
              <w:jc w:val="right"/>
              <w:spacing w:after="0"/>
              <w:rPr>
                <w:sz w:val="20"/>
                <w:szCs w:val="20"/>
                <w:color w:val="auto"/>
              </w:rPr>
            </w:pPr>
            <w:r>
              <w:rPr>
                <w:rFonts w:ascii="Arial" w:cs="Arial" w:eastAsia="Arial" w:hAnsi="Arial"/>
                <w:sz w:val="16"/>
                <w:szCs w:val="16"/>
                <w:b w:val="1"/>
                <w:bCs w:val="1"/>
                <w:color w:val="auto"/>
              </w:rPr>
              <w:t>(61)</w:t>
            </w:r>
          </w:p>
        </w:tc>
        <w:tc>
          <w:tcPr>
            <w:tcW w:w="40" w:type="dxa"/>
            <w:vAlign w:val="bottom"/>
            <w:tcBorders>
              <w:bottom w:val="single" w:sz="8" w:color="808080"/>
            </w:tcBorders>
          </w:tcPr>
          <w:p>
            <w:pPr>
              <w:spacing w:after="0"/>
              <w:rPr>
                <w:sz w:val="21"/>
                <w:szCs w:val="21"/>
                <w:color w:val="auto"/>
              </w:rPr>
            </w:pPr>
          </w:p>
        </w:tc>
        <w:tc>
          <w:tcPr>
            <w:tcW w:w="160" w:type="dxa"/>
            <w:vAlign w:val="bottom"/>
            <w:tcBorders>
              <w:bottom w:val="single" w:sz="8" w:color="808080"/>
            </w:tcBorders>
          </w:tcPr>
          <w:p>
            <w:pPr>
              <w:spacing w:after="0"/>
              <w:rPr>
                <w:sz w:val="21"/>
                <w:szCs w:val="21"/>
                <w:color w:val="auto"/>
              </w:rPr>
            </w:pPr>
          </w:p>
        </w:tc>
        <w:tc>
          <w:tcPr>
            <w:tcW w:w="6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8</w:t>
            </w:r>
          </w:p>
        </w:tc>
        <w:tc>
          <w:tcPr>
            <w:tcW w:w="160" w:type="dxa"/>
            <w:vAlign w:val="bottom"/>
            <w:tcBorders>
              <w:bottom w:val="single" w:sz="8" w:color="808080"/>
            </w:tcBorders>
          </w:tcPr>
          <w:p>
            <w:pPr>
              <w:spacing w:after="0"/>
              <w:rPr>
                <w:sz w:val="21"/>
                <w:szCs w:val="21"/>
                <w:color w:val="auto"/>
              </w:rPr>
            </w:pPr>
          </w:p>
        </w:tc>
        <w:tc>
          <w:tcPr>
            <w:tcW w:w="220" w:type="dxa"/>
            <w:vAlign w:val="bottom"/>
            <w:tcBorders>
              <w:bottom w:val="single" w:sz="8" w:color="7F7F7F"/>
            </w:tcBorders>
          </w:tcPr>
          <w:p>
            <w:pPr>
              <w:spacing w:after="0"/>
              <w:rPr>
                <w:sz w:val="21"/>
                <w:szCs w:val="21"/>
                <w:color w:val="auto"/>
              </w:rPr>
            </w:pPr>
          </w:p>
        </w:tc>
        <w:tc>
          <w:tcPr>
            <w:tcW w:w="600" w:type="dxa"/>
            <w:vAlign w:val="bottom"/>
            <w:tcBorders>
              <w:bottom w:val="single" w:sz="8" w:color="7F7F7F"/>
            </w:tcBorders>
          </w:tcPr>
          <w:p>
            <w:pPr>
              <w:jc w:val="right"/>
              <w:spacing w:after="0"/>
              <w:rPr>
                <w:sz w:val="20"/>
                <w:szCs w:val="20"/>
                <w:color w:val="auto"/>
              </w:rPr>
            </w:pPr>
            <w:r>
              <w:rPr>
                <w:rFonts w:ascii="Arial" w:cs="Arial" w:eastAsia="Arial" w:hAnsi="Arial"/>
                <w:sz w:val="16"/>
                <w:szCs w:val="16"/>
                <w:b w:val="1"/>
                <w:bCs w:val="1"/>
                <w:color w:val="auto"/>
              </w:rPr>
              <w:t>(49)</w:t>
            </w:r>
          </w:p>
        </w:tc>
        <w:tc>
          <w:tcPr>
            <w:tcW w:w="260" w:type="dxa"/>
            <w:vAlign w:val="bottom"/>
            <w:tcBorders>
              <w:bottom w:val="single" w:sz="8" w:color="7F7F7F"/>
            </w:tcBorders>
          </w:tcPr>
          <w:p>
            <w:pPr>
              <w:spacing w:after="0"/>
              <w:rPr>
                <w:sz w:val="21"/>
                <w:szCs w:val="21"/>
                <w:color w:val="auto"/>
              </w:rPr>
            </w:pPr>
          </w:p>
        </w:tc>
        <w:tc>
          <w:tcPr>
            <w:tcW w:w="5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24</w:t>
            </w:r>
          </w:p>
        </w:tc>
      </w:tr>
    </w:tbl>
    <w:p>
      <w:pPr>
        <w:spacing w:after="0" w:line="15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3. Workforce Reduction Plan</w:t>
      </w:r>
    </w:p>
    <w:p>
      <w:pPr>
        <w:spacing w:after="0" w:line="166" w:lineRule="exact"/>
        <w:rPr>
          <w:sz w:val="20"/>
          <w:szCs w:val="20"/>
          <w:color w:val="auto"/>
        </w:rPr>
      </w:pPr>
    </w:p>
    <w:p>
      <w:pPr>
        <w:jc w:val="both"/>
        <w:ind w:left="100" w:right="99"/>
        <w:spacing w:after="0" w:line="207" w:lineRule="auto"/>
        <w:rPr>
          <w:sz w:val="20"/>
          <w:szCs w:val="20"/>
          <w:color w:val="auto"/>
        </w:rPr>
      </w:pPr>
      <w:r>
        <w:rPr>
          <w:rFonts w:ascii="Arial" w:cs="Arial" w:eastAsia="Arial" w:hAnsi="Arial"/>
          <w:sz w:val="18"/>
          <w:szCs w:val="18"/>
          <w:color w:val="auto"/>
        </w:rPr>
        <w:t>On August 16, 2017, the Company approved and commenced a management and administrative personnel reorganization plan (the “Plan”) furthering its on-going efforts to increase efficiency and more effectively align Company resources. The Plan implemented productivity initiatives identified during a recently completed Company-wide organizational review that included the reduction of approximately 460 management positions and 150 agreement positions. An additional 100 agreement positions have been identified and will be eliminated throughout the remainder of 2017. The Plan resulted in a pretax charge recognized in the third quarter of 2017 within compensation and benefits expense in our Condensed Consolidated Statements of Income. This charge consisted of management employee termination benefits, including pension expenses, severance costs, and acceleration of equity compensation expense as shown in the table below. The actions associated with the Plan are substantially complete, and we do not expect to incur additional charges for the Plan in subsequent years.</w:t>
      </w:r>
    </w:p>
    <w:p>
      <w:pPr>
        <w:spacing w:after="0" w:line="164"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3740" w:type="dxa"/>
            <w:vAlign w:val="bottom"/>
            <w:tcBorders>
              <w:top w:val="single" w:sz="8" w:color="808080"/>
            </w:tcBorders>
          </w:tcPr>
          <w:p>
            <w:pPr>
              <w:spacing w:after="0"/>
              <w:rPr>
                <w:sz w:val="20"/>
                <w:szCs w:val="20"/>
                <w:color w:val="auto"/>
              </w:rPr>
            </w:pPr>
            <w:r>
              <w:rPr>
                <w:rFonts w:ascii="Arial" w:cs="Arial" w:eastAsia="Arial" w:hAnsi="Arial"/>
                <w:sz w:val="16"/>
                <w:szCs w:val="16"/>
                <w:i w:val="1"/>
                <w:iCs w:val="1"/>
                <w:color w:val="auto"/>
              </w:rPr>
              <w:t>Millions</w:t>
            </w:r>
          </w:p>
        </w:tc>
        <w:tc>
          <w:tcPr>
            <w:tcW w:w="1940" w:type="dxa"/>
            <w:vAlign w:val="bottom"/>
            <w:tcBorders>
              <w:top w:val="single" w:sz="8" w:color="808080"/>
            </w:tcBorders>
          </w:tcPr>
          <w:p>
            <w:pPr>
              <w:spacing w:after="0"/>
              <w:rPr>
                <w:sz w:val="18"/>
                <w:szCs w:val="18"/>
                <w:color w:val="auto"/>
              </w:rPr>
            </w:pPr>
          </w:p>
        </w:tc>
        <w:tc>
          <w:tcPr>
            <w:tcW w:w="40" w:type="dxa"/>
            <w:vAlign w:val="bottom"/>
            <w:tcBorders>
              <w:top w:val="single" w:sz="8" w:color="7F7F7F"/>
            </w:tcBorders>
          </w:tcPr>
          <w:p>
            <w:pPr>
              <w:spacing w:after="0"/>
              <w:rPr>
                <w:sz w:val="18"/>
                <w:szCs w:val="18"/>
                <w:color w:val="auto"/>
              </w:rPr>
            </w:pPr>
          </w:p>
        </w:tc>
        <w:tc>
          <w:tcPr>
            <w:tcW w:w="1420" w:type="dxa"/>
            <w:vAlign w:val="bottom"/>
            <w:tcBorders>
              <w:top w:val="single" w:sz="8" w:color="7F7F7F"/>
            </w:tcBorders>
          </w:tcPr>
          <w:p>
            <w:pPr>
              <w:jc w:val="right"/>
              <w:spacing w:after="0"/>
              <w:rPr>
                <w:sz w:val="20"/>
                <w:szCs w:val="20"/>
                <w:color w:val="auto"/>
              </w:rPr>
            </w:pPr>
            <w:r>
              <w:rPr>
                <w:rFonts w:ascii="Arial" w:cs="Arial" w:eastAsia="Arial" w:hAnsi="Arial"/>
                <w:sz w:val="16"/>
                <w:szCs w:val="16"/>
                <w:i w:val="1"/>
                <w:iCs w:val="1"/>
                <w:color w:val="auto"/>
              </w:rPr>
              <w:t>Compensation and</w:t>
            </w:r>
          </w:p>
        </w:tc>
        <w:tc>
          <w:tcPr>
            <w:tcW w:w="240" w:type="dxa"/>
            <w:vAlign w:val="bottom"/>
            <w:tcBorders>
              <w:top w:val="single" w:sz="8" w:color="808080"/>
            </w:tcBorders>
          </w:tcPr>
          <w:p>
            <w:pPr>
              <w:spacing w:after="0"/>
              <w:rPr>
                <w:sz w:val="18"/>
                <w:szCs w:val="18"/>
                <w:color w:val="auto"/>
              </w:rPr>
            </w:pPr>
          </w:p>
        </w:tc>
        <w:tc>
          <w:tcPr>
            <w:tcW w:w="144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740" w:type="dxa"/>
            <w:vAlign w:val="bottom"/>
          </w:tcPr>
          <w:p>
            <w:pPr>
              <w:spacing w:after="0"/>
              <w:rPr>
                <w:sz w:val="20"/>
                <w:szCs w:val="20"/>
                <w:color w:val="auto"/>
              </w:rPr>
            </w:pPr>
            <w:r>
              <w:rPr>
                <w:rFonts w:ascii="Arial" w:cs="Arial" w:eastAsia="Arial" w:hAnsi="Arial"/>
                <w:sz w:val="16"/>
                <w:szCs w:val="16"/>
                <w:i w:val="1"/>
                <w:iCs w:val="1"/>
                <w:color w:val="auto"/>
              </w:rPr>
              <w:t>As of September 30, 2017</w:t>
            </w:r>
          </w:p>
        </w:tc>
        <w:tc>
          <w:tcPr>
            <w:tcW w:w="1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vMerge w:val="restart"/>
          </w:tcPr>
          <w:p>
            <w:pPr>
              <w:jc w:val="right"/>
              <w:spacing w:after="0"/>
              <w:rPr>
                <w:sz w:val="20"/>
                <w:szCs w:val="20"/>
                <w:color w:val="auto"/>
              </w:rPr>
            </w:pPr>
            <w:r>
              <w:rPr>
                <w:rFonts w:ascii="Arial" w:cs="Arial" w:eastAsia="Arial" w:hAnsi="Arial"/>
                <w:sz w:val="16"/>
                <w:szCs w:val="16"/>
                <w:i w:val="1"/>
                <w:iCs w:val="1"/>
                <w:color w:val="auto"/>
              </w:rPr>
              <w:t>Benefits Expense</w:t>
            </w:r>
          </w:p>
        </w:tc>
        <w:tc>
          <w:tcPr>
            <w:tcW w:w="240" w:type="dxa"/>
            <w:vAlign w:val="bottom"/>
          </w:tcPr>
          <w:p>
            <w:pPr>
              <w:spacing w:after="0"/>
              <w:rPr>
                <w:sz w:val="18"/>
                <w:szCs w:val="18"/>
                <w:color w:val="auto"/>
              </w:rPr>
            </w:pPr>
          </w:p>
        </w:tc>
        <w:tc>
          <w:tcPr>
            <w:tcW w:w="1440" w:type="dxa"/>
            <w:vAlign w:val="bottom"/>
            <w:vMerge w:val="restart"/>
          </w:tcPr>
          <w:p>
            <w:pPr>
              <w:jc w:val="right"/>
              <w:spacing w:after="0"/>
              <w:rPr>
                <w:sz w:val="20"/>
                <w:szCs w:val="20"/>
                <w:color w:val="auto"/>
              </w:rPr>
            </w:pPr>
            <w:r>
              <w:rPr>
                <w:rFonts w:ascii="Arial" w:cs="Arial" w:eastAsia="Arial" w:hAnsi="Arial"/>
                <w:sz w:val="16"/>
                <w:szCs w:val="16"/>
                <w:i w:val="1"/>
                <w:iCs w:val="1"/>
                <w:color w:val="auto"/>
              </w:rPr>
              <w:t>Liability</w:t>
            </w:r>
          </w:p>
        </w:tc>
        <w:tc>
          <w:tcPr>
            <w:tcW w:w="0" w:type="dxa"/>
            <w:vAlign w:val="bottom"/>
          </w:tcPr>
          <w:p>
            <w:pPr>
              <w:spacing w:after="0"/>
              <w:rPr>
                <w:sz w:val="1"/>
                <w:szCs w:val="1"/>
                <w:color w:val="auto"/>
              </w:rPr>
            </w:pPr>
          </w:p>
        </w:tc>
      </w:tr>
      <w:tr>
        <w:trPr>
          <w:trHeight w:val="39"/>
        </w:trPr>
        <w:tc>
          <w:tcPr>
            <w:tcW w:w="3740" w:type="dxa"/>
            <w:vAlign w:val="bottom"/>
            <w:tcBorders>
              <w:bottom w:val="single" w:sz="8" w:color="7F7F7F"/>
            </w:tcBorders>
          </w:tcPr>
          <w:p>
            <w:pPr>
              <w:spacing w:after="0"/>
              <w:rPr>
                <w:sz w:val="3"/>
                <w:szCs w:val="3"/>
                <w:color w:val="auto"/>
              </w:rPr>
            </w:pPr>
          </w:p>
        </w:tc>
        <w:tc>
          <w:tcPr>
            <w:tcW w:w="1940" w:type="dxa"/>
            <w:vAlign w:val="bottom"/>
            <w:tcBorders>
              <w:bottom w:val="single" w:sz="8" w:color="7F7F7F"/>
            </w:tcBorders>
          </w:tcPr>
          <w:p>
            <w:pPr>
              <w:spacing w:after="0"/>
              <w:rPr>
                <w:sz w:val="3"/>
                <w:szCs w:val="3"/>
                <w:color w:val="auto"/>
              </w:rPr>
            </w:pPr>
          </w:p>
        </w:tc>
        <w:tc>
          <w:tcPr>
            <w:tcW w:w="40" w:type="dxa"/>
            <w:vAlign w:val="bottom"/>
            <w:tcBorders>
              <w:bottom w:val="single" w:sz="8" w:color="7F7F7F"/>
            </w:tcBorders>
          </w:tcPr>
          <w:p>
            <w:pPr>
              <w:spacing w:after="0"/>
              <w:rPr>
                <w:sz w:val="3"/>
                <w:szCs w:val="3"/>
                <w:color w:val="auto"/>
              </w:rPr>
            </w:pPr>
          </w:p>
        </w:tc>
        <w:tc>
          <w:tcPr>
            <w:tcW w:w="1420" w:type="dxa"/>
            <w:vAlign w:val="bottom"/>
            <w:tcBorders>
              <w:bottom w:val="single" w:sz="8" w:color="7F7F7F"/>
            </w:tcBorders>
            <w:vMerge w:val="continue"/>
          </w:tcPr>
          <w:p>
            <w:pPr>
              <w:spacing w:after="0"/>
              <w:rPr>
                <w:sz w:val="3"/>
                <w:szCs w:val="3"/>
                <w:color w:val="auto"/>
              </w:rPr>
            </w:pPr>
          </w:p>
        </w:tc>
        <w:tc>
          <w:tcPr>
            <w:tcW w:w="240" w:type="dxa"/>
            <w:vAlign w:val="bottom"/>
            <w:tcBorders>
              <w:bottom w:val="single" w:sz="8" w:color="7F7F7F"/>
            </w:tcBorders>
          </w:tcPr>
          <w:p>
            <w:pPr>
              <w:spacing w:after="0"/>
              <w:rPr>
                <w:sz w:val="3"/>
                <w:szCs w:val="3"/>
                <w:color w:val="auto"/>
              </w:rPr>
            </w:pPr>
          </w:p>
        </w:tc>
        <w:tc>
          <w:tcPr>
            <w:tcW w:w="1440" w:type="dxa"/>
            <w:vAlign w:val="bottom"/>
            <w:tcBorders>
              <w:bottom w:val="single" w:sz="8" w:color="7F7F7F"/>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spacing w:after="0"/>
              <w:rPr>
                <w:sz w:val="20"/>
                <w:szCs w:val="20"/>
                <w:color w:val="auto"/>
              </w:rPr>
            </w:pPr>
            <w:r>
              <w:rPr>
                <w:rFonts w:ascii="Arial" w:cs="Arial" w:eastAsia="Arial" w:hAnsi="Arial"/>
                <w:sz w:val="16"/>
                <w:szCs w:val="16"/>
                <w:color w:val="auto"/>
              </w:rPr>
              <w:t>Pension</w:t>
            </w:r>
          </w:p>
        </w:tc>
        <w:tc>
          <w:tcPr>
            <w:tcW w:w="1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3"/>
        </w:trPr>
        <w:tc>
          <w:tcPr>
            <w:tcW w:w="3740" w:type="dxa"/>
            <w:vAlign w:val="bottom"/>
          </w:tcPr>
          <w:p>
            <w:pPr>
              <w:spacing w:after="0"/>
              <w:rPr>
                <w:sz w:val="20"/>
                <w:szCs w:val="20"/>
                <w:color w:val="auto"/>
              </w:rPr>
            </w:pPr>
            <w:r>
              <w:rPr>
                <w:rFonts w:ascii="Arial" w:cs="Arial" w:eastAsia="Arial" w:hAnsi="Arial"/>
                <w:sz w:val="16"/>
                <w:szCs w:val="16"/>
                <w:color w:val="auto"/>
              </w:rPr>
              <w:t>Severance</w:t>
            </w:r>
          </w:p>
        </w:tc>
        <w:tc>
          <w:tcPr>
            <w:tcW w:w="1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26"/>
        </w:trPr>
        <w:tc>
          <w:tcPr>
            <w:tcW w:w="3740" w:type="dxa"/>
            <w:vAlign w:val="bottom"/>
            <w:tcBorders>
              <w:bottom w:val="single" w:sz="8" w:color="808080"/>
            </w:tcBorders>
            <w:shd w:val="clear" w:color="auto" w:fill="CCEEFF"/>
          </w:tcPr>
          <w:p>
            <w:pPr>
              <w:spacing w:after="0"/>
              <w:rPr>
                <w:sz w:val="20"/>
                <w:szCs w:val="20"/>
                <w:color w:val="auto"/>
              </w:rPr>
            </w:pPr>
            <w:r>
              <w:rPr>
                <w:rFonts w:ascii="Arial" w:cs="Arial" w:eastAsia="Arial" w:hAnsi="Arial"/>
                <w:sz w:val="16"/>
                <w:szCs w:val="16"/>
                <w:color w:val="auto"/>
              </w:rPr>
              <w:t>Equity Compensation</w:t>
            </w:r>
          </w:p>
        </w:tc>
        <w:tc>
          <w:tcPr>
            <w:tcW w:w="1940" w:type="dxa"/>
            <w:vAlign w:val="bottom"/>
            <w:tcBorders>
              <w:bottom w:val="single" w:sz="8" w:color="808080"/>
            </w:tcBorders>
            <w:shd w:val="clear" w:color="auto" w:fill="CCEEFF"/>
          </w:tcPr>
          <w:p>
            <w:pPr>
              <w:spacing w:after="0"/>
              <w:rPr>
                <w:sz w:val="19"/>
                <w:szCs w:val="19"/>
                <w:color w:val="auto"/>
              </w:rPr>
            </w:pPr>
          </w:p>
        </w:tc>
        <w:tc>
          <w:tcPr>
            <w:tcW w:w="40" w:type="dxa"/>
            <w:vAlign w:val="bottom"/>
            <w:tcBorders>
              <w:bottom w:val="single" w:sz="8" w:color="808080"/>
            </w:tcBorders>
            <w:shd w:val="clear" w:color="auto" w:fill="CCEEFF"/>
          </w:tcPr>
          <w:p>
            <w:pPr>
              <w:spacing w:after="0"/>
              <w:rPr>
                <w:sz w:val="19"/>
                <w:szCs w:val="19"/>
                <w:color w:val="auto"/>
              </w:rPr>
            </w:pPr>
          </w:p>
        </w:tc>
        <w:tc>
          <w:tcPr>
            <w:tcW w:w="1420" w:type="dxa"/>
            <w:vAlign w:val="bottom"/>
            <w:tcBorders>
              <w:bottom w:val="single" w:sz="8" w:color="808080"/>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40" w:type="dxa"/>
            <w:vAlign w:val="bottom"/>
            <w:tcBorders>
              <w:bottom w:val="single" w:sz="8" w:color="808080"/>
            </w:tcBorders>
            <w:shd w:val="clear" w:color="auto" w:fill="CCEEFF"/>
          </w:tcPr>
          <w:p>
            <w:pPr>
              <w:spacing w:after="0"/>
              <w:rPr>
                <w:sz w:val="19"/>
                <w:szCs w:val="19"/>
                <w:color w:val="auto"/>
              </w:rPr>
            </w:pPr>
          </w:p>
        </w:tc>
        <w:tc>
          <w:tcPr>
            <w:tcW w:w="1440" w:type="dxa"/>
            <w:vAlign w:val="bottom"/>
            <w:tcBorders>
              <w:bottom w:val="single" w:sz="8" w:color="808080"/>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3740" w:type="dxa"/>
            <w:vAlign w:val="bottom"/>
          </w:tcPr>
          <w:p>
            <w:pPr>
              <w:spacing w:after="0"/>
              <w:rPr>
                <w:sz w:val="20"/>
                <w:szCs w:val="20"/>
                <w:color w:val="auto"/>
              </w:rPr>
            </w:pPr>
            <w:r>
              <w:rPr>
                <w:rFonts w:ascii="Arial" w:cs="Arial" w:eastAsia="Arial" w:hAnsi="Arial"/>
                <w:sz w:val="16"/>
                <w:szCs w:val="16"/>
                <w:color w:val="auto"/>
              </w:rPr>
              <w:t>Total</w:t>
            </w:r>
          </w:p>
        </w:tc>
        <w:tc>
          <w:tcPr>
            <w:tcW w:w="19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84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67"/>
        </w:trPr>
        <w:tc>
          <w:tcPr>
            <w:tcW w:w="3740" w:type="dxa"/>
            <w:vAlign w:val="bottom"/>
            <w:tcBorders>
              <w:bottom w:val="single" w:sz="8" w:color="808080"/>
            </w:tcBorders>
          </w:tcPr>
          <w:p>
            <w:pPr>
              <w:spacing w:after="0"/>
              <w:rPr>
                <w:sz w:val="5"/>
                <w:szCs w:val="5"/>
                <w:color w:val="auto"/>
              </w:rPr>
            </w:pPr>
          </w:p>
        </w:tc>
        <w:tc>
          <w:tcPr>
            <w:tcW w:w="1940" w:type="dxa"/>
            <w:vAlign w:val="bottom"/>
            <w:tcBorders>
              <w:bottom w:val="single" w:sz="8" w:color="808080"/>
            </w:tcBorders>
          </w:tcPr>
          <w:p>
            <w:pPr>
              <w:spacing w:after="0"/>
              <w:rPr>
                <w:sz w:val="5"/>
                <w:szCs w:val="5"/>
                <w:color w:val="auto"/>
              </w:rPr>
            </w:pPr>
          </w:p>
        </w:tc>
        <w:tc>
          <w:tcPr>
            <w:tcW w:w="40" w:type="dxa"/>
            <w:vAlign w:val="bottom"/>
            <w:tcBorders>
              <w:bottom w:val="single" w:sz="8" w:color="7F7F7F"/>
            </w:tcBorders>
          </w:tcPr>
          <w:p>
            <w:pPr>
              <w:spacing w:after="0"/>
              <w:rPr>
                <w:sz w:val="5"/>
                <w:szCs w:val="5"/>
                <w:color w:val="auto"/>
              </w:rPr>
            </w:pPr>
          </w:p>
        </w:tc>
        <w:tc>
          <w:tcPr>
            <w:tcW w:w="1420" w:type="dxa"/>
            <w:vAlign w:val="bottom"/>
            <w:tcBorders>
              <w:bottom w:val="single" w:sz="8" w:color="7F7F7F"/>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1440" w:type="dxa"/>
            <w:vAlign w:val="bottom"/>
            <w:tcBorders>
              <w:bottom w:val="single" w:sz="8" w:color="7F7F7F"/>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45085</wp:posOffset>
            </wp:positionV>
            <wp:extent cx="5642610"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9" w:name="page10"/>
    <w:bookmarkEnd w:id="9"/>
    <w:p>
      <w:pPr>
        <w:ind w:left="10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4. Operations and Segmentation</w:t>
      </w:r>
    </w:p>
    <w:p>
      <w:pPr>
        <w:spacing w:after="0" w:line="166" w:lineRule="exact"/>
        <w:rPr>
          <w:sz w:val="20"/>
          <w:szCs w:val="20"/>
          <w:color w:val="auto"/>
        </w:rPr>
      </w:pPr>
    </w:p>
    <w:p>
      <w:pPr>
        <w:jc w:val="both"/>
        <w:ind w:left="100" w:right="99"/>
        <w:spacing w:after="0" w:line="215" w:lineRule="auto"/>
        <w:rPr>
          <w:sz w:val="20"/>
          <w:szCs w:val="20"/>
          <w:color w:val="auto"/>
        </w:rPr>
      </w:pPr>
      <w:r>
        <w:rPr>
          <w:rFonts w:ascii="Arial" w:cs="Arial" w:eastAsia="Arial" w:hAnsi="Arial"/>
          <w:sz w:val="18"/>
          <w:szCs w:val="18"/>
          <w:color w:val="auto"/>
        </w:rPr>
        <w:t>The Railroad, along with its subsidiaries and rail affiliates, is our one reportable operating segment. Although we provide and analyze revenue by commodity group, we treat the financial results of the Railroad as one segment due to the integrated nature of our rail network. The following table provides freight revenue by commodity group:</w:t>
      </w:r>
    </w:p>
    <w:p>
      <w:pPr>
        <w:spacing w:after="0" w:line="171" w:lineRule="exact"/>
        <w:rPr>
          <w:sz w:val="20"/>
          <w:szCs w:val="20"/>
          <w:color w:val="auto"/>
        </w:rPr>
      </w:pPr>
    </w:p>
    <w:tbl>
      <w:tblPr>
        <w:tblLayout w:type="fixed"/>
        <w:tblInd w:w="100" w:type="dxa"/>
        <w:tblCellMar>
          <w:top w:w="0" w:type="dxa"/>
          <w:left w:w="0" w:type="dxa"/>
          <w:bottom w:w="0" w:type="dxa"/>
          <w:right w:w="0" w:type="dxa"/>
        </w:tblCellMar>
      </w:tblPr>
      <w:tr>
        <w:trPr>
          <w:trHeight w:val="189"/>
        </w:trPr>
        <w:tc>
          <w:tcPr>
            <w:tcW w:w="5560" w:type="dxa"/>
            <w:vAlign w:val="bottom"/>
            <w:tcBorders>
              <w:top w:val="single" w:sz="8" w:color="7F7F7F"/>
            </w:tcBorders>
          </w:tcPr>
          <w:p>
            <w:pPr>
              <w:spacing w:after="0"/>
              <w:rPr>
                <w:sz w:val="16"/>
                <w:szCs w:val="16"/>
                <w:color w:val="auto"/>
              </w:rPr>
            </w:pPr>
          </w:p>
        </w:tc>
        <w:tc>
          <w:tcPr>
            <w:tcW w:w="180" w:type="dxa"/>
            <w:vAlign w:val="bottom"/>
            <w:tcBorders>
              <w:top w:val="single" w:sz="8" w:color="7F7F7F"/>
            </w:tcBorders>
          </w:tcPr>
          <w:p>
            <w:pPr>
              <w:spacing w:after="0"/>
              <w:rPr>
                <w:sz w:val="16"/>
                <w:szCs w:val="16"/>
                <w:color w:val="auto"/>
              </w:rPr>
            </w:pPr>
          </w:p>
        </w:tc>
        <w:tc>
          <w:tcPr>
            <w:tcW w:w="1300" w:type="dxa"/>
            <w:vAlign w:val="bottom"/>
            <w:tcBorders>
              <w:top w:val="single" w:sz="8" w:color="7F7F7F"/>
            </w:tcBorders>
            <w:gridSpan w:val="3"/>
          </w:tcPr>
          <w:p>
            <w:pPr>
              <w:jc w:val="center"/>
              <w:ind w:right="99"/>
              <w:spacing w:after="0"/>
              <w:rPr>
                <w:sz w:val="20"/>
                <w:szCs w:val="20"/>
                <w:color w:val="auto"/>
              </w:rPr>
            </w:pPr>
            <w:r>
              <w:rPr>
                <w:rFonts w:ascii="Arial" w:cs="Arial" w:eastAsia="Arial" w:hAnsi="Arial"/>
                <w:sz w:val="16"/>
                <w:szCs w:val="16"/>
                <w:i w:val="1"/>
                <w:iCs w:val="1"/>
                <w:color w:val="auto"/>
              </w:rPr>
              <w:t>Three Months</w:t>
            </w:r>
          </w:p>
        </w:tc>
        <w:tc>
          <w:tcPr>
            <w:tcW w:w="180" w:type="dxa"/>
            <w:vAlign w:val="bottom"/>
            <w:tcBorders>
              <w:top w:val="single" w:sz="8" w:color="808080"/>
            </w:tcBorders>
          </w:tcPr>
          <w:p>
            <w:pPr>
              <w:spacing w:after="0"/>
              <w:rPr>
                <w:sz w:val="16"/>
                <w:szCs w:val="16"/>
                <w:color w:val="auto"/>
              </w:rPr>
            </w:pPr>
          </w:p>
        </w:tc>
        <w:tc>
          <w:tcPr>
            <w:tcW w:w="1600" w:type="dxa"/>
            <w:vAlign w:val="bottom"/>
            <w:tcBorders>
              <w:top w:val="single" w:sz="8" w:color="808080"/>
            </w:tcBorders>
            <w:gridSpan w:val="4"/>
            <w:vMerge w:val="restart"/>
          </w:tcPr>
          <w:p>
            <w:pPr>
              <w:ind w:left="80"/>
              <w:spacing w:after="0"/>
              <w:rPr>
                <w:sz w:val="20"/>
                <w:szCs w:val="20"/>
                <w:color w:val="auto"/>
              </w:rPr>
            </w:pPr>
            <w:r>
              <w:rPr>
                <w:rFonts w:ascii="Arial" w:cs="Arial" w:eastAsia="Arial" w:hAnsi="Arial"/>
                <w:sz w:val="16"/>
                <w:szCs w:val="16"/>
                <w:i w:val="1"/>
                <w:iCs w:val="1"/>
                <w:color w:val="auto"/>
              </w:rPr>
              <w:t>Nine Months Ended</w:t>
            </w:r>
          </w:p>
        </w:tc>
        <w:tc>
          <w:tcPr>
            <w:tcW w:w="0" w:type="dxa"/>
            <w:vAlign w:val="bottom"/>
          </w:tcPr>
          <w:p>
            <w:pPr>
              <w:spacing w:after="0"/>
              <w:rPr>
                <w:sz w:val="1"/>
                <w:szCs w:val="1"/>
                <w:color w:val="auto"/>
              </w:rPr>
            </w:pPr>
          </w:p>
        </w:tc>
      </w:tr>
      <w:tr>
        <w:trPr>
          <w:trHeight w:val="202"/>
        </w:trPr>
        <w:tc>
          <w:tcPr>
            <w:tcW w:w="5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center"/>
              <w:ind w:left="219"/>
              <w:spacing w:after="0"/>
              <w:rPr>
                <w:sz w:val="20"/>
                <w:szCs w:val="20"/>
                <w:color w:val="auto"/>
              </w:rPr>
            </w:pPr>
            <w:r>
              <w:rPr>
                <w:rFonts w:ascii="Arial" w:cs="Arial" w:eastAsia="Arial" w:hAnsi="Arial"/>
                <w:sz w:val="16"/>
                <w:szCs w:val="16"/>
                <w:i w:val="1"/>
                <w:iCs w:val="1"/>
                <w:color w:val="auto"/>
              </w:rPr>
              <w:t>Ended</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560" w:type="dxa"/>
            <w:vAlign w:val="bottom"/>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1300" w:type="dxa"/>
            <w:vAlign w:val="bottom"/>
            <w:tcBorders>
              <w:bottom w:val="single" w:sz="8" w:color="808080"/>
            </w:tcBorders>
            <w:gridSpan w:val="3"/>
          </w:tcPr>
          <w:p>
            <w:pPr>
              <w:jc w:val="center"/>
              <w:ind w:right="119"/>
              <w:spacing w:after="0"/>
              <w:rPr>
                <w:sz w:val="20"/>
                <w:szCs w:val="20"/>
                <w:color w:val="auto"/>
              </w:rPr>
            </w:pPr>
            <w:r>
              <w:rPr>
                <w:rFonts w:ascii="Arial" w:cs="Arial" w:eastAsia="Arial" w:hAnsi="Arial"/>
                <w:sz w:val="16"/>
                <w:szCs w:val="16"/>
                <w:i w:val="1"/>
                <w:iCs w:val="1"/>
                <w:color w:val="auto"/>
              </w:rPr>
              <w:t>September 30,</w:t>
            </w:r>
          </w:p>
        </w:tc>
        <w:tc>
          <w:tcPr>
            <w:tcW w:w="180" w:type="dxa"/>
            <w:vAlign w:val="bottom"/>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1380" w:type="dxa"/>
            <w:vAlign w:val="bottom"/>
            <w:tcBorders>
              <w:bottom w:val="single" w:sz="8" w:color="808080"/>
            </w:tcBorders>
            <w:gridSpan w:val="3"/>
          </w:tcPr>
          <w:p>
            <w:pPr>
              <w:jc w:val="right"/>
              <w:ind w:right="179"/>
              <w:spacing w:after="0"/>
              <w:rPr>
                <w:sz w:val="20"/>
                <w:szCs w:val="20"/>
                <w:color w:val="auto"/>
              </w:rPr>
            </w:pPr>
            <w:r>
              <w:rPr>
                <w:rFonts w:ascii="Arial" w:cs="Arial" w:eastAsia="Arial" w:hAnsi="Arial"/>
                <w:sz w:val="16"/>
                <w:szCs w:val="16"/>
                <w:i w:val="1"/>
                <w:iCs w:val="1"/>
                <w:color w:val="auto"/>
              </w:rPr>
              <w:t>September 30,</w:t>
            </w:r>
          </w:p>
        </w:tc>
        <w:tc>
          <w:tcPr>
            <w:tcW w:w="0" w:type="dxa"/>
            <w:vAlign w:val="bottom"/>
          </w:tcPr>
          <w:p>
            <w:pPr>
              <w:spacing w:after="0"/>
              <w:rPr>
                <w:sz w:val="1"/>
                <w:szCs w:val="1"/>
                <w:color w:val="auto"/>
              </w:rPr>
            </w:pPr>
          </w:p>
        </w:tc>
      </w:tr>
      <w:tr>
        <w:trPr>
          <w:trHeight w:val="196"/>
        </w:trPr>
        <w:tc>
          <w:tcPr>
            <w:tcW w:w="5560" w:type="dxa"/>
            <w:vAlign w:val="bottom"/>
            <w:tcBorders>
              <w:bottom w:val="single" w:sz="8" w:color="7F7F7F"/>
            </w:tcBorders>
          </w:tcPr>
          <w:p>
            <w:pPr>
              <w:spacing w:after="0"/>
              <w:rPr>
                <w:sz w:val="20"/>
                <w:szCs w:val="20"/>
                <w:color w:val="auto"/>
              </w:rPr>
            </w:pPr>
            <w:r>
              <w:rPr>
                <w:rFonts w:ascii="Arial" w:cs="Arial" w:eastAsia="Arial" w:hAnsi="Arial"/>
                <w:sz w:val="16"/>
                <w:szCs w:val="16"/>
                <w:i w:val="1"/>
                <w:iCs w:val="1"/>
                <w:color w:val="auto"/>
              </w:rPr>
              <w:t>Millions</w:t>
            </w:r>
          </w:p>
        </w:tc>
        <w:tc>
          <w:tcPr>
            <w:tcW w:w="180" w:type="dxa"/>
            <w:vAlign w:val="bottom"/>
            <w:tcBorders>
              <w:bottom w:val="single" w:sz="8" w:color="7F7F7F"/>
            </w:tcBorders>
          </w:tcPr>
          <w:p>
            <w:pPr>
              <w:spacing w:after="0"/>
              <w:rPr>
                <w:sz w:val="17"/>
                <w:szCs w:val="17"/>
                <w:color w:val="auto"/>
              </w:rPr>
            </w:pPr>
          </w:p>
        </w:tc>
        <w:tc>
          <w:tcPr>
            <w:tcW w:w="580" w:type="dxa"/>
            <w:vAlign w:val="bottom"/>
            <w:tcBorders>
              <w:bottom w:val="single" w:sz="8" w:color="7F7F7F"/>
            </w:tcBorders>
          </w:tcPr>
          <w:p>
            <w:pPr>
              <w:jc w:val="right"/>
              <w:spacing w:after="0"/>
              <w:rPr>
                <w:sz w:val="20"/>
                <w:szCs w:val="20"/>
                <w:color w:val="auto"/>
              </w:rPr>
            </w:pPr>
            <w:r>
              <w:rPr>
                <w:rFonts w:ascii="Arial" w:cs="Arial" w:eastAsia="Arial" w:hAnsi="Arial"/>
                <w:sz w:val="16"/>
                <w:szCs w:val="16"/>
                <w:b w:val="1"/>
                <w:bCs w:val="1"/>
                <w:i w:val="1"/>
                <w:iCs w:val="1"/>
                <w:color w:val="auto"/>
              </w:rPr>
              <w:t>2017</w:t>
            </w:r>
          </w:p>
        </w:tc>
        <w:tc>
          <w:tcPr>
            <w:tcW w:w="240" w:type="dxa"/>
            <w:vAlign w:val="bottom"/>
            <w:tcBorders>
              <w:bottom w:val="single" w:sz="8" w:color="7F7F7F"/>
            </w:tcBorders>
          </w:tcPr>
          <w:p>
            <w:pPr>
              <w:spacing w:after="0"/>
              <w:rPr>
                <w:sz w:val="17"/>
                <w:szCs w:val="17"/>
                <w:color w:val="auto"/>
              </w:rPr>
            </w:pPr>
          </w:p>
        </w:tc>
        <w:tc>
          <w:tcPr>
            <w:tcW w:w="48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2016</w:t>
            </w:r>
          </w:p>
        </w:tc>
        <w:tc>
          <w:tcPr>
            <w:tcW w:w="18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600" w:type="dxa"/>
            <w:vAlign w:val="bottom"/>
            <w:tcBorders>
              <w:bottom w:val="single" w:sz="8" w:color="808080"/>
            </w:tcBorders>
          </w:tcPr>
          <w:p>
            <w:pPr>
              <w:jc w:val="right"/>
              <w:spacing w:after="0"/>
              <w:rPr>
                <w:sz w:val="20"/>
                <w:szCs w:val="20"/>
                <w:color w:val="auto"/>
              </w:rPr>
            </w:pPr>
            <w:r>
              <w:rPr>
                <w:rFonts w:ascii="Arial" w:cs="Arial" w:eastAsia="Arial" w:hAnsi="Arial"/>
                <w:sz w:val="16"/>
                <w:szCs w:val="16"/>
                <w:b w:val="1"/>
                <w:bCs w:val="1"/>
                <w:i w:val="1"/>
                <w:iCs w:val="1"/>
                <w:color w:val="auto"/>
              </w:rPr>
              <w:t>2017</w:t>
            </w:r>
          </w:p>
        </w:tc>
        <w:tc>
          <w:tcPr>
            <w:tcW w:w="200" w:type="dxa"/>
            <w:vAlign w:val="bottom"/>
            <w:tcBorders>
              <w:bottom w:val="single" w:sz="8" w:color="808080"/>
            </w:tcBorders>
          </w:tcPr>
          <w:p>
            <w:pPr>
              <w:spacing w:after="0"/>
              <w:rPr>
                <w:sz w:val="17"/>
                <w:szCs w:val="17"/>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6"/>
                <w:szCs w:val="16"/>
                <w:i w:val="1"/>
                <w:iCs w:val="1"/>
                <w:color w:val="auto"/>
              </w:rPr>
              <w:t>2016</w:t>
            </w:r>
          </w:p>
        </w:tc>
        <w:tc>
          <w:tcPr>
            <w:tcW w:w="0" w:type="dxa"/>
            <w:vAlign w:val="bottom"/>
          </w:tcPr>
          <w:p>
            <w:pPr>
              <w:spacing w:after="0"/>
              <w:rPr>
                <w:sz w:val="1"/>
                <w:szCs w:val="1"/>
                <w:color w:val="auto"/>
              </w:rPr>
            </w:pPr>
          </w:p>
        </w:tc>
      </w:tr>
      <w:tr>
        <w:trPr>
          <w:trHeight w:val="203"/>
        </w:trPr>
        <w:tc>
          <w:tcPr>
            <w:tcW w:w="5560" w:type="dxa"/>
            <w:vAlign w:val="bottom"/>
            <w:shd w:val="clear" w:color="auto" w:fill="CCEEFF"/>
          </w:tcPr>
          <w:p>
            <w:pPr>
              <w:spacing w:after="0"/>
              <w:rPr>
                <w:sz w:val="20"/>
                <w:szCs w:val="20"/>
                <w:color w:val="auto"/>
              </w:rPr>
            </w:pPr>
            <w:r>
              <w:rPr>
                <w:rFonts w:ascii="Arial" w:cs="Arial" w:eastAsia="Arial" w:hAnsi="Arial"/>
                <w:sz w:val="16"/>
                <w:szCs w:val="16"/>
                <w:color w:val="auto"/>
              </w:rPr>
              <w:t>Agricultural Products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914</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937</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6"/>
                <w:szCs w:val="16"/>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2,763</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2,664</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6"/>
                <w:szCs w:val="16"/>
                <w:color w:val="auto"/>
              </w:rPr>
              <w:t>Automotive</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469</w:t>
            </w: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485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1,486</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1,483</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6"/>
                <w:szCs w:val="16"/>
                <w:color w:val="auto"/>
              </w:rPr>
              <w:t>Chemicals</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896</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2,679</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2,617</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6"/>
                <w:szCs w:val="16"/>
                <w:color w:val="auto"/>
              </w:rPr>
              <w:t>Coal</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711</w:t>
            </w: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728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1,978</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1,741</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6"/>
                <w:szCs w:val="16"/>
                <w:color w:val="auto"/>
              </w:rPr>
              <w:t>Industrial Products</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1,079</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3,016</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2,519</w:t>
            </w:r>
          </w:p>
        </w:tc>
        <w:tc>
          <w:tcPr>
            <w:tcW w:w="0" w:type="dxa"/>
            <w:vAlign w:val="bottom"/>
          </w:tcPr>
          <w:p>
            <w:pPr>
              <w:spacing w:after="0"/>
              <w:rPr>
                <w:sz w:val="1"/>
                <w:szCs w:val="1"/>
                <w:color w:val="auto"/>
              </w:rPr>
            </w:pPr>
          </w:p>
        </w:tc>
      </w:tr>
      <w:tr>
        <w:trPr>
          <w:trHeight w:val="210"/>
        </w:trPr>
        <w:tc>
          <w:tcPr>
            <w:tcW w:w="556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Intermodal</w:t>
            </w:r>
          </w:p>
        </w:tc>
        <w:tc>
          <w:tcPr>
            <w:tcW w:w="180" w:type="dxa"/>
            <w:vAlign w:val="bottom"/>
            <w:tcBorders>
              <w:bottom w:val="single" w:sz="8" w:color="7F7F7F"/>
            </w:tcBorders>
          </w:tcPr>
          <w:p>
            <w:pPr>
              <w:spacing w:after="0"/>
              <w:rPr>
                <w:sz w:val="18"/>
                <w:szCs w:val="18"/>
                <w:color w:val="auto"/>
              </w:rPr>
            </w:pPr>
          </w:p>
        </w:tc>
        <w:tc>
          <w:tcPr>
            <w:tcW w:w="580" w:type="dxa"/>
            <w:vAlign w:val="bottom"/>
            <w:tcBorders>
              <w:bottom w:val="single" w:sz="8" w:color="7F7F7F"/>
            </w:tcBorders>
          </w:tcPr>
          <w:p>
            <w:pPr>
              <w:jc w:val="right"/>
              <w:spacing w:after="0"/>
              <w:rPr>
                <w:sz w:val="20"/>
                <w:szCs w:val="20"/>
                <w:color w:val="auto"/>
              </w:rPr>
            </w:pPr>
            <w:r>
              <w:rPr>
                <w:rFonts w:ascii="Arial" w:cs="Arial" w:eastAsia="Arial" w:hAnsi="Arial"/>
                <w:sz w:val="16"/>
                <w:szCs w:val="16"/>
                <w:b w:val="1"/>
                <w:bCs w:val="1"/>
                <w:color w:val="auto"/>
              </w:rPr>
              <w:t>981</w:t>
            </w:r>
          </w:p>
        </w:tc>
        <w:tc>
          <w:tcPr>
            <w:tcW w:w="240" w:type="dxa"/>
            <w:vAlign w:val="bottom"/>
            <w:tcBorders>
              <w:bottom w:val="single" w:sz="8" w:color="7F7F7F"/>
            </w:tcBorders>
          </w:tcPr>
          <w:p>
            <w:pPr>
              <w:spacing w:after="0"/>
              <w:rPr>
                <w:sz w:val="18"/>
                <w:szCs w:val="18"/>
                <w:color w:val="auto"/>
              </w:rPr>
            </w:pPr>
          </w:p>
        </w:tc>
        <w:tc>
          <w:tcPr>
            <w:tcW w:w="48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957</w:t>
            </w:r>
          </w:p>
        </w:tc>
        <w:tc>
          <w:tcPr>
            <w:tcW w:w="18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600" w:type="dxa"/>
            <w:vAlign w:val="bottom"/>
            <w:tcBorders>
              <w:bottom w:val="single" w:sz="8" w:color="808080"/>
            </w:tcBorders>
          </w:tcPr>
          <w:p>
            <w:pPr>
              <w:jc w:val="right"/>
              <w:spacing w:after="0"/>
              <w:rPr>
                <w:sz w:val="20"/>
                <w:szCs w:val="20"/>
                <w:color w:val="auto"/>
              </w:rPr>
            </w:pPr>
            <w:r>
              <w:rPr>
                <w:rFonts w:ascii="Arial" w:cs="Arial" w:eastAsia="Arial" w:hAnsi="Arial"/>
                <w:sz w:val="16"/>
                <w:szCs w:val="16"/>
                <w:b w:val="1"/>
                <w:bCs w:val="1"/>
                <w:color w:val="auto"/>
              </w:rPr>
              <w:t>2,828</w:t>
            </w:r>
          </w:p>
        </w:tc>
        <w:tc>
          <w:tcPr>
            <w:tcW w:w="20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2,745</w:t>
            </w:r>
          </w:p>
        </w:tc>
        <w:tc>
          <w:tcPr>
            <w:tcW w:w="0" w:type="dxa"/>
            <w:vAlign w:val="bottom"/>
          </w:tcPr>
          <w:p>
            <w:pPr>
              <w:spacing w:after="0"/>
              <w:rPr>
                <w:sz w:val="1"/>
                <w:szCs w:val="1"/>
                <w:color w:val="auto"/>
              </w:rPr>
            </w:pPr>
          </w:p>
        </w:tc>
      </w:tr>
      <w:tr>
        <w:trPr>
          <w:trHeight w:val="203"/>
        </w:trPr>
        <w:tc>
          <w:tcPr>
            <w:tcW w:w="5560" w:type="dxa"/>
            <w:vAlign w:val="bottom"/>
            <w:shd w:val="clear" w:color="auto" w:fill="CCEEFF"/>
          </w:tcPr>
          <w:p>
            <w:pPr>
              <w:spacing w:after="0"/>
              <w:rPr>
                <w:sz w:val="20"/>
                <w:szCs w:val="20"/>
                <w:color w:val="auto"/>
              </w:rPr>
            </w:pPr>
            <w:r>
              <w:rPr>
                <w:rFonts w:ascii="Arial" w:cs="Arial" w:eastAsia="Arial" w:hAnsi="Arial"/>
                <w:sz w:val="16"/>
                <w:szCs w:val="16"/>
                <w:color w:val="auto"/>
              </w:rPr>
              <w:t>Total freight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5,050</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4,837</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6"/>
                <w:szCs w:val="16"/>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14,750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13,769</w:t>
            </w:r>
          </w:p>
        </w:tc>
        <w:tc>
          <w:tcPr>
            <w:tcW w:w="0" w:type="dxa"/>
            <w:vAlign w:val="bottom"/>
          </w:tcPr>
          <w:p>
            <w:pPr>
              <w:spacing w:after="0"/>
              <w:rPr>
                <w:sz w:val="1"/>
                <w:szCs w:val="1"/>
                <w:color w:val="auto"/>
              </w:rPr>
            </w:pPr>
          </w:p>
        </w:tc>
      </w:tr>
      <w:tr>
        <w:trPr>
          <w:trHeight w:val="210"/>
        </w:trPr>
        <w:tc>
          <w:tcPr>
            <w:tcW w:w="556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Other revenues</w:t>
            </w:r>
          </w:p>
        </w:tc>
        <w:tc>
          <w:tcPr>
            <w:tcW w:w="180" w:type="dxa"/>
            <w:vAlign w:val="bottom"/>
            <w:tcBorders>
              <w:bottom w:val="single" w:sz="8" w:color="7F7F7F"/>
            </w:tcBorders>
          </w:tcPr>
          <w:p>
            <w:pPr>
              <w:spacing w:after="0"/>
              <w:rPr>
                <w:sz w:val="18"/>
                <w:szCs w:val="18"/>
                <w:color w:val="auto"/>
              </w:rPr>
            </w:pPr>
          </w:p>
        </w:tc>
        <w:tc>
          <w:tcPr>
            <w:tcW w:w="580" w:type="dxa"/>
            <w:vAlign w:val="bottom"/>
            <w:tcBorders>
              <w:bottom w:val="single" w:sz="8" w:color="7F7F7F"/>
            </w:tcBorders>
          </w:tcPr>
          <w:p>
            <w:pPr>
              <w:jc w:val="right"/>
              <w:spacing w:after="0"/>
              <w:rPr>
                <w:sz w:val="20"/>
                <w:szCs w:val="20"/>
                <w:color w:val="auto"/>
              </w:rPr>
            </w:pPr>
            <w:r>
              <w:rPr>
                <w:rFonts w:ascii="Arial" w:cs="Arial" w:eastAsia="Arial" w:hAnsi="Arial"/>
                <w:sz w:val="16"/>
                <w:szCs w:val="16"/>
                <w:b w:val="1"/>
                <w:bCs w:val="1"/>
                <w:color w:val="auto"/>
              </w:rPr>
              <w:t>358</w:t>
            </w:r>
          </w:p>
        </w:tc>
        <w:tc>
          <w:tcPr>
            <w:tcW w:w="240" w:type="dxa"/>
            <w:vAlign w:val="bottom"/>
            <w:tcBorders>
              <w:bottom w:val="single" w:sz="8" w:color="7F7F7F"/>
            </w:tcBorders>
          </w:tcPr>
          <w:p>
            <w:pPr>
              <w:spacing w:after="0"/>
              <w:rPr>
                <w:sz w:val="18"/>
                <w:szCs w:val="18"/>
                <w:color w:val="auto"/>
              </w:rPr>
            </w:pPr>
          </w:p>
        </w:tc>
        <w:tc>
          <w:tcPr>
            <w:tcW w:w="48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337</w:t>
            </w:r>
          </w:p>
        </w:tc>
        <w:tc>
          <w:tcPr>
            <w:tcW w:w="18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600" w:type="dxa"/>
            <w:vAlign w:val="bottom"/>
            <w:tcBorders>
              <w:bottom w:val="single" w:sz="8" w:color="808080"/>
            </w:tcBorders>
          </w:tcPr>
          <w:p>
            <w:pPr>
              <w:jc w:val="right"/>
              <w:spacing w:after="0"/>
              <w:rPr>
                <w:sz w:val="20"/>
                <w:szCs w:val="20"/>
                <w:color w:val="auto"/>
              </w:rPr>
            </w:pPr>
            <w:r>
              <w:rPr>
                <w:rFonts w:ascii="Arial" w:cs="Arial" w:eastAsia="Arial" w:hAnsi="Arial"/>
                <w:sz w:val="16"/>
                <w:szCs w:val="16"/>
                <w:b w:val="1"/>
                <w:bCs w:val="1"/>
                <w:color w:val="auto"/>
              </w:rPr>
              <w:t>1,040</w:t>
            </w:r>
          </w:p>
        </w:tc>
        <w:tc>
          <w:tcPr>
            <w:tcW w:w="20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1,004</w:t>
            </w:r>
          </w:p>
        </w:tc>
        <w:tc>
          <w:tcPr>
            <w:tcW w:w="0" w:type="dxa"/>
            <w:vAlign w:val="bottom"/>
          </w:tcPr>
          <w:p>
            <w:pPr>
              <w:spacing w:after="0"/>
              <w:rPr>
                <w:sz w:val="1"/>
                <w:szCs w:val="1"/>
                <w:color w:val="auto"/>
              </w:rPr>
            </w:pPr>
          </w:p>
        </w:tc>
      </w:tr>
      <w:tr>
        <w:trPr>
          <w:trHeight w:val="264"/>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operating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5,408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5,174</w:t>
            </w:r>
          </w:p>
        </w:tc>
        <w:tc>
          <w:tcPr>
            <w:tcW w:w="4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15,790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14,773</w:t>
            </w:r>
          </w:p>
        </w:tc>
        <w:tc>
          <w:tcPr>
            <w:tcW w:w="0" w:type="dxa"/>
            <w:vAlign w:val="bottom"/>
          </w:tcPr>
          <w:p>
            <w:pPr>
              <w:spacing w:after="0"/>
              <w:rPr>
                <w:sz w:val="1"/>
                <w:szCs w:val="1"/>
                <w:color w:val="auto"/>
              </w:rPr>
            </w:pPr>
          </w:p>
        </w:tc>
      </w:tr>
      <w:tr>
        <w:trPr>
          <w:trHeight w:val="54"/>
        </w:trPr>
        <w:tc>
          <w:tcPr>
            <w:tcW w:w="5560" w:type="dxa"/>
            <w:vAlign w:val="bottom"/>
            <w:shd w:val="clear" w:color="auto" w:fill="7F7F7F"/>
          </w:tcPr>
          <w:p>
            <w:pPr>
              <w:spacing w:after="0"/>
              <w:rPr>
                <w:sz w:val="4"/>
                <w:szCs w:val="4"/>
                <w:color w:val="auto"/>
              </w:rPr>
            </w:pPr>
          </w:p>
        </w:tc>
        <w:tc>
          <w:tcPr>
            <w:tcW w:w="180" w:type="dxa"/>
            <w:vAlign w:val="bottom"/>
            <w:shd w:val="clear" w:color="auto" w:fill="7F7F7F"/>
          </w:tcPr>
          <w:p>
            <w:pPr>
              <w:spacing w:after="0"/>
              <w:rPr>
                <w:sz w:val="4"/>
                <w:szCs w:val="4"/>
                <w:color w:val="auto"/>
              </w:rPr>
            </w:pPr>
          </w:p>
        </w:tc>
        <w:tc>
          <w:tcPr>
            <w:tcW w:w="580" w:type="dxa"/>
            <w:vAlign w:val="bottom"/>
            <w:shd w:val="clear" w:color="auto" w:fill="7F7F7F"/>
          </w:tcPr>
          <w:p>
            <w:pPr>
              <w:spacing w:after="0"/>
              <w:rPr>
                <w:sz w:val="4"/>
                <w:szCs w:val="4"/>
                <w:color w:val="auto"/>
              </w:rPr>
            </w:pPr>
          </w:p>
        </w:tc>
        <w:tc>
          <w:tcPr>
            <w:tcW w:w="240" w:type="dxa"/>
            <w:vAlign w:val="bottom"/>
            <w:shd w:val="clear" w:color="auto" w:fill="7F7F7F"/>
          </w:tcPr>
          <w:p>
            <w:pPr>
              <w:spacing w:after="0"/>
              <w:rPr>
                <w:sz w:val="4"/>
                <w:szCs w:val="4"/>
                <w:color w:val="auto"/>
              </w:rPr>
            </w:pPr>
          </w:p>
        </w:tc>
        <w:tc>
          <w:tcPr>
            <w:tcW w:w="480" w:type="dxa"/>
            <w:vAlign w:val="bottom"/>
            <w:shd w:val="clear" w:color="auto" w:fill="7F7F7F"/>
          </w:tcPr>
          <w:p>
            <w:pPr>
              <w:spacing w:after="0"/>
              <w:rPr>
                <w:sz w:val="4"/>
                <w:szCs w:val="4"/>
                <w:color w:val="auto"/>
              </w:rPr>
            </w:pPr>
          </w:p>
        </w:tc>
        <w:tc>
          <w:tcPr>
            <w:tcW w:w="180" w:type="dxa"/>
            <w:vAlign w:val="bottom"/>
            <w:shd w:val="clear" w:color="auto" w:fill="808080"/>
          </w:tcPr>
          <w:p>
            <w:pPr>
              <w:spacing w:after="0"/>
              <w:rPr>
                <w:sz w:val="4"/>
                <w:szCs w:val="4"/>
                <w:color w:val="auto"/>
              </w:rPr>
            </w:pPr>
          </w:p>
        </w:tc>
        <w:tc>
          <w:tcPr>
            <w:tcW w:w="220" w:type="dxa"/>
            <w:vAlign w:val="bottom"/>
            <w:shd w:val="clear" w:color="auto" w:fill="808080"/>
          </w:tcPr>
          <w:p>
            <w:pPr>
              <w:spacing w:after="0"/>
              <w:rPr>
                <w:sz w:val="4"/>
                <w:szCs w:val="4"/>
                <w:color w:val="auto"/>
              </w:rPr>
            </w:pPr>
          </w:p>
        </w:tc>
        <w:tc>
          <w:tcPr>
            <w:tcW w:w="600" w:type="dxa"/>
            <w:vAlign w:val="bottom"/>
            <w:shd w:val="clear" w:color="auto" w:fill="808080"/>
          </w:tcPr>
          <w:p>
            <w:pPr>
              <w:spacing w:after="0"/>
              <w:rPr>
                <w:sz w:val="4"/>
                <w:szCs w:val="4"/>
                <w:color w:val="auto"/>
              </w:rPr>
            </w:pPr>
          </w:p>
        </w:tc>
        <w:tc>
          <w:tcPr>
            <w:tcW w:w="200" w:type="dxa"/>
            <w:vAlign w:val="bottom"/>
            <w:shd w:val="clear" w:color="auto" w:fill="808080"/>
          </w:tcPr>
          <w:p>
            <w:pPr>
              <w:spacing w:after="0"/>
              <w:rPr>
                <w:sz w:val="4"/>
                <w:szCs w:val="4"/>
                <w:color w:val="auto"/>
              </w:rPr>
            </w:pPr>
          </w:p>
        </w:tc>
        <w:tc>
          <w:tcPr>
            <w:tcW w:w="580" w:type="dxa"/>
            <w:vAlign w:val="bottom"/>
            <w:shd w:val="clear" w:color="auto" w:fill="808080"/>
          </w:tcPr>
          <w:p>
            <w:pPr>
              <w:spacing w:after="0"/>
              <w:rPr>
                <w:sz w:val="4"/>
                <w:szCs w:val="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100" w:right="99"/>
        <w:spacing w:after="0" w:line="211" w:lineRule="auto"/>
        <w:rPr>
          <w:sz w:val="20"/>
          <w:szCs w:val="20"/>
          <w:color w:val="auto"/>
        </w:rPr>
      </w:pPr>
      <w:r>
        <w:rPr>
          <w:rFonts w:ascii="Arial" w:cs="Arial" w:eastAsia="Arial" w:hAnsi="Arial"/>
          <w:sz w:val="18"/>
          <w:szCs w:val="18"/>
          <w:color w:val="auto"/>
        </w:rPr>
        <w:t>Although our revenues are principally derived from customers domiciled in the U.S., the ultimate points of origination or destination for some products we transport are outside the U.S. Each of our commodity groups includes revenue from shipments to and from Mexico. Included in the above table are freight revenues from our Mexico business which amounted to $555 million and $564 million, respectively, for the three months ended September 30, 2017, and September 30, 2016, and $ 1,697 million and $1,649 million, respectively, for the nine months ended September 30, 2017, and September 30, 2016.</w:t>
      </w:r>
    </w:p>
    <w:p>
      <w:pPr>
        <w:spacing w:after="0" w:line="11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5. Stock-Based Compensation</w:t>
      </w:r>
    </w:p>
    <w:p>
      <w:pPr>
        <w:spacing w:after="0" w:line="166" w:lineRule="exact"/>
        <w:rPr>
          <w:sz w:val="20"/>
          <w:szCs w:val="20"/>
          <w:color w:val="auto"/>
        </w:rPr>
      </w:pPr>
    </w:p>
    <w:p>
      <w:pPr>
        <w:jc w:val="both"/>
        <w:ind w:left="100" w:right="99"/>
        <w:spacing w:after="0" w:line="213" w:lineRule="auto"/>
        <w:rPr>
          <w:sz w:val="20"/>
          <w:szCs w:val="20"/>
          <w:color w:val="auto"/>
        </w:rPr>
      </w:pPr>
      <w:r>
        <w:rPr>
          <w:rFonts w:ascii="Arial" w:cs="Arial" w:eastAsia="Arial" w:hAnsi="Arial"/>
          <w:sz w:val="18"/>
          <w:szCs w:val="18"/>
          <w:color w:val="auto"/>
        </w:rPr>
        <w:t>We have several stock-based compensation plans under which employees and non-employee directors receive stock options, nonvested retention shares, and nonvested stock units. We refer to the nonvested shares and stock units collectively as “retention awards”. We have elected to issue treasury shares to cover option exercises and stock unit vestings, while new shares are issued when retention shares are granted. Information regarding stock-based compensation appears in the table below:</w:t>
      </w:r>
    </w:p>
    <w:p>
      <w:pPr>
        <w:spacing w:after="0" w:line="170" w:lineRule="exact"/>
        <w:rPr>
          <w:sz w:val="20"/>
          <w:szCs w:val="20"/>
          <w:color w:val="auto"/>
        </w:rPr>
      </w:pPr>
    </w:p>
    <w:tbl>
      <w:tblPr>
        <w:tblLayout w:type="fixed"/>
        <w:tblInd w:w="100" w:type="dxa"/>
        <w:tblCellMar>
          <w:top w:w="0" w:type="dxa"/>
          <w:left w:w="0" w:type="dxa"/>
          <w:bottom w:w="0" w:type="dxa"/>
          <w:right w:w="0" w:type="dxa"/>
        </w:tblCellMar>
      </w:tblPr>
      <w:tr>
        <w:trPr>
          <w:trHeight w:val="256"/>
        </w:trPr>
        <w:tc>
          <w:tcPr>
            <w:tcW w:w="5060" w:type="dxa"/>
            <w:vAlign w:val="bottom"/>
            <w:tcBorders>
              <w:top w:val="single" w:sz="8" w:color="7F7F7F"/>
            </w:tcBorders>
          </w:tcPr>
          <w:p>
            <w:pPr>
              <w:spacing w:after="0"/>
              <w:rPr>
                <w:sz w:val="22"/>
                <w:szCs w:val="22"/>
                <w:color w:val="auto"/>
              </w:rPr>
            </w:pPr>
          </w:p>
        </w:tc>
        <w:tc>
          <w:tcPr>
            <w:tcW w:w="1880" w:type="dxa"/>
            <w:vAlign w:val="bottom"/>
            <w:tcBorders>
              <w:top w:val="single" w:sz="8" w:color="808080"/>
            </w:tcBorders>
            <w:gridSpan w:val="4"/>
          </w:tcPr>
          <w:p>
            <w:pPr>
              <w:jc w:val="right"/>
              <w:ind w:right="99"/>
              <w:spacing w:after="0"/>
              <w:rPr>
                <w:sz w:val="20"/>
                <w:szCs w:val="20"/>
                <w:color w:val="auto"/>
              </w:rPr>
            </w:pPr>
            <w:r>
              <w:rPr>
                <w:rFonts w:ascii="Arial" w:cs="Arial" w:eastAsia="Arial" w:hAnsi="Arial"/>
                <w:sz w:val="16"/>
                <w:szCs w:val="16"/>
                <w:i w:val="1"/>
                <w:iCs w:val="1"/>
                <w:color w:val="auto"/>
              </w:rPr>
              <w:t>Three Months Ended</w:t>
            </w:r>
          </w:p>
        </w:tc>
        <w:tc>
          <w:tcPr>
            <w:tcW w:w="160" w:type="dxa"/>
            <w:vAlign w:val="bottom"/>
            <w:tcBorders>
              <w:top w:val="single" w:sz="8" w:color="808080"/>
            </w:tcBorders>
          </w:tcPr>
          <w:p>
            <w:pPr>
              <w:spacing w:after="0"/>
              <w:rPr>
                <w:sz w:val="22"/>
                <w:szCs w:val="22"/>
                <w:color w:val="auto"/>
              </w:rPr>
            </w:pPr>
          </w:p>
        </w:tc>
        <w:tc>
          <w:tcPr>
            <w:tcW w:w="1720" w:type="dxa"/>
            <w:vAlign w:val="bottom"/>
            <w:tcBorders>
              <w:top w:val="single" w:sz="8" w:color="808080"/>
            </w:tcBorders>
            <w:gridSpan w:val="4"/>
          </w:tcPr>
          <w:p>
            <w:pPr>
              <w:jc w:val="right"/>
              <w:ind w:right="59"/>
              <w:spacing w:after="0"/>
              <w:rPr>
                <w:sz w:val="20"/>
                <w:szCs w:val="20"/>
                <w:color w:val="auto"/>
              </w:rPr>
            </w:pPr>
            <w:r>
              <w:rPr>
                <w:rFonts w:ascii="Arial" w:cs="Arial" w:eastAsia="Arial" w:hAnsi="Arial"/>
                <w:sz w:val="16"/>
                <w:szCs w:val="16"/>
                <w:i w:val="1"/>
                <w:iCs w:val="1"/>
                <w:color w:val="auto"/>
              </w:rPr>
              <w:t>Nine Months Ended</w:t>
            </w:r>
          </w:p>
        </w:tc>
      </w:tr>
      <w:tr>
        <w:trPr>
          <w:trHeight w:val="197"/>
        </w:trPr>
        <w:tc>
          <w:tcPr>
            <w:tcW w:w="5060" w:type="dxa"/>
            <w:vAlign w:val="bottom"/>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gridSpan w:val="3"/>
          </w:tcPr>
          <w:p>
            <w:pPr>
              <w:jc w:val="right"/>
              <w:ind w:right="319"/>
              <w:spacing w:after="0"/>
              <w:rPr>
                <w:sz w:val="20"/>
                <w:szCs w:val="20"/>
                <w:color w:val="auto"/>
              </w:rPr>
            </w:pPr>
            <w:r>
              <w:rPr>
                <w:rFonts w:ascii="Arial" w:cs="Arial" w:eastAsia="Arial" w:hAnsi="Arial"/>
                <w:sz w:val="16"/>
                <w:szCs w:val="16"/>
                <w:i w:val="1"/>
                <w:iCs w:val="1"/>
                <w:color w:val="auto"/>
              </w:rPr>
              <w:t>September 30,</w:t>
            </w:r>
          </w:p>
        </w:tc>
        <w:tc>
          <w:tcPr>
            <w:tcW w:w="160" w:type="dxa"/>
            <w:vAlign w:val="bottom"/>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1540" w:type="dxa"/>
            <w:vAlign w:val="bottom"/>
            <w:tcBorders>
              <w:bottom w:val="single" w:sz="8" w:color="808080"/>
            </w:tcBorders>
            <w:gridSpan w:val="3"/>
          </w:tcPr>
          <w:p>
            <w:pPr>
              <w:jc w:val="right"/>
              <w:ind w:right="239"/>
              <w:spacing w:after="0"/>
              <w:rPr>
                <w:sz w:val="20"/>
                <w:szCs w:val="20"/>
                <w:color w:val="auto"/>
              </w:rPr>
            </w:pPr>
            <w:r>
              <w:rPr>
                <w:rFonts w:ascii="Arial" w:cs="Arial" w:eastAsia="Arial" w:hAnsi="Arial"/>
                <w:sz w:val="16"/>
                <w:szCs w:val="16"/>
                <w:i w:val="1"/>
                <w:iCs w:val="1"/>
                <w:color w:val="auto"/>
              </w:rPr>
              <w:t>September 30,</w:t>
            </w:r>
          </w:p>
        </w:tc>
      </w:tr>
      <w:tr>
        <w:trPr>
          <w:trHeight w:val="196"/>
        </w:trPr>
        <w:tc>
          <w:tcPr>
            <w:tcW w:w="5060" w:type="dxa"/>
            <w:vAlign w:val="bottom"/>
            <w:tcBorders>
              <w:bottom w:val="single" w:sz="8" w:color="7F7F7F"/>
            </w:tcBorders>
          </w:tcPr>
          <w:p>
            <w:pPr>
              <w:spacing w:after="0"/>
              <w:rPr>
                <w:sz w:val="20"/>
                <w:szCs w:val="20"/>
                <w:color w:val="auto"/>
              </w:rPr>
            </w:pPr>
            <w:r>
              <w:rPr>
                <w:rFonts w:ascii="Arial" w:cs="Arial" w:eastAsia="Arial" w:hAnsi="Arial"/>
                <w:sz w:val="16"/>
                <w:szCs w:val="16"/>
                <w:i w:val="1"/>
                <w:iCs w:val="1"/>
                <w:color w:val="auto"/>
              </w:rPr>
              <w:t>Millions</w:t>
            </w:r>
          </w:p>
        </w:tc>
        <w:tc>
          <w:tcPr>
            <w:tcW w:w="320" w:type="dxa"/>
            <w:vAlign w:val="bottom"/>
            <w:tcBorders>
              <w:bottom w:val="single" w:sz="8" w:color="7F7F7F"/>
            </w:tcBorders>
          </w:tcPr>
          <w:p>
            <w:pPr>
              <w:spacing w:after="0"/>
              <w:rPr>
                <w:sz w:val="17"/>
                <w:szCs w:val="17"/>
                <w:color w:val="auto"/>
              </w:rPr>
            </w:pPr>
          </w:p>
        </w:tc>
        <w:tc>
          <w:tcPr>
            <w:tcW w:w="660" w:type="dxa"/>
            <w:vAlign w:val="bottom"/>
            <w:tcBorders>
              <w:bottom w:val="single" w:sz="8" w:color="7F7F7F"/>
            </w:tcBorders>
          </w:tcPr>
          <w:p>
            <w:pPr>
              <w:jc w:val="right"/>
              <w:spacing w:after="0"/>
              <w:rPr>
                <w:sz w:val="20"/>
                <w:szCs w:val="20"/>
                <w:color w:val="auto"/>
              </w:rPr>
            </w:pPr>
            <w:r>
              <w:rPr>
                <w:rFonts w:ascii="Arial" w:cs="Arial" w:eastAsia="Arial" w:hAnsi="Arial"/>
                <w:sz w:val="16"/>
                <w:szCs w:val="16"/>
                <w:b w:val="1"/>
                <w:bCs w:val="1"/>
                <w:i w:val="1"/>
                <w:iCs w:val="1"/>
                <w:color w:val="auto"/>
              </w:rPr>
              <w:t>2017</w:t>
            </w:r>
          </w:p>
        </w:tc>
        <w:tc>
          <w:tcPr>
            <w:tcW w:w="340" w:type="dxa"/>
            <w:vAlign w:val="bottom"/>
            <w:tcBorders>
              <w:bottom w:val="single" w:sz="8" w:color="7F7F7F"/>
            </w:tcBorders>
          </w:tcPr>
          <w:p>
            <w:pPr>
              <w:spacing w:after="0"/>
              <w:rPr>
                <w:sz w:val="17"/>
                <w:szCs w:val="17"/>
                <w:color w:val="auto"/>
              </w:rPr>
            </w:pPr>
          </w:p>
        </w:tc>
        <w:tc>
          <w:tcPr>
            <w:tcW w:w="56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2016</w:t>
            </w:r>
          </w:p>
        </w:tc>
        <w:tc>
          <w:tcPr>
            <w:tcW w:w="16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660" w:type="dxa"/>
            <w:vAlign w:val="bottom"/>
            <w:tcBorders>
              <w:bottom w:val="single" w:sz="8" w:color="808080"/>
            </w:tcBorders>
          </w:tcPr>
          <w:p>
            <w:pPr>
              <w:jc w:val="right"/>
              <w:spacing w:after="0"/>
              <w:rPr>
                <w:sz w:val="20"/>
                <w:szCs w:val="20"/>
                <w:color w:val="auto"/>
              </w:rPr>
            </w:pPr>
            <w:r>
              <w:rPr>
                <w:rFonts w:ascii="Arial" w:cs="Arial" w:eastAsia="Arial" w:hAnsi="Arial"/>
                <w:sz w:val="16"/>
                <w:szCs w:val="16"/>
                <w:b w:val="1"/>
                <w:bCs w:val="1"/>
                <w:i w:val="1"/>
                <w:iCs w:val="1"/>
                <w:color w:val="auto"/>
              </w:rPr>
              <w:t>2017</w:t>
            </w:r>
          </w:p>
        </w:tc>
        <w:tc>
          <w:tcPr>
            <w:tcW w:w="340" w:type="dxa"/>
            <w:vAlign w:val="bottom"/>
            <w:tcBorders>
              <w:bottom w:val="single" w:sz="8" w:color="808080"/>
            </w:tcBorders>
          </w:tcPr>
          <w:p>
            <w:pPr>
              <w:spacing w:after="0"/>
              <w:rPr>
                <w:sz w:val="17"/>
                <w:szCs w:val="17"/>
                <w:color w:val="auto"/>
              </w:rPr>
            </w:pPr>
          </w:p>
        </w:tc>
        <w:tc>
          <w:tcPr>
            <w:tcW w:w="540" w:type="dxa"/>
            <w:vAlign w:val="bottom"/>
            <w:tcBorders>
              <w:bottom w:val="single" w:sz="8" w:color="808080"/>
            </w:tcBorders>
          </w:tcPr>
          <w:p>
            <w:pPr>
              <w:jc w:val="right"/>
              <w:spacing w:after="0"/>
              <w:rPr>
                <w:sz w:val="20"/>
                <w:szCs w:val="20"/>
                <w:color w:val="auto"/>
              </w:rPr>
            </w:pPr>
            <w:r>
              <w:rPr>
                <w:rFonts w:ascii="Arial" w:cs="Arial" w:eastAsia="Arial" w:hAnsi="Arial"/>
                <w:sz w:val="16"/>
                <w:szCs w:val="16"/>
                <w:i w:val="1"/>
                <w:iCs w:val="1"/>
                <w:color w:val="auto"/>
              </w:rPr>
              <w:t>2016</w:t>
            </w:r>
          </w:p>
        </w:tc>
      </w:tr>
      <w:tr>
        <w:trPr>
          <w:trHeight w:val="203"/>
        </w:trPr>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before tax:</w:t>
            </w: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215"/>
        </w:trPr>
        <w:tc>
          <w:tcPr>
            <w:tcW w:w="5060" w:type="dxa"/>
            <w:vAlign w:val="bottom"/>
          </w:tcPr>
          <w:p>
            <w:pPr>
              <w:ind w:left="220"/>
              <w:spacing w:after="0"/>
              <w:rPr>
                <w:sz w:val="20"/>
                <w:szCs w:val="20"/>
                <w:color w:val="auto"/>
              </w:rPr>
            </w:pPr>
            <w:r>
              <w:rPr>
                <w:rFonts w:ascii="Arial" w:cs="Arial" w:eastAsia="Arial" w:hAnsi="Arial"/>
                <w:sz w:val="16"/>
                <w:szCs w:val="16"/>
                <w:color w:val="auto"/>
              </w:rPr>
              <w:t>Stock options</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5</w:t>
            </w:r>
          </w:p>
        </w:tc>
        <w:tc>
          <w:tcPr>
            <w:tcW w:w="3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15</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0"/>
        </w:trPr>
        <w:tc>
          <w:tcPr>
            <w:tcW w:w="5060" w:type="dxa"/>
            <w:vAlign w:val="bottom"/>
            <w:tcBorders>
              <w:bottom w:val="single" w:sz="8" w:color="7F7F7F"/>
            </w:tcBorders>
            <w:shd w:val="clear" w:color="auto" w:fill="CCEEFF"/>
          </w:tcPr>
          <w:p>
            <w:pPr>
              <w:ind w:left="220"/>
              <w:spacing w:after="0"/>
              <w:rPr>
                <w:sz w:val="20"/>
                <w:szCs w:val="20"/>
                <w:color w:val="auto"/>
              </w:rPr>
            </w:pPr>
            <w:r>
              <w:rPr>
                <w:rFonts w:ascii="Arial" w:cs="Arial" w:eastAsia="Arial" w:hAnsi="Arial"/>
                <w:sz w:val="16"/>
                <w:szCs w:val="16"/>
                <w:color w:val="auto"/>
              </w:rPr>
              <w:t>Retention awards</w:t>
            </w:r>
          </w:p>
        </w:tc>
        <w:tc>
          <w:tcPr>
            <w:tcW w:w="320" w:type="dxa"/>
            <w:vAlign w:val="bottom"/>
            <w:tcBorders>
              <w:bottom w:val="single" w:sz="8" w:color="7F7F7F"/>
            </w:tcBorders>
            <w:shd w:val="clear" w:color="auto" w:fill="CCEEFF"/>
          </w:tcPr>
          <w:p>
            <w:pPr>
              <w:spacing w:after="0"/>
              <w:rPr>
                <w:sz w:val="18"/>
                <w:szCs w:val="18"/>
                <w:color w:val="auto"/>
              </w:rPr>
            </w:pPr>
          </w:p>
        </w:tc>
        <w:tc>
          <w:tcPr>
            <w:tcW w:w="66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w:t>
            </w:r>
          </w:p>
        </w:tc>
        <w:tc>
          <w:tcPr>
            <w:tcW w:w="340" w:type="dxa"/>
            <w:vAlign w:val="bottom"/>
            <w:tcBorders>
              <w:bottom w:val="single" w:sz="8" w:color="7F7F7F"/>
            </w:tcBorders>
            <w:shd w:val="clear" w:color="auto" w:fill="CCEEFF"/>
          </w:tcPr>
          <w:p>
            <w:pPr>
              <w:spacing w:after="0"/>
              <w:rPr>
                <w:sz w:val="18"/>
                <w:szCs w:val="18"/>
                <w:color w:val="auto"/>
              </w:rPr>
            </w:pPr>
          </w:p>
        </w:tc>
        <w:tc>
          <w:tcPr>
            <w:tcW w:w="56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60" w:type="dxa"/>
            <w:vAlign w:val="bottom"/>
            <w:tcBorders>
              <w:bottom w:val="single" w:sz="8" w:color="808080"/>
            </w:tcBorders>
            <w:shd w:val="clear" w:color="auto" w:fill="CCEEFF"/>
          </w:tcPr>
          <w:p>
            <w:pPr>
              <w:spacing w:after="0"/>
              <w:rPr>
                <w:sz w:val="18"/>
                <w:szCs w:val="18"/>
                <w:color w:val="auto"/>
              </w:rPr>
            </w:pPr>
          </w:p>
        </w:tc>
        <w:tc>
          <w:tcPr>
            <w:tcW w:w="180" w:type="dxa"/>
            <w:vAlign w:val="bottom"/>
            <w:tcBorders>
              <w:bottom w:val="single" w:sz="8" w:color="808080"/>
            </w:tcBorders>
            <w:shd w:val="clear" w:color="auto" w:fill="CCEEFF"/>
          </w:tcPr>
          <w:p>
            <w:pPr>
              <w:spacing w:after="0"/>
              <w:rPr>
                <w:sz w:val="18"/>
                <w:szCs w:val="18"/>
                <w:color w:val="auto"/>
              </w:rPr>
            </w:pPr>
          </w:p>
        </w:tc>
        <w:tc>
          <w:tcPr>
            <w:tcW w:w="66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68</w:t>
            </w:r>
          </w:p>
        </w:tc>
        <w:tc>
          <w:tcPr>
            <w:tcW w:w="340" w:type="dxa"/>
            <w:vAlign w:val="bottom"/>
            <w:tcBorders>
              <w:bottom w:val="single" w:sz="8" w:color="808080"/>
            </w:tcBorders>
            <w:shd w:val="clear" w:color="auto" w:fill="CCEEFF"/>
          </w:tcPr>
          <w:p>
            <w:pPr>
              <w:spacing w:after="0"/>
              <w:rPr>
                <w:sz w:val="18"/>
                <w:szCs w:val="18"/>
                <w:color w:val="auto"/>
              </w:rPr>
            </w:pPr>
          </w:p>
        </w:tc>
        <w:tc>
          <w:tcPr>
            <w:tcW w:w="540" w:type="dxa"/>
            <w:vAlign w:val="bottom"/>
            <w:tcBorders>
              <w:bottom w:val="single" w:sz="8" w:color="808080"/>
            </w:tcBorders>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51"/>
        </w:trPr>
        <w:tc>
          <w:tcPr>
            <w:tcW w:w="5060" w:type="dxa"/>
            <w:vAlign w:val="bottom"/>
          </w:tcPr>
          <w:p>
            <w:pPr>
              <w:spacing w:after="0"/>
              <w:rPr>
                <w:sz w:val="20"/>
                <w:szCs w:val="20"/>
                <w:color w:val="auto"/>
              </w:rPr>
            </w:pPr>
            <w:r>
              <w:rPr>
                <w:rFonts w:ascii="Arial" w:cs="Arial" w:eastAsia="Arial" w:hAnsi="Arial"/>
                <w:sz w:val="16"/>
                <w:szCs w:val="16"/>
                <w:color w:val="auto"/>
              </w:rPr>
              <w:t>Total stock-based compensation, before tax</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30</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20</w:t>
            </w:r>
          </w:p>
        </w:tc>
        <w:tc>
          <w:tcPr>
            <w:tcW w:w="3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83</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54"/>
        </w:trPr>
        <w:tc>
          <w:tcPr>
            <w:tcW w:w="5060" w:type="dxa"/>
            <w:vAlign w:val="bottom"/>
            <w:tcBorders>
              <w:bottom w:val="single" w:sz="8" w:color="7F7F7F"/>
            </w:tcBorders>
          </w:tcPr>
          <w:p>
            <w:pPr>
              <w:spacing w:after="0"/>
              <w:rPr>
                <w:sz w:val="4"/>
                <w:szCs w:val="4"/>
                <w:color w:val="auto"/>
              </w:rPr>
            </w:pPr>
          </w:p>
        </w:tc>
        <w:tc>
          <w:tcPr>
            <w:tcW w:w="320" w:type="dxa"/>
            <w:vAlign w:val="bottom"/>
            <w:tcBorders>
              <w:bottom w:val="single" w:sz="8" w:color="7F7F7F"/>
            </w:tcBorders>
          </w:tcPr>
          <w:p>
            <w:pPr>
              <w:spacing w:after="0"/>
              <w:rPr>
                <w:sz w:val="4"/>
                <w:szCs w:val="4"/>
                <w:color w:val="auto"/>
              </w:rPr>
            </w:pPr>
          </w:p>
        </w:tc>
        <w:tc>
          <w:tcPr>
            <w:tcW w:w="660" w:type="dxa"/>
            <w:vAlign w:val="bottom"/>
            <w:tcBorders>
              <w:bottom w:val="single" w:sz="8" w:color="7F7F7F"/>
            </w:tcBorders>
          </w:tcPr>
          <w:p>
            <w:pPr>
              <w:spacing w:after="0"/>
              <w:rPr>
                <w:sz w:val="4"/>
                <w:szCs w:val="4"/>
                <w:color w:val="auto"/>
              </w:rPr>
            </w:pPr>
          </w:p>
        </w:tc>
        <w:tc>
          <w:tcPr>
            <w:tcW w:w="340" w:type="dxa"/>
            <w:vAlign w:val="bottom"/>
            <w:tcBorders>
              <w:bottom w:val="single" w:sz="8" w:color="7F7F7F"/>
            </w:tcBorders>
          </w:tcPr>
          <w:p>
            <w:pPr>
              <w:spacing w:after="0"/>
              <w:rPr>
                <w:sz w:val="4"/>
                <w:szCs w:val="4"/>
                <w:color w:val="auto"/>
              </w:rPr>
            </w:pPr>
          </w:p>
        </w:tc>
        <w:tc>
          <w:tcPr>
            <w:tcW w:w="560" w:type="dxa"/>
            <w:vAlign w:val="bottom"/>
            <w:tcBorders>
              <w:bottom w:val="single" w:sz="8" w:color="7F7F7F"/>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660" w:type="dxa"/>
            <w:vAlign w:val="bottom"/>
            <w:tcBorders>
              <w:bottom w:val="single" w:sz="8" w:color="7F7F7F"/>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r>
      <w:tr>
        <w:trPr>
          <w:trHeight w:val="264"/>
        </w:trPr>
        <w:tc>
          <w:tcPr>
            <w:tcW w:w="5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Excess tax benefits from equity compensation plans</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54"/>
        </w:trPr>
        <w:tc>
          <w:tcPr>
            <w:tcW w:w="5060" w:type="dxa"/>
            <w:vAlign w:val="bottom"/>
            <w:shd w:val="clear" w:color="auto" w:fill="7F7F7F"/>
          </w:tcPr>
          <w:p>
            <w:pPr>
              <w:spacing w:after="0"/>
              <w:rPr>
                <w:sz w:val="4"/>
                <w:szCs w:val="4"/>
                <w:color w:val="auto"/>
              </w:rPr>
            </w:pPr>
          </w:p>
        </w:tc>
        <w:tc>
          <w:tcPr>
            <w:tcW w:w="320" w:type="dxa"/>
            <w:vAlign w:val="bottom"/>
            <w:shd w:val="clear" w:color="auto" w:fill="7F7F7F"/>
          </w:tcPr>
          <w:p>
            <w:pPr>
              <w:spacing w:after="0"/>
              <w:rPr>
                <w:sz w:val="4"/>
                <w:szCs w:val="4"/>
                <w:color w:val="auto"/>
              </w:rPr>
            </w:pPr>
          </w:p>
        </w:tc>
        <w:tc>
          <w:tcPr>
            <w:tcW w:w="660" w:type="dxa"/>
            <w:vAlign w:val="bottom"/>
            <w:shd w:val="clear" w:color="auto" w:fill="7F7F7F"/>
          </w:tcPr>
          <w:p>
            <w:pPr>
              <w:spacing w:after="0"/>
              <w:rPr>
                <w:sz w:val="4"/>
                <w:szCs w:val="4"/>
                <w:color w:val="auto"/>
              </w:rPr>
            </w:pPr>
          </w:p>
        </w:tc>
        <w:tc>
          <w:tcPr>
            <w:tcW w:w="340" w:type="dxa"/>
            <w:vAlign w:val="bottom"/>
            <w:shd w:val="clear" w:color="auto" w:fill="7F7F7F"/>
          </w:tcPr>
          <w:p>
            <w:pPr>
              <w:spacing w:after="0"/>
              <w:rPr>
                <w:sz w:val="4"/>
                <w:szCs w:val="4"/>
                <w:color w:val="auto"/>
              </w:rPr>
            </w:pPr>
          </w:p>
        </w:tc>
        <w:tc>
          <w:tcPr>
            <w:tcW w:w="560" w:type="dxa"/>
            <w:vAlign w:val="bottom"/>
            <w:shd w:val="clear" w:color="auto" w:fill="7F7F7F"/>
          </w:tcPr>
          <w:p>
            <w:pPr>
              <w:spacing w:after="0"/>
              <w:rPr>
                <w:sz w:val="4"/>
                <w:szCs w:val="4"/>
                <w:color w:val="auto"/>
              </w:rPr>
            </w:pPr>
          </w:p>
        </w:tc>
        <w:tc>
          <w:tcPr>
            <w:tcW w:w="160" w:type="dxa"/>
            <w:vAlign w:val="bottom"/>
            <w:shd w:val="clear" w:color="auto" w:fill="808080"/>
          </w:tcPr>
          <w:p>
            <w:pPr>
              <w:spacing w:after="0"/>
              <w:rPr>
                <w:sz w:val="4"/>
                <w:szCs w:val="4"/>
                <w:color w:val="auto"/>
              </w:rPr>
            </w:pPr>
          </w:p>
        </w:tc>
        <w:tc>
          <w:tcPr>
            <w:tcW w:w="180" w:type="dxa"/>
            <w:vAlign w:val="bottom"/>
            <w:shd w:val="clear" w:color="auto" w:fill="808080"/>
          </w:tcPr>
          <w:p>
            <w:pPr>
              <w:spacing w:after="0"/>
              <w:rPr>
                <w:sz w:val="4"/>
                <w:szCs w:val="4"/>
                <w:color w:val="auto"/>
              </w:rPr>
            </w:pPr>
          </w:p>
        </w:tc>
        <w:tc>
          <w:tcPr>
            <w:tcW w:w="660" w:type="dxa"/>
            <w:vAlign w:val="bottom"/>
            <w:shd w:val="clear" w:color="auto" w:fill="808080"/>
          </w:tcPr>
          <w:p>
            <w:pPr>
              <w:spacing w:after="0"/>
              <w:rPr>
                <w:sz w:val="4"/>
                <w:szCs w:val="4"/>
                <w:color w:val="auto"/>
              </w:rPr>
            </w:pPr>
          </w:p>
        </w:tc>
        <w:tc>
          <w:tcPr>
            <w:tcW w:w="340" w:type="dxa"/>
            <w:vAlign w:val="bottom"/>
            <w:shd w:val="clear" w:color="auto" w:fill="808080"/>
          </w:tcPr>
          <w:p>
            <w:pPr>
              <w:spacing w:after="0"/>
              <w:rPr>
                <w:sz w:val="4"/>
                <w:szCs w:val="4"/>
                <w:color w:val="auto"/>
              </w:rPr>
            </w:pPr>
          </w:p>
        </w:tc>
        <w:tc>
          <w:tcPr>
            <w:tcW w:w="540" w:type="dxa"/>
            <w:vAlign w:val="bottom"/>
            <w:shd w:val="clear" w:color="auto" w:fill="808080"/>
          </w:tcPr>
          <w:p>
            <w:pPr>
              <w:spacing w:after="0"/>
              <w:rPr>
                <w:sz w:val="4"/>
                <w:szCs w:val="4"/>
                <w:color w:val="auto"/>
              </w:rPr>
            </w:pPr>
          </w:p>
        </w:tc>
      </w:tr>
    </w:tbl>
    <w:p>
      <w:pPr>
        <w:spacing w:after="0" w:line="139" w:lineRule="exact"/>
        <w:rPr>
          <w:sz w:val="20"/>
          <w:szCs w:val="20"/>
          <w:color w:val="auto"/>
        </w:rPr>
      </w:pPr>
    </w:p>
    <w:p>
      <w:pPr>
        <w:jc w:val="both"/>
        <w:ind w:left="100" w:right="99"/>
        <w:spacing w:after="0"/>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 We estimate the fair value of our stock option awards using the Black-Scholes option pricing</w:t>
      </w:r>
      <w:r>
        <w:rPr>
          <w:rFonts w:ascii="Arial" w:cs="Arial" w:eastAsia="Arial" w:hAnsi="Arial"/>
          <w:sz w:val="18"/>
          <w:szCs w:val="18"/>
          <w:b w:val="1"/>
          <w:bCs w:val="1"/>
          <w:color w:val="auto"/>
        </w:rPr>
        <w:t xml:space="preserve"> </w:t>
      </w:r>
      <w:r>
        <w:rPr>
          <w:rFonts w:ascii="Arial" w:cs="Arial" w:eastAsia="Arial" w:hAnsi="Arial"/>
          <w:sz w:val="18"/>
          <w:szCs w:val="18"/>
          <w:color w:val="auto"/>
        </w:rPr>
        <w:t>model. The table below shows the annual weighted-average assumptions used for valuation purposes:</w:t>
      </w:r>
    </w:p>
    <w:p>
      <w:pPr>
        <w:spacing w:after="0" w:line="170" w:lineRule="exact"/>
        <w:rPr>
          <w:sz w:val="20"/>
          <w:szCs w:val="20"/>
          <w:color w:val="auto"/>
        </w:rPr>
      </w:pPr>
    </w:p>
    <w:tbl>
      <w:tblPr>
        <w:tblLayout w:type="fixed"/>
        <w:tblInd w:w="100" w:type="dxa"/>
        <w:tblCellMar>
          <w:top w:w="0" w:type="dxa"/>
          <w:left w:w="0" w:type="dxa"/>
          <w:bottom w:w="0" w:type="dxa"/>
          <w:right w:w="0" w:type="dxa"/>
        </w:tblCellMar>
      </w:tblPr>
      <w:tr>
        <w:trPr>
          <w:trHeight w:val="250"/>
        </w:trPr>
        <w:tc>
          <w:tcPr>
            <w:tcW w:w="5600" w:type="dxa"/>
            <w:vAlign w:val="bottom"/>
            <w:tcBorders>
              <w:top w:val="single" w:sz="8" w:color="7F7F7F"/>
              <w:bottom w:val="single" w:sz="8" w:color="7F7F7F"/>
            </w:tcBorders>
          </w:tcPr>
          <w:p>
            <w:pPr>
              <w:spacing w:after="0"/>
              <w:rPr>
                <w:sz w:val="20"/>
                <w:szCs w:val="20"/>
                <w:color w:val="auto"/>
              </w:rPr>
            </w:pPr>
            <w:r>
              <w:rPr>
                <w:rFonts w:ascii="Arial" w:cs="Arial" w:eastAsia="Arial" w:hAnsi="Arial"/>
                <w:sz w:val="16"/>
                <w:szCs w:val="16"/>
                <w:i w:val="1"/>
                <w:iCs w:val="1"/>
                <w:color w:val="auto"/>
              </w:rPr>
              <w:t>Weighted-Average Assumptions</w:t>
            </w:r>
          </w:p>
        </w:tc>
        <w:tc>
          <w:tcPr>
            <w:tcW w:w="1660" w:type="dxa"/>
            <w:vAlign w:val="bottom"/>
            <w:tcBorders>
              <w:top w:val="single" w:sz="8" w:color="7F7F7F"/>
              <w:bottom w:val="single" w:sz="8" w:color="7F7F7F"/>
            </w:tcBorders>
          </w:tcPr>
          <w:p>
            <w:pPr>
              <w:spacing w:after="0"/>
              <w:rPr>
                <w:sz w:val="21"/>
                <w:szCs w:val="21"/>
                <w:color w:val="auto"/>
              </w:rPr>
            </w:pPr>
          </w:p>
        </w:tc>
        <w:tc>
          <w:tcPr>
            <w:tcW w:w="660" w:type="dxa"/>
            <w:vAlign w:val="bottom"/>
            <w:tcBorders>
              <w:top w:val="single" w:sz="8" w:color="7F7F7F"/>
              <w:bottom w:val="single" w:sz="8" w:color="7F7F7F"/>
            </w:tcBorders>
          </w:tcPr>
          <w:p>
            <w:pPr>
              <w:jc w:val="right"/>
              <w:spacing w:after="0"/>
              <w:rPr>
                <w:sz w:val="20"/>
                <w:szCs w:val="20"/>
                <w:color w:val="auto"/>
              </w:rPr>
            </w:pPr>
            <w:r>
              <w:rPr>
                <w:rFonts w:ascii="Arial" w:cs="Arial" w:eastAsia="Arial" w:hAnsi="Arial"/>
                <w:sz w:val="16"/>
                <w:szCs w:val="16"/>
                <w:b w:val="1"/>
                <w:bCs w:val="1"/>
                <w:i w:val="1"/>
                <w:iCs w:val="1"/>
                <w:color w:val="auto"/>
              </w:rPr>
              <w:t>2017</w:t>
            </w:r>
          </w:p>
        </w:tc>
        <w:tc>
          <w:tcPr>
            <w:tcW w:w="300" w:type="dxa"/>
            <w:vAlign w:val="bottom"/>
            <w:tcBorders>
              <w:top w:val="single" w:sz="8" w:color="7F7F7F"/>
              <w:bottom w:val="single" w:sz="8" w:color="7F7F7F"/>
            </w:tcBorders>
          </w:tcPr>
          <w:p>
            <w:pPr>
              <w:spacing w:after="0"/>
              <w:rPr>
                <w:sz w:val="21"/>
                <w:szCs w:val="21"/>
                <w:color w:val="auto"/>
              </w:rPr>
            </w:pPr>
          </w:p>
        </w:tc>
        <w:tc>
          <w:tcPr>
            <w:tcW w:w="600" w:type="dxa"/>
            <w:vAlign w:val="bottom"/>
            <w:tcBorders>
              <w:top w:val="single" w:sz="8" w:color="7F7F7F"/>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2016</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6"/>
                <w:szCs w:val="16"/>
                <w:color w:val="auto"/>
              </w:rPr>
              <w:t>Risk-free interest rate</w:t>
            </w: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30"/>
        </w:trPr>
        <w:tc>
          <w:tcPr>
            <w:tcW w:w="5600" w:type="dxa"/>
            <w:vAlign w:val="bottom"/>
          </w:tcPr>
          <w:p>
            <w:pPr>
              <w:spacing w:after="0"/>
              <w:rPr>
                <w:sz w:val="20"/>
                <w:szCs w:val="20"/>
                <w:color w:val="auto"/>
              </w:rPr>
            </w:pPr>
            <w:r>
              <w:rPr>
                <w:rFonts w:ascii="Arial" w:cs="Arial" w:eastAsia="Arial" w:hAnsi="Arial"/>
                <w:sz w:val="16"/>
                <w:szCs w:val="16"/>
                <w:color w:val="auto"/>
              </w:rPr>
              <w:t>Dividend yield</w:t>
            </w:r>
          </w:p>
        </w:tc>
        <w:tc>
          <w:tcPr>
            <w:tcW w:w="1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2.3%</w:t>
            </w: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30"/>
        </w:trPr>
        <w:tc>
          <w:tcPr>
            <w:tcW w:w="5600" w:type="dxa"/>
            <w:vAlign w:val="bottom"/>
            <w:shd w:val="clear" w:color="auto" w:fill="CCEEFF"/>
          </w:tcPr>
          <w:p>
            <w:pPr>
              <w:spacing w:after="0"/>
              <w:rPr>
                <w:sz w:val="20"/>
                <w:szCs w:val="20"/>
                <w:color w:val="auto"/>
              </w:rPr>
            </w:pPr>
            <w:r>
              <w:rPr>
                <w:rFonts w:ascii="Arial" w:cs="Arial" w:eastAsia="Arial" w:hAnsi="Arial"/>
                <w:sz w:val="16"/>
                <w:szCs w:val="16"/>
                <w:color w:val="auto"/>
              </w:rPr>
              <w:t>Expected life (years)</w:t>
            </w:r>
          </w:p>
        </w:tc>
        <w:tc>
          <w:tcPr>
            <w:tcW w:w="16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5.3</w:t>
            </w: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223"/>
        </w:trPr>
        <w:tc>
          <w:tcPr>
            <w:tcW w:w="560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Volatility</w:t>
            </w:r>
          </w:p>
        </w:tc>
        <w:tc>
          <w:tcPr>
            <w:tcW w:w="1660" w:type="dxa"/>
            <w:vAlign w:val="bottom"/>
            <w:tcBorders>
              <w:bottom w:val="single" w:sz="8" w:color="7F7F7F"/>
            </w:tcBorders>
          </w:tcPr>
          <w:p>
            <w:pPr>
              <w:spacing w:after="0"/>
              <w:rPr>
                <w:sz w:val="19"/>
                <w:szCs w:val="19"/>
                <w:color w:val="auto"/>
              </w:rPr>
            </w:pPr>
          </w:p>
        </w:tc>
        <w:tc>
          <w:tcPr>
            <w:tcW w:w="660" w:type="dxa"/>
            <w:vAlign w:val="bottom"/>
            <w:tcBorders>
              <w:bottom w:val="single" w:sz="8" w:color="7F7F7F"/>
            </w:tcBorders>
          </w:tcPr>
          <w:p>
            <w:pPr>
              <w:jc w:val="right"/>
              <w:spacing w:after="0"/>
              <w:rPr>
                <w:sz w:val="20"/>
                <w:szCs w:val="20"/>
                <w:color w:val="auto"/>
              </w:rPr>
            </w:pPr>
            <w:r>
              <w:rPr>
                <w:rFonts w:ascii="Arial" w:cs="Arial" w:eastAsia="Arial" w:hAnsi="Arial"/>
                <w:sz w:val="16"/>
                <w:szCs w:val="16"/>
                <w:b w:val="1"/>
                <w:bCs w:val="1"/>
                <w:color w:val="auto"/>
              </w:rPr>
              <w:t>21.7%</w:t>
            </w:r>
          </w:p>
        </w:tc>
        <w:tc>
          <w:tcPr>
            <w:tcW w:w="300" w:type="dxa"/>
            <w:vAlign w:val="bottom"/>
            <w:tcBorders>
              <w:bottom w:val="single" w:sz="8" w:color="7F7F7F"/>
            </w:tcBorders>
          </w:tcPr>
          <w:p>
            <w:pPr>
              <w:spacing w:after="0"/>
              <w:rPr>
                <w:sz w:val="19"/>
                <w:szCs w:val="19"/>
                <w:color w:val="auto"/>
              </w:rPr>
            </w:pPr>
          </w:p>
        </w:tc>
        <w:tc>
          <w:tcPr>
            <w:tcW w:w="6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23.2%</w:t>
            </w: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Weighted-average grant-date fair value of options granted</w:t>
            </w: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18.19</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11.36</w:t>
            </w:r>
          </w:p>
        </w:tc>
      </w:tr>
      <w:tr>
        <w:trPr>
          <w:trHeight w:val="54"/>
        </w:trPr>
        <w:tc>
          <w:tcPr>
            <w:tcW w:w="5600" w:type="dxa"/>
            <w:vAlign w:val="bottom"/>
            <w:shd w:val="clear" w:color="auto" w:fill="7F7F7F"/>
          </w:tcPr>
          <w:p>
            <w:pPr>
              <w:spacing w:after="0"/>
              <w:rPr>
                <w:sz w:val="4"/>
                <w:szCs w:val="4"/>
                <w:color w:val="auto"/>
              </w:rPr>
            </w:pPr>
          </w:p>
        </w:tc>
        <w:tc>
          <w:tcPr>
            <w:tcW w:w="1660" w:type="dxa"/>
            <w:vAlign w:val="bottom"/>
            <w:shd w:val="clear" w:color="auto" w:fill="7F7F7F"/>
          </w:tcPr>
          <w:p>
            <w:pPr>
              <w:spacing w:after="0"/>
              <w:rPr>
                <w:sz w:val="4"/>
                <w:szCs w:val="4"/>
                <w:color w:val="auto"/>
              </w:rPr>
            </w:pPr>
          </w:p>
        </w:tc>
        <w:tc>
          <w:tcPr>
            <w:tcW w:w="660" w:type="dxa"/>
            <w:vAlign w:val="bottom"/>
            <w:shd w:val="clear" w:color="auto" w:fill="7F7F7F"/>
          </w:tcPr>
          <w:p>
            <w:pPr>
              <w:spacing w:after="0"/>
              <w:rPr>
                <w:sz w:val="4"/>
                <w:szCs w:val="4"/>
                <w:color w:val="auto"/>
              </w:rPr>
            </w:pPr>
          </w:p>
        </w:tc>
        <w:tc>
          <w:tcPr>
            <w:tcW w:w="300" w:type="dxa"/>
            <w:vAlign w:val="bottom"/>
            <w:shd w:val="clear" w:color="auto" w:fill="7F7F7F"/>
          </w:tcPr>
          <w:p>
            <w:pPr>
              <w:spacing w:after="0"/>
              <w:rPr>
                <w:sz w:val="4"/>
                <w:szCs w:val="4"/>
                <w:color w:val="auto"/>
              </w:rPr>
            </w:pPr>
          </w:p>
        </w:tc>
        <w:tc>
          <w:tcPr>
            <w:tcW w:w="600" w:type="dxa"/>
            <w:vAlign w:val="bottom"/>
            <w:shd w:val="clear" w:color="auto" w:fill="7F7F7F"/>
          </w:tcPr>
          <w:p>
            <w:pPr>
              <w:spacing w:after="0"/>
              <w:rPr>
                <w:sz w:val="4"/>
                <w:szCs w:val="4"/>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45085</wp:posOffset>
            </wp:positionV>
            <wp:extent cx="5642610"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0" w:name="page11"/>
    <w:bookmarkEnd w:id="10"/>
    <w:p>
      <w:pPr>
        <w:ind w:left="10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66" w:lineRule="exact"/>
        <w:rPr>
          <w:sz w:val="20"/>
          <w:szCs w:val="20"/>
          <w:color w:val="auto"/>
        </w:rPr>
      </w:pPr>
    </w:p>
    <w:p>
      <w:pPr>
        <w:jc w:val="both"/>
        <w:ind w:left="100" w:right="99"/>
        <w:spacing w:after="0" w:line="215" w:lineRule="auto"/>
        <w:rPr>
          <w:sz w:val="20"/>
          <w:szCs w:val="20"/>
          <w:color w:val="auto"/>
        </w:rPr>
      </w:pPr>
      <w:r>
        <w:rPr>
          <w:rFonts w:ascii="Arial" w:cs="Arial" w:eastAsia="Arial" w:hAnsi="Arial"/>
          <w:sz w:val="18"/>
          <w:szCs w:val="18"/>
          <w:color w:val="auto"/>
        </w:rPr>
        <w:t>The risk-free rate is based on the U.S. Treasury yield curve in effect at the time of grant; the expected dividend yield is calculated as the ratio of dividends paid per share of common stock to the stock price on the date of grant; the expected life is based on historical and expected exercise behavior; and expected volatility is based on the historical volatility of our stock price over the expected life of the option.</w:t>
      </w:r>
    </w:p>
    <w:p>
      <w:pPr>
        <w:spacing w:after="0" w:line="13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 summary of stock option activity during the nine months ended September 30, 2017,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118110</wp:posOffset>
            </wp:positionV>
            <wp:extent cx="5600065"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00065" cy="34290"/>
                    </a:xfrm>
                    <a:prstGeom prst="rect">
                      <a:avLst/>
                    </a:prstGeom>
                    <a:noFill/>
                  </pic:spPr>
                </pic:pic>
              </a:graphicData>
            </a:graphic>
          </wp:anchor>
        </w:drawing>
      </w:r>
    </w:p>
    <w:p>
      <w:pPr>
        <w:spacing w:after="0" w:line="292"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3900" w:type="dxa"/>
            <w:vAlign w:val="bottom"/>
          </w:tcPr>
          <w:p>
            <w:pPr>
              <w:spacing w:after="0"/>
              <w:rPr>
                <w:sz w:val="16"/>
                <w:szCs w:val="16"/>
                <w:color w:val="auto"/>
              </w:rPr>
            </w:pP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6"/>
                <w:szCs w:val="16"/>
                <w:i w:val="1"/>
                <w:iCs w:val="1"/>
                <w:color w:val="auto"/>
              </w:rPr>
              <w:t>Options</w:t>
            </w:r>
          </w:p>
        </w:tc>
        <w:tc>
          <w:tcPr>
            <w:tcW w:w="1280" w:type="dxa"/>
            <w:vAlign w:val="bottom"/>
            <w:gridSpan w:val="2"/>
          </w:tcPr>
          <w:p>
            <w:pPr>
              <w:jc w:val="right"/>
              <w:ind w:right="39"/>
              <w:spacing w:after="0"/>
              <w:rPr>
                <w:sz w:val="20"/>
                <w:szCs w:val="20"/>
                <w:color w:val="auto"/>
              </w:rPr>
            </w:pPr>
            <w:r>
              <w:rPr>
                <w:rFonts w:ascii="Arial" w:cs="Arial" w:eastAsia="Arial" w:hAnsi="Arial"/>
                <w:sz w:val="16"/>
                <w:szCs w:val="16"/>
                <w:i w:val="1"/>
                <w:iCs w:val="1"/>
                <w:color w:val="auto"/>
              </w:rPr>
              <w:t>Weighted-</w:t>
            </w:r>
          </w:p>
        </w:tc>
        <w:tc>
          <w:tcPr>
            <w:tcW w:w="1580" w:type="dxa"/>
            <w:vAlign w:val="bottom"/>
            <w:gridSpan w:val="2"/>
          </w:tcPr>
          <w:p>
            <w:pPr>
              <w:jc w:val="right"/>
              <w:ind w:right="39"/>
              <w:spacing w:after="0"/>
              <w:rPr>
                <w:sz w:val="20"/>
                <w:szCs w:val="20"/>
                <w:color w:val="auto"/>
              </w:rPr>
            </w:pPr>
            <w:r>
              <w:rPr>
                <w:rFonts w:ascii="Arial" w:cs="Arial" w:eastAsia="Arial" w:hAnsi="Arial"/>
                <w:sz w:val="16"/>
                <w:szCs w:val="16"/>
                <w:i w:val="1"/>
                <w:iCs w:val="1"/>
                <w:color w:val="auto"/>
              </w:rPr>
              <w:t>Weighted-Average</w:t>
            </w:r>
          </w:p>
        </w:tc>
        <w:tc>
          <w:tcPr>
            <w:tcW w:w="1120" w:type="dxa"/>
            <w:vAlign w:val="bottom"/>
            <w:gridSpan w:val="2"/>
          </w:tcPr>
          <w:p>
            <w:pPr>
              <w:jc w:val="right"/>
              <w:spacing w:after="0"/>
              <w:rPr>
                <w:sz w:val="20"/>
                <w:szCs w:val="20"/>
                <w:color w:val="auto"/>
              </w:rPr>
            </w:pPr>
            <w:r>
              <w:rPr>
                <w:rFonts w:ascii="Arial" w:cs="Arial" w:eastAsia="Arial" w:hAnsi="Arial"/>
                <w:sz w:val="16"/>
                <w:szCs w:val="16"/>
                <w:i w:val="1"/>
                <w:iCs w:val="1"/>
                <w:color w:val="auto"/>
              </w:rPr>
              <w:t>Aggregate</w:t>
            </w: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jc w:val="right"/>
              <w:ind w:right="79"/>
              <w:spacing w:after="0" w:line="162" w:lineRule="exact"/>
              <w:rPr>
                <w:sz w:val="20"/>
                <w:szCs w:val="20"/>
                <w:color w:val="auto"/>
              </w:rPr>
            </w:pPr>
            <w:r>
              <w:rPr>
                <w:rFonts w:ascii="Arial" w:cs="Arial" w:eastAsia="Arial" w:hAnsi="Arial"/>
                <w:sz w:val="16"/>
                <w:szCs w:val="16"/>
                <w:i w:val="1"/>
                <w:iCs w:val="1"/>
                <w:color w:val="auto"/>
              </w:rPr>
              <w:t>Average</w:t>
            </w:r>
          </w:p>
        </w:tc>
        <w:tc>
          <w:tcPr>
            <w:tcW w:w="1580" w:type="dxa"/>
            <w:vAlign w:val="bottom"/>
            <w:gridSpan w:val="2"/>
          </w:tcPr>
          <w:p>
            <w:pPr>
              <w:jc w:val="right"/>
              <w:ind w:right="39"/>
              <w:spacing w:after="0" w:line="162" w:lineRule="exact"/>
              <w:rPr>
                <w:sz w:val="20"/>
                <w:szCs w:val="20"/>
                <w:color w:val="auto"/>
              </w:rPr>
            </w:pPr>
            <w:r>
              <w:rPr>
                <w:rFonts w:ascii="Arial" w:cs="Arial" w:eastAsia="Arial" w:hAnsi="Arial"/>
                <w:sz w:val="16"/>
                <w:szCs w:val="16"/>
                <w:i w:val="1"/>
                <w:iCs w:val="1"/>
                <w:color w:val="auto"/>
              </w:rPr>
              <w:t>Remaining</w:t>
            </w:r>
          </w:p>
        </w:tc>
        <w:tc>
          <w:tcPr>
            <w:tcW w:w="1120" w:type="dxa"/>
            <w:vAlign w:val="bottom"/>
            <w:gridSpan w:val="2"/>
          </w:tcPr>
          <w:p>
            <w:pPr>
              <w:jc w:val="right"/>
              <w:spacing w:after="0" w:line="162" w:lineRule="exact"/>
              <w:rPr>
                <w:sz w:val="20"/>
                <w:szCs w:val="20"/>
                <w:color w:val="auto"/>
              </w:rPr>
            </w:pPr>
            <w:r>
              <w:rPr>
                <w:rFonts w:ascii="Arial" w:cs="Arial" w:eastAsia="Arial" w:hAnsi="Arial"/>
                <w:sz w:val="16"/>
                <w:szCs w:val="16"/>
                <w:i w:val="1"/>
                <w:iCs w:val="1"/>
                <w:color w:val="auto"/>
              </w:rPr>
              <w:t>Intrinsic Value</w:t>
            </w:r>
          </w:p>
        </w:tc>
        <w:tc>
          <w:tcPr>
            <w:tcW w:w="0" w:type="dxa"/>
            <w:vAlign w:val="bottom"/>
          </w:tcPr>
          <w:p>
            <w:pPr>
              <w:spacing w:after="0"/>
              <w:rPr>
                <w:sz w:val="1"/>
                <w:szCs w:val="1"/>
                <w:color w:val="auto"/>
              </w:rPr>
            </w:pPr>
          </w:p>
        </w:tc>
      </w:tr>
      <w:tr>
        <w:trPr>
          <w:trHeight w:val="196"/>
        </w:trPr>
        <w:tc>
          <w:tcPr>
            <w:tcW w:w="3900" w:type="dxa"/>
            <w:vAlign w:val="bottom"/>
            <w:tcBorders>
              <w:bottom w:val="single" w:sz="8" w:color="7F7F7F"/>
            </w:tcBorders>
          </w:tcPr>
          <w:p>
            <w:pPr>
              <w:spacing w:after="0"/>
              <w:rPr>
                <w:sz w:val="17"/>
                <w:szCs w:val="17"/>
                <w:color w:val="auto"/>
              </w:rPr>
            </w:pPr>
          </w:p>
        </w:tc>
        <w:tc>
          <w:tcPr>
            <w:tcW w:w="940" w:type="dxa"/>
            <w:vAlign w:val="bottom"/>
            <w:tcBorders>
              <w:bottom w:val="single" w:sz="8" w:color="7F7F7F"/>
            </w:tcBorders>
            <w:gridSpan w:val="2"/>
          </w:tcPr>
          <w:p>
            <w:pPr>
              <w:jc w:val="right"/>
              <w:ind w:right="100"/>
              <w:spacing w:after="0"/>
              <w:rPr>
                <w:sz w:val="20"/>
                <w:szCs w:val="20"/>
                <w:color w:val="auto"/>
              </w:rPr>
            </w:pPr>
            <w:r>
              <w:rPr>
                <w:rFonts w:ascii="Arial" w:cs="Arial" w:eastAsia="Arial" w:hAnsi="Arial"/>
                <w:sz w:val="16"/>
                <w:szCs w:val="16"/>
                <w:i w:val="1"/>
                <w:iCs w:val="1"/>
                <w:color w:val="auto"/>
              </w:rPr>
              <w:t>(thous.)</w:t>
            </w:r>
          </w:p>
        </w:tc>
        <w:tc>
          <w:tcPr>
            <w:tcW w:w="1280" w:type="dxa"/>
            <w:vAlign w:val="bottom"/>
            <w:tcBorders>
              <w:bottom w:val="single" w:sz="8" w:color="7F7F7F"/>
            </w:tcBorders>
            <w:gridSpan w:val="2"/>
          </w:tcPr>
          <w:p>
            <w:pPr>
              <w:jc w:val="right"/>
              <w:ind w:right="39"/>
              <w:spacing w:after="0"/>
              <w:rPr>
                <w:sz w:val="20"/>
                <w:szCs w:val="20"/>
                <w:color w:val="auto"/>
              </w:rPr>
            </w:pPr>
            <w:r>
              <w:rPr>
                <w:rFonts w:ascii="Arial" w:cs="Arial" w:eastAsia="Arial" w:hAnsi="Arial"/>
                <w:sz w:val="16"/>
                <w:szCs w:val="16"/>
                <w:i w:val="1"/>
                <w:iCs w:val="1"/>
                <w:color w:val="auto"/>
              </w:rPr>
              <w:t>Exercise Price</w:t>
            </w:r>
          </w:p>
        </w:tc>
        <w:tc>
          <w:tcPr>
            <w:tcW w:w="1580" w:type="dxa"/>
            <w:vAlign w:val="bottom"/>
            <w:tcBorders>
              <w:bottom w:val="single" w:sz="8" w:color="7F7F7F"/>
            </w:tcBorders>
            <w:gridSpan w:val="2"/>
          </w:tcPr>
          <w:p>
            <w:pPr>
              <w:jc w:val="right"/>
              <w:ind w:right="39"/>
              <w:spacing w:after="0"/>
              <w:rPr>
                <w:sz w:val="20"/>
                <w:szCs w:val="20"/>
                <w:color w:val="auto"/>
              </w:rPr>
            </w:pPr>
            <w:r>
              <w:rPr>
                <w:rFonts w:ascii="Arial" w:cs="Arial" w:eastAsia="Arial" w:hAnsi="Arial"/>
                <w:sz w:val="16"/>
                <w:szCs w:val="16"/>
                <w:i w:val="1"/>
                <w:iCs w:val="1"/>
                <w:color w:val="auto"/>
              </w:rPr>
              <w:t>Contractual Term</w:t>
            </w:r>
          </w:p>
        </w:tc>
        <w:tc>
          <w:tcPr>
            <w:tcW w:w="440" w:type="dxa"/>
            <w:vAlign w:val="bottom"/>
            <w:tcBorders>
              <w:bottom w:val="single" w:sz="8" w:color="7F7F7F"/>
            </w:tcBorders>
          </w:tcPr>
          <w:p>
            <w:pPr>
              <w:spacing w:after="0"/>
              <w:rPr>
                <w:sz w:val="17"/>
                <w:szCs w:val="17"/>
                <w:color w:val="auto"/>
              </w:rPr>
            </w:pPr>
          </w:p>
        </w:tc>
        <w:tc>
          <w:tcPr>
            <w:tcW w:w="68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(millions)</w:t>
            </w: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Outstanding at January 1, 2017</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6,162</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73.13</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yrs.</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213"/>
        </w:trPr>
        <w:tc>
          <w:tcPr>
            <w:tcW w:w="3900" w:type="dxa"/>
            <w:vAlign w:val="bottom"/>
          </w:tcPr>
          <w:p>
            <w:pPr>
              <w:spacing w:after="0"/>
              <w:rPr>
                <w:sz w:val="20"/>
                <w:szCs w:val="20"/>
                <w:color w:val="auto"/>
              </w:rPr>
            </w:pPr>
            <w:r>
              <w:rPr>
                <w:rFonts w:ascii="Arial" w:cs="Arial" w:eastAsia="Arial" w:hAnsi="Arial"/>
                <w:sz w:val="16"/>
                <w:szCs w:val="16"/>
                <w:color w:val="auto"/>
              </w:rPr>
              <w:t>Granted</w:t>
            </w:r>
          </w:p>
        </w:tc>
        <w:tc>
          <w:tcPr>
            <w:tcW w:w="840" w:type="dxa"/>
            <w:vAlign w:val="bottom"/>
          </w:tcPr>
          <w:p>
            <w:pPr>
              <w:jc w:val="right"/>
              <w:spacing w:after="0"/>
              <w:rPr>
                <w:sz w:val="20"/>
                <w:szCs w:val="20"/>
                <w:color w:val="auto"/>
              </w:rPr>
            </w:pPr>
            <w:r>
              <w:rPr>
                <w:rFonts w:ascii="Arial" w:cs="Arial" w:eastAsia="Arial" w:hAnsi="Arial"/>
                <w:sz w:val="16"/>
                <w:szCs w:val="16"/>
                <w:color w:val="auto"/>
              </w:rPr>
              <w:t>1,086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107.30</w:t>
            </w:r>
          </w:p>
        </w:tc>
        <w:tc>
          <w:tcPr>
            <w:tcW w:w="1120" w:type="dxa"/>
            <w:vAlign w:val="bottom"/>
          </w:tcPr>
          <w:p>
            <w:pPr>
              <w:spacing w:after="0"/>
              <w:rPr>
                <w:sz w:val="18"/>
                <w:szCs w:val="18"/>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N/A</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Exercised</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(648)</w:t>
            </w: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47.64</w:t>
            </w:r>
          </w:p>
        </w:tc>
        <w:tc>
          <w:tcPr>
            <w:tcW w:w="1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N/A</w:t>
            </w: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0"/>
        </w:trPr>
        <w:tc>
          <w:tcPr>
            <w:tcW w:w="3900" w:type="dxa"/>
            <w:vAlign w:val="bottom"/>
          </w:tcPr>
          <w:p>
            <w:pPr>
              <w:spacing w:after="0"/>
              <w:rPr>
                <w:sz w:val="20"/>
                <w:szCs w:val="20"/>
                <w:color w:val="auto"/>
              </w:rPr>
            </w:pPr>
            <w:r>
              <w:rPr>
                <w:rFonts w:ascii="Arial" w:cs="Arial" w:eastAsia="Arial" w:hAnsi="Arial"/>
                <w:sz w:val="16"/>
                <w:szCs w:val="16"/>
                <w:color w:val="auto"/>
              </w:rPr>
              <w:t>Forfeited or expired</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(90)</w:t>
            </w:r>
          </w:p>
        </w:tc>
        <w:tc>
          <w:tcPr>
            <w:tcW w:w="480" w:type="dxa"/>
            <w:vAlign w:val="bottom"/>
          </w:tcPr>
          <w:p>
            <w:pPr>
              <w:spacing w:after="0"/>
              <w:rPr>
                <w:sz w:val="18"/>
                <w:szCs w:val="18"/>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91.17</w:t>
            </w:r>
          </w:p>
        </w:tc>
        <w:tc>
          <w:tcPr>
            <w:tcW w:w="1120" w:type="dxa"/>
            <w:vAlign w:val="bottom"/>
          </w:tcPr>
          <w:p>
            <w:pPr>
              <w:spacing w:after="0"/>
              <w:rPr>
                <w:sz w:val="18"/>
                <w:szCs w:val="18"/>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N/A</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309"/>
        </w:trPr>
        <w:tc>
          <w:tcPr>
            <w:tcW w:w="3900" w:type="dxa"/>
            <w:vAlign w:val="bottom"/>
            <w:tcBorders>
              <w:top w:val="single" w:sz="8" w:color="7F7F7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Outstanding at September 30, 2017</w:t>
            </w:r>
          </w:p>
        </w:tc>
        <w:tc>
          <w:tcPr>
            <w:tcW w:w="840" w:type="dxa"/>
            <w:vAlign w:val="bottom"/>
            <w:tcBorders>
              <w:top w:val="single" w:sz="8" w:color="808080"/>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6,510</w:t>
            </w:r>
          </w:p>
        </w:tc>
        <w:tc>
          <w:tcPr>
            <w:tcW w:w="100" w:type="dxa"/>
            <w:vAlign w:val="bottom"/>
            <w:tcBorders>
              <w:top w:val="single" w:sz="8" w:color="7F7F7F"/>
              <w:bottom w:val="single" w:sz="8" w:color="CCEEFF"/>
            </w:tcBorders>
            <w:shd w:val="clear" w:color="auto" w:fill="CCEEFF"/>
          </w:tcPr>
          <w:p>
            <w:pPr>
              <w:spacing w:after="0"/>
              <w:rPr>
                <w:sz w:val="24"/>
                <w:szCs w:val="24"/>
                <w:color w:val="auto"/>
              </w:rPr>
            </w:pPr>
          </w:p>
        </w:tc>
        <w:tc>
          <w:tcPr>
            <w:tcW w:w="480" w:type="dxa"/>
            <w:vAlign w:val="bottom"/>
            <w:tcBorders>
              <w:top w:val="single" w:sz="8" w:color="7F7F7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7F7F7F"/>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81.12</w:t>
            </w:r>
          </w:p>
        </w:tc>
        <w:tc>
          <w:tcPr>
            <w:tcW w:w="1120" w:type="dxa"/>
            <w:vAlign w:val="bottom"/>
            <w:tcBorders>
              <w:top w:val="single" w:sz="8" w:color="7F7F7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460" w:type="dxa"/>
            <w:vAlign w:val="bottom"/>
            <w:tcBorders>
              <w:top w:val="single" w:sz="8" w:color="7F7F7F"/>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yrs.</w:t>
            </w:r>
          </w:p>
        </w:tc>
        <w:tc>
          <w:tcPr>
            <w:tcW w:w="440" w:type="dxa"/>
            <w:vAlign w:val="bottom"/>
            <w:tcBorders>
              <w:top w:val="single" w:sz="8" w:color="7F7F7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7F7F7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251"/>
        </w:trPr>
        <w:tc>
          <w:tcPr>
            <w:tcW w:w="3900" w:type="dxa"/>
            <w:vAlign w:val="bottom"/>
            <w:tcBorders>
              <w:top w:val="single" w:sz="8" w:color="7F7F7F"/>
            </w:tcBorders>
          </w:tcPr>
          <w:p>
            <w:pPr>
              <w:spacing w:after="0"/>
              <w:rPr>
                <w:sz w:val="20"/>
                <w:szCs w:val="20"/>
                <w:color w:val="auto"/>
              </w:rPr>
            </w:pPr>
            <w:r>
              <w:rPr>
                <w:rFonts w:ascii="Arial" w:cs="Arial" w:eastAsia="Arial" w:hAnsi="Arial"/>
                <w:sz w:val="16"/>
                <w:szCs w:val="16"/>
                <w:color w:val="auto"/>
              </w:rPr>
              <w:t>Vested or expected to vest at September 30, 2017</w:t>
            </w:r>
          </w:p>
        </w:tc>
        <w:tc>
          <w:tcPr>
            <w:tcW w:w="840" w:type="dxa"/>
            <w:vAlign w:val="bottom"/>
            <w:tcBorders>
              <w:top w:val="single" w:sz="8" w:color="808080"/>
            </w:tcBorders>
          </w:tcPr>
          <w:p>
            <w:pPr>
              <w:jc w:val="right"/>
              <w:spacing w:after="0"/>
              <w:rPr>
                <w:sz w:val="20"/>
                <w:szCs w:val="20"/>
                <w:color w:val="auto"/>
              </w:rPr>
            </w:pPr>
            <w:r>
              <w:rPr>
                <w:rFonts w:ascii="Arial" w:cs="Arial" w:eastAsia="Arial" w:hAnsi="Arial"/>
                <w:sz w:val="16"/>
                <w:szCs w:val="16"/>
                <w:color w:val="auto"/>
              </w:rPr>
              <w:t>6,477</w:t>
            </w:r>
          </w:p>
        </w:tc>
        <w:tc>
          <w:tcPr>
            <w:tcW w:w="100" w:type="dxa"/>
            <w:vAlign w:val="bottom"/>
            <w:tcBorders>
              <w:top w:val="single" w:sz="8" w:color="7F7F7F"/>
            </w:tcBorders>
          </w:tcPr>
          <w:p>
            <w:pPr>
              <w:spacing w:after="0"/>
              <w:rPr>
                <w:sz w:val="21"/>
                <w:szCs w:val="21"/>
                <w:color w:val="auto"/>
              </w:rPr>
            </w:pPr>
          </w:p>
        </w:tc>
        <w:tc>
          <w:tcPr>
            <w:tcW w:w="480" w:type="dxa"/>
            <w:vAlign w:val="bottom"/>
            <w:tcBorders>
              <w:top w:val="single" w:sz="8" w:color="7F7F7F"/>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7F7F7F"/>
            </w:tcBorders>
          </w:tcPr>
          <w:p>
            <w:pPr>
              <w:jc w:val="right"/>
              <w:ind w:right="79"/>
              <w:spacing w:after="0"/>
              <w:rPr>
                <w:sz w:val="20"/>
                <w:szCs w:val="20"/>
                <w:color w:val="auto"/>
              </w:rPr>
            </w:pPr>
            <w:r>
              <w:rPr>
                <w:rFonts w:ascii="Arial" w:cs="Arial" w:eastAsia="Arial" w:hAnsi="Arial"/>
                <w:sz w:val="16"/>
                <w:szCs w:val="16"/>
                <w:color w:val="auto"/>
              </w:rPr>
              <w:t>80.98</w:t>
            </w:r>
          </w:p>
        </w:tc>
        <w:tc>
          <w:tcPr>
            <w:tcW w:w="1120" w:type="dxa"/>
            <w:vAlign w:val="bottom"/>
            <w:tcBorders>
              <w:top w:val="single" w:sz="8" w:color="7F7F7F"/>
            </w:tcBorders>
          </w:tcPr>
          <w:p>
            <w:pPr>
              <w:jc w:val="right"/>
              <w:spacing w:after="0"/>
              <w:rPr>
                <w:sz w:val="20"/>
                <w:szCs w:val="20"/>
                <w:color w:val="auto"/>
              </w:rPr>
            </w:pPr>
            <w:r>
              <w:rPr>
                <w:rFonts w:ascii="Arial" w:cs="Arial" w:eastAsia="Arial" w:hAnsi="Arial"/>
                <w:sz w:val="16"/>
                <w:szCs w:val="16"/>
                <w:color w:val="auto"/>
              </w:rPr>
              <w:t>6.0</w:t>
            </w:r>
          </w:p>
        </w:tc>
        <w:tc>
          <w:tcPr>
            <w:tcW w:w="460" w:type="dxa"/>
            <w:vAlign w:val="bottom"/>
            <w:tcBorders>
              <w:top w:val="single" w:sz="8" w:color="7F7F7F"/>
            </w:tcBorders>
          </w:tcPr>
          <w:p>
            <w:pPr>
              <w:jc w:val="right"/>
              <w:ind w:right="39"/>
              <w:spacing w:after="0"/>
              <w:rPr>
                <w:sz w:val="20"/>
                <w:szCs w:val="20"/>
                <w:color w:val="auto"/>
              </w:rPr>
            </w:pPr>
            <w:r>
              <w:rPr>
                <w:rFonts w:ascii="Arial" w:cs="Arial" w:eastAsia="Arial" w:hAnsi="Arial"/>
                <w:sz w:val="16"/>
                <w:szCs w:val="16"/>
                <w:color w:val="auto"/>
              </w:rPr>
              <w:t>yrs.</w:t>
            </w:r>
          </w:p>
        </w:tc>
        <w:tc>
          <w:tcPr>
            <w:tcW w:w="440" w:type="dxa"/>
            <w:vAlign w:val="bottom"/>
            <w:tcBorders>
              <w:top w:val="single" w:sz="8" w:color="7F7F7F"/>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7F7F7F"/>
            </w:tcBorders>
          </w:tcPr>
          <w:p>
            <w:pPr>
              <w:jc w:val="right"/>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54"/>
        </w:trPr>
        <w:tc>
          <w:tcPr>
            <w:tcW w:w="3900" w:type="dxa"/>
            <w:vAlign w:val="bottom"/>
            <w:tcBorders>
              <w:bottom w:val="single" w:sz="8" w:color="7F7F7F"/>
            </w:tcBorders>
          </w:tcPr>
          <w:p>
            <w:pPr>
              <w:spacing w:after="0"/>
              <w:rPr>
                <w:sz w:val="4"/>
                <w:szCs w:val="4"/>
                <w:color w:val="auto"/>
              </w:rPr>
            </w:pPr>
          </w:p>
        </w:tc>
        <w:tc>
          <w:tcPr>
            <w:tcW w:w="840" w:type="dxa"/>
            <w:vAlign w:val="bottom"/>
            <w:tcBorders>
              <w:bottom w:val="single" w:sz="8" w:color="808080"/>
            </w:tcBorders>
          </w:tcPr>
          <w:p>
            <w:pPr>
              <w:spacing w:after="0"/>
              <w:rPr>
                <w:sz w:val="4"/>
                <w:szCs w:val="4"/>
                <w:color w:val="auto"/>
              </w:rPr>
            </w:pPr>
          </w:p>
        </w:tc>
        <w:tc>
          <w:tcPr>
            <w:tcW w:w="100" w:type="dxa"/>
            <w:vAlign w:val="bottom"/>
            <w:tcBorders>
              <w:bottom w:val="single" w:sz="8" w:color="7F7F7F"/>
            </w:tcBorders>
          </w:tcPr>
          <w:p>
            <w:pPr>
              <w:spacing w:after="0"/>
              <w:rPr>
                <w:sz w:val="4"/>
                <w:szCs w:val="4"/>
                <w:color w:val="auto"/>
              </w:rPr>
            </w:pPr>
          </w:p>
        </w:tc>
        <w:tc>
          <w:tcPr>
            <w:tcW w:w="480" w:type="dxa"/>
            <w:vAlign w:val="bottom"/>
            <w:tcBorders>
              <w:bottom w:val="single" w:sz="8" w:color="7F7F7F"/>
            </w:tcBorders>
          </w:tcPr>
          <w:p>
            <w:pPr>
              <w:spacing w:after="0"/>
              <w:rPr>
                <w:sz w:val="4"/>
                <w:szCs w:val="4"/>
                <w:color w:val="auto"/>
              </w:rPr>
            </w:pPr>
          </w:p>
        </w:tc>
        <w:tc>
          <w:tcPr>
            <w:tcW w:w="800" w:type="dxa"/>
            <w:vAlign w:val="bottom"/>
            <w:tcBorders>
              <w:bottom w:val="single" w:sz="8" w:color="7F7F7F"/>
            </w:tcBorders>
          </w:tcPr>
          <w:p>
            <w:pPr>
              <w:spacing w:after="0"/>
              <w:rPr>
                <w:sz w:val="4"/>
                <w:szCs w:val="4"/>
                <w:color w:val="auto"/>
              </w:rPr>
            </w:pPr>
          </w:p>
        </w:tc>
        <w:tc>
          <w:tcPr>
            <w:tcW w:w="1120" w:type="dxa"/>
            <w:vAlign w:val="bottom"/>
            <w:tcBorders>
              <w:bottom w:val="single" w:sz="8" w:color="7F7F7F"/>
            </w:tcBorders>
          </w:tcPr>
          <w:p>
            <w:pPr>
              <w:spacing w:after="0"/>
              <w:rPr>
                <w:sz w:val="4"/>
                <w:szCs w:val="4"/>
                <w:color w:val="auto"/>
              </w:rPr>
            </w:pPr>
          </w:p>
        </w:tc>
        <w:tc>
          <w:tcPr>
            <w:tcW w:w="460" w:type="dxa"/>
            <w:vAlign w:val="bottom"/>
            <w:tcBorders>
              <w:bottom w:val="single" w:sz="8" w:color="7F7F7F"/>
            </w:tcBorders>
          </w:tcPr>
          <w:p>
            <w:pPr>
              <w:spacing w:after="0"/>
              <w:rPr>
                <w:sz w:val="4"/>
                <w:szCs w:val="4"/>
                <w:color w:val="auto"/>
              </w:rPr>
            </w:pPr>
          </w:p>
        </w:tc>
        <w:tc>
          <w:tcPr>
            <w:tcW w:w="440" w:type="dxa"/>
            <w:vAlign w:val="bottom"/>
            <w:tcBorders>
              <w:bottom w:val="single" w:sz="8" w:color="7F7F7F"/>
            </w:tcBorders>
          </w:tcPr>
          <w:p>
            <w:pPr>
              <w:spacing w:after="0"/>
              <w:rPr>
                <w:sz w:val="4"/>
                <w:szCs w:val="4"/>
                <w:color w:val="auto"/>
              </w:rPr>
            </w:pPr>
          </w:p>
        </w:tc>
        <w:tc>
          <w:tcPr>
            <w:tcW w:w="68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Options exercisable at September 30, 2017</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4,118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72.95</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yrs.</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54"/>
        </w:trPr>
        <w:tc>
          <w:tcPr>
            <w:tcW w:w="3900" w:type="dxa"/>
            <w:vAlign w:val="bottom"/>
            <w:shd w:val="clear" w:color="auto" w:fill="7F7F7F"/>
          </w:tcPr>
          <w:p>
            <w:pPr>
              <w:spacing w:after="0"/>
              <w:rPr>
                <w:sz w:val="4"/>
                <w:szCs w:val="4"/>
                <w:color w:val="auto"/>
              </w:rPr>
            </w:pPr>
          </w:p>
        </w:tc>
        <w:tc>
          <w:tcPr>
            <w:tcW w:w="840" w:type="dxa"/>
            <w:vAlign w:val="bottom"/>
            <w:shd w:val="clear" w:color="auto" w:fill="808080"/>
          </w:tcPr>
          <w:p>
            <w:pPr>
              <w:spacing w:after="0"/>
              <w:rPr>
                <w:sz w:val="4"/>
                <w:szCs w:val="4"/>
                <w:color w:val="auto"/>
              </w:rPr>
            </w:pPr>
          </w:p>
        </w:tc>
        <w:tc>
          <w:tcPr>
            <w:tcW w:w="100" w:type="dxa"/>
            <w:vAlign w:val="bottom"/>
            <w:shd w:val="clear" w:color="auto" w:fill="7F7F7F"/>
          </w:tcPr>
          <w:p>
            <w:pPr>
              <w:spacing w:after="0"/>
              <w:rPr>
                <w:sz w:val="4"/>
                <w:szCs w:val="4"/>
                <w:color w:val="auto"/>
              </w:rPr>
            </w:pPr>
          </w:p>
        </w:tc>
        <w:tc>
          <w:tcPr>
            <w:tcW w:w="480" w:type="dxa"/>
            <w:vAlign w:val="bottom"/>
            <w:shd w:val="clear" w:color="auto" w:fill="7F7F7F"/>
          </w:tcPr>
          <w:p>
            <w:pPr>
              <w:spacing w:after="0"/>
              <w:rPr>
                <w:sz w:val="4"/>
                <w:szCs w:val="4"/>
                <w:color w:val="auto"/>
              </w:rPr>
            </w:pPr>
          </w:p>
        </w:tc>
        <w:tc>
          <w:tcPr>
            <w:tcW w:w="800" w:type="dxa"/>
            <w:vAlign w:val="bottom"/>
            <w:shd w:val="clear" w:color="auto" w:fill="7F7F7F"/>
          </w:tcPr>
          <w:p>
            <w:pPr>
              <w:spacing w:after="0"/>
              <w:rPr>
                <w:sz w:val="4"/>
                <w:szCs w:val="4"/>
                <w:color w:val="auto"/>
              </w:rPr>
            </w:pPr>
          </w:p>
        </w:tc>
        <w:tc>
          <w:tcPr>
            <w:tcW w:w="1120" w:type="dxa"/>
            <w:vAlign w:val="bottom"/>
            <w:shd w:val="clear" w:color="auto" w:fill="7F7F7F"/>
          </w:tcPr>
          <w:p>
            <w:pPr>
              <w:spacing w:after="0"/>
              <w:rPr>
                <w:sz w:val="4"/>
                <w:szCs w:val="4"/>
                <w:color w:val="auto"/>
              </w:rPr>
            </w:pPr>
          </w:p>
        </w:tc>
        <w:tc>
          <w:tcPr>
            <w:tcW w:w="460" w:type="dxa"/>
            <w:vAlign w:val="bottom"/>
            <w:shd w:val="clear" w:color="auto" w:fill="7F7F7F"/>
          </w:tcPr>
          <w:p>
            <w:pPr>
              <w:spacing w:after="0"/>
              <w:rPr>
                <w:sz w:val="4"/>
                <w:szCs w:val="4"/>
                <w:color w:val="auto"/>
              </w:rPr>
            </w:pPr>
          </w:p>
        </w:tc>
        <w:tc>
          <w:tcPr>
            <w:tcW w:w="440" w:type="dxa"/>
            <w:vAlign w:val="bottom"/>
            <w:shd w:val="clear" w:color="auto" w:fill="7F7F7F"/>
          </w:tcPr>
          <w:p>
            <w:pPr>
              <w:spacing w:after="0"/>
              <w:rPr>
                <w:sz w:val="4"/>
                <w:szCs w:val="4"/>
                <w:color w:val="auto"/>
              </w:rPr>
            </w:pPr>
          </w:p>
        </w:tc>
        <w:tc>
          <w:tcPr>
            <w:tcW w:w="680" w:type="dxa"/>
            <w:vAlign w:val="bottom"/>
            <w:shd w:val="clear" w:color="auto" w:fill="7F7F7F"/>
          </w:tcPr>
          <w:p>
            <w:pPr>
              <w:spacing w:after="0"/>
              <w:rPr>
                <w:sz w:val="4"/>
                <w:szCs w:val="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100" w:right="99"/>
        <w:spacing w:after="0" w:line="219" w:lineRule="auto"/>
        <w:rPr>
          <w:sz w:val="20"/>
          <w:szCs w:val="20"/>
          <w:color w:val="auto"/>
        </w:rPr>
      </w:pPr>
      <w:r>
        <w:rPr>
          <w:rFonts w:ascii="Arial" w:cs="Arial" w:eastAsia="Arial" w:hAnsi="Arial"/>
          <w:sz w:val="18"/>
          <w:szCs w:val="18"/>
          <w:color w:val="auto"/>
        </w:rPr>
        <w:t>Stock options are granted at the closing price on the date of grant, have ten-year contractual terms, and vest no later than three years from the date of grant. None of the stock options outstanding at September 30, 2017, are subject to performance or market-based vesting conditions.</w:t>
      </w:r>
    </w:p>
    <w:p>
      <w:pPr>
        <w:spacing w:after="0" w:line="136" w:lineRule="exact"/>
        <w:rPr>
          <w:sz w:val="20"/>
          <w:szCs w:val="20"/>
          <w:color w:val="auto"/>
        </w:rPr>
      </w:pPr>
    </w:p>
    <w:p>
      <w:pPr>
        <w:jc w:val="both"/>
        <w:ind w:left="100" w:right="99"/>
        <w:spacing w:after="0" w:line="219" w:lineRule="auto"/>
        <w:rPr>
          <w:sz w:val="20"/>
          <w:szCs w:val="20"/>
          <w:color w:val="auto"/>
        </w:rPr>
      </w:pPr>
      <w:r>
        <w:rPr>
          <w:rFonts w:ascii="Arial" w:cs="Arial" w:eastAsia="Arial" w:hAnsi="Arial"/>
          <w:sz w:val="18"/>
          <w:szCs w:val="18"/>
          <w:color w:val="auto"/>
        </w:rPr>
        <w:t>At September 30, 2017, there was $22 million of unrecognized compensation expense related to nonvested stock options, which is expected to be recognized over a weighted-average period of 1.4 years. Additional information regarding stock option exercises appears in the table below:</w:t>
      </w:r>
    </w:p>
    <w:p>
      <w:pPr>
        <w:spacing w:after="0" w:line="171" w:lineRule="exact"/>
        <w:rPr>
          <w:sz w:val="20"/>
          <w:szCs w:val="20"/>
          <w:color w:val="auto"/>
        </w:rPr>
      </w:pPr>
    </w:p>
    <w:tbl>
      <w:tblPr>
        <w:tblLayout w:type="fixed"/>
        <w:tblInd w:w="100" w:type="dxa"/>
        <w:tblCellMar>
          <w:top w:w="0" w:type="dxa"/>
          <w:left w:w="0" w:type="dxa"/>
          <w:bottom w:w="0" w:type="dxa"/>
          <w:right w:w="0" w:type="dxa"/>
        </w:tblCellMar>
      </w:tblPr>
      <w:tr>
        <w:trPr>
          <w:trHeight w:val="256"/>
        </w:trPr>
        <w:tc>
          <w:tcPr>
            <w:tcW w:w="5040" w:type="dxa"/>
            <w:vAlign w:val="bottom"/>
            <w:tcBorders>
              <w:top w:val="single" w:sz="8" w:color="7F7F7F"/>
            </w:tcBorders>
          </w:tcPr>
          <w:p>
            <w:pPr>
              <w:spacing w:after="0"/>
              <w:rPr>
                <w:sz w:val="22"/>
                <w:szCs w:val="22"/>
                <w:color w:val="auto"/>
              </w:rPr>
            </w:pPr>
          </w:p>
        </w:tc>
        <w:tc>
          <w:tcPr>
            <w:tcW w:w="1860" w:type="dxa"/>
            <w:vAlign w:val="bottom"/>
            <w:tcBorders>
              <w:top w:val="single" w:sz="8" w:color="7F7F7F"/>
            </w:tcBorders>
            <w:gridSpan w:val="4"/>
          </w:tcPr>
          <w:p>
            <w:pPr>
              <w:jc w:val="right"/>
              <w:ind w:right="79"/>
              <w:spacing w:after="0"/>
              <w:rPr>
                <w:sz w:val="20"/>
                <w:szCs w:val="20"/>
                <w:color w:val="auto"/>
              </w:rPr>
            </w:pPr>
            <w:r>
              <w:rPr>
                <w:rFonts w:ascii="Arial" w:cs="Arial" w:eastAsia="Arial" w:hAnsi="Arial"/>
                <w:sz w:val="16"/>
                <w:szCs w:val="16"/>
                <w:i w:val="1"/>
                <w:iCs w:val="1"/>
                <w:color w:val="auto"/>
              </w:rPr>
              <w:t>Three Months Ended</w:t>
            </w:r>
          </w:p>
        </w:tc>
        <w:tc>
          <w:tcPr>
            <w:tcW w:w="180" w:type="dxa"/>
            <w:vAlign w:val="bottom"/>
            <w:tcBorders>
              <w:top w:val="single" w:sz="8" w:color="808080"/>
            </w:tcBorders>
          </w:tcPr>
          <w:p>
            <w:pPr>
              <w:spacing w:after="0"/>
              <w:rPr>
                <w:sz w:val="22"/>
                <w:szCs w:val="22"/>
                <w:color w:val="auto"/>
              </w:rPr>
            </w:pPr>
          </w:p>
        </w:tc>
        <w:tc>
          <w:tcPr>
            <w:tcW w:w="1740" w:type="dxa"/>
            <w:vAlign w:val="bottom"/>
            <w:tcBorders>
              <w:top w:val="single" w:sz="8" w:color="808080"/>
            </w:tcBorders>
            <w:gridSpan w:val="4"/>
          </w:tcPr>
          <w:p>
            <w:pPr>
              <w:jc w:val="right"/>
              <w:ind w:right="79"/>
              <w:spacing w:after="0"/>
              <w:rPr>
                <w:sz w:val="20"/>
                <w:szCs w:val="20"/>
                <w:color w:val="auto"/>
              </w:rPr>
            </w:pPr>
            <w:r>
              <w:rPr>
                <w:rFonts w:ascii="Arial" w:cs="Arial" w:eastAsia="Arial" w:hAnsi="Arial"/>
                <w:sz w:val="16"/>
                <w:szCs w:val="16"/>
                <w:i w:val="1"/>
                <w:iCs w:val="1"/>
                <w:color w:val="auto"/>
              </w:rPr>
              <w:t>Nine Months Ended</w:t>
            </w:r>
          </w:p>
        </w:tc>
      </w:tr>
      <w:tr>
        <w:trPr>
          <w:trHeight w:val="197"/>
        </w:trPr>
        <w:tc>
          <w:tcPr>
            <w:tcW w:w="5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20" w:type="dxa"/>
            <w:vAlign w:val="bottom"/>
            <w:gridSpan w:val="4"/>
          </w:tcPr>
          <w:p>
            <w:pPr>
              <w:jc w:val="right"/>
              <w:ind w:right="580"/>
              <w:spacing w:after="0"/>
              <w:rPr>
                <w:sz w:val="20"/>
                <w:szCs w:val="20"/>
                <w:color w:val="auto"/>
              </w:rPr>
            </w:pPr>
            <w:r>
              <w:rPr>
                <w:rFonts w:ascii="Arial" w:cs="Arial" w:eastAsia="Arial" w:hAnsi="Arial"/>
                <w:sz w:val="16"/>
                <w:szCs w:val="16"/>
                <w:i w:val="1"/>
                <w:iCs w:val="1"/>
                <w:color w:val="auto"/>
              </w:rPr>
              <w:t>September 30,</w:t>
            </w:r>
          </w:p>
        </w:tc>
        <w:tc>
          <w:tcPr>
            <w:tcW w:w="260" w:type="dxa"/>
            <w:vAlign w:val="bottom"/>
          </w:tcPr>
          <w:p>
            <w:pPr>
              <w:spacing w:after="0"/>
              <w:rPr>
                <w:sz w:val="17"/>
                <w:szCs w:val="17"/>
                <w:color w:val="auto"/>
              </w:rPr>
            </w:pPr>
          </w:p>
        </w:tc>
        <w:tc>
          <w:tcPr>
            <w:tcW w:w="1480" w:type="dxa"/>
            <w:vAlign w:val="bottom"/>
            <w:gridSpan w:val="3"/>
          </w:tcPr>
          <w:p>
            <w:pPr>
              <w:jc w:val="right"/>
              <w:ind w:right="259"/>
              <w:spacing w:after="0"/>
              <w:rPr>
                <w:sz w:val="20"/>
                <w:szCs w:val="20"/>
                <w:color w:val="auto"/>
              </w:rPr>
            </w:pPr>
            <w:r>
              <w:rPr>
                <w:rFonts w:ascii="Arial" w:cs="Arial" w:eastAsia="Arial" w:hAnsi="Arial"/>
                <w:sz w:val="16"/>
                <w:szCs w:val="16"/>
                <w:i w:val="1"/>
                <w:iCs w:val="1"/>
                <w:color w:val="auto"/>
              </w:rPr>
              <w:t>September 30,</w:t>
            </w:r>
          </w:p>
        </w:tc>
      </w:tr>
      <w:tr>
        <w:trPr>
          <w:trHeight w:val="196"/>
        </w:trPr>
        <w:tc>
          <w:tcPr>
            <w:tcW w:w="5040" w:type="dxa"/>
            <w:vAlign w:val="bottom"/>
            <w:tcBorders>
              <w:bottom w:val="single" w:sz="8" w:color="7F7F7F"/>
            </w:tcBorders>
          </w:tcPr>
          <w:p>
            <w:pPr>
              <w:spacing w:after="0"/>
              <w:rPr>
                <w:sz w:val="20"/>
                <w:szCs w:val="20"/>
                <w:color w:val="auto"/>
              </w:rPr>
            </w:pPr>
            <w:r>
              <w:rPr>
                <w:rFonts w:ascii="Arial" w:cs="Arial" w:eastAsia="Arial" w:hAnsi="Arial"/>
                <w:sz w:val="16"/>
                <w:szCs w:val="16"/>
                <w:i w:val="1"/>
                <w:iCs w:val="1"/>
                <w:color w:val="auto"/>
              </w:rPr>
              <w:t>Millions</w:t>
            </w:r>
          </w:p>
        </w:tc>
        <w:tc>
          <w:tcPr>
            <w:tcW w:w="320" w:type="dxa"/>
            <w:vAlign w:val="bottom"/>
            <w:tcBorders>
              <w:top w:val="single" w:sz="8" w:color="808080"/>
              <w:bottom w:val="single" w:sz="8" w:color="7F7F7F"/>
            </w:tcBorders>
          </w:tcPr>
          <w:p>
            <w:pPr>
              <w:spacing w:after="0"/>
              <w:rPr>
                <w:sz w:val="17"/>
                <w:szCs w:val="17"/>
                <w:color w:val="auto"/>
              </w:rPr>
            </w:pPr>
          </w:p>
        </w:tc>
        <w:tc>
          <w:tcPr>
            <w:tcW w:w="680" w:type="dxa"/>
            <w:vAlign w:val="bottom"/>
            <w:tcBorders>
              <w:top w:val="single" w:sz="8" w:color="808080"/>
              <w:bottom w:val="single" w:sz="8" w:color="7F7F7F"/>
            </w:tcBorders>
          </w:tcPr>
          <w:p>
            <w:pPr>
              <w:jc w:val="right"/>
              <w:ind w:right="39"/>
              <w:spacing w:after="0"/>
              <w:rPr>
                <w:sz w:val="20"/>
                <w:szCs w:val="20"/>
                <w:color w:val="auto"/>
              </w:rPr>
            </w:pPr>
            <w:r>
              <w:rPr>
                <w:rFonts w:ascii="Arial" w:cs="Arial" w:eastAsia="Arial" w:hAnsi="Arial"/>
                <w:sz w:val="16"/>
                <w:szCs w:val="16"/>
                <w:b w:val="1"/>
                <w:bCs w:val="1"/>
                <w:i w:val="1"/>
                <w:iCs w:val="1"/>
                <w:color w:val="auto"/>
              </w:rPr>
              <w:t>2017</w:t>
            </w:r>
          </w:p>
        </w:tc>
        <w:tc>
          <w:tcPr>
            <w:tcW w:w="320" w:type="dxa"/>
            <w:vAlign w:val="bottom"/>
            <w:tcBorders>
              <w:top w:val="single" w:sz="8" w:color="808080"/>
              <w:bottom w:val="single" w:sz="8" w:color="7F7F7F"/>
            </w:tcBorders>
          </w:tcPr>
          <w:p>
            <w:pPr>
              <w:spacing w:after="0"/>
              <w:rPr>
                <w:sz w:val="17"/>
                <w:szCs w:val="17"/>
                <w:color w:val="auto"/>
              </w:rPr>
            </w:pPr>
          </w:p>
        </w:tc>
        <w:tc>
          <w:tcPr>
            <w:tcW w:w="540" w:type="dxa"/>
            <w:vAlign w:val="bottom"/>
            <w:tcBorders>
              <w:top w:val="single" w:sz="8" w:color="808080"/>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2016</w:t>
            </w:r>
          </w:p>
        </w:tc>
        <w:tc>
          <w:tcPr>
            <w:tcW w:w="180" w:type="dxa"/>
            <w:vAlign w:val="bottom"/>
            <w:tcBorders>
              <w:bottom w:val="single" w:sz="8" w:color="808080"/>
            </w:tcBorders>
          </w:tcPr>
          <w:p>
            <w:pPr>
              <w:spacing w:after="0"/>
              <w:rPr>
                <w:sz w:val="17"/>
                <w:szCs w:val="17"/>
                <w:color w:val="auto"/>
              </w:rPr>
            </w:pPr>
          </w:p>
        </w:tc>
        <w:tc>
          <w:tcPr>
            <w:tcW w:w="260" w:type="dxa"/>
            <w:vAlign w:val="bottom"/>
            <w:tcBorders>
              <w:top w:val="single" w:sz="8" w:color="808080"/>
              <w:bottom w:val="single" w:sz="8" w:color="808080"/>
            </w:tcBorders>
          </w:tcPr>
          <w:p>
            <w:pPr>
              <w:spacing w:after="0"/>
              <w:rPr>
                <w:sz w:val="17"/>
                <w:szCs w:val="17"/>
                <w:color w:val="auto"/>
              </w:rPr>
            </w:pPr>
          </w:p>
        </w:tc>
        <w:tc>
          <w:tcPr>
            <w:tcW w:w="640" w:type="dxa"/>
            <w:vAlign w:val="bottom"/>
            <w:tcBorders>
              <w:top w:val="single" w:sz="8" w:color="808080"/>
              <w:bottom w:val="single" w:sz="8" w:color="808080"/>
            </w:tcBorders>
          </w:tcPr>
          <w:p>
            <w:pPr>
              <w:jc w:val="right"/>
              <w:ind w:right="19"/>
              <w:spacing w:after="0"/>
              <w:rPr>
                <w:sz w:val="20"/>
                <w:szCs w:val="20"/>
                <w:color w:val="auto"/>
              </w:rPr>
            </w:pPr>
            <w:r>
              <w:rPr>
                <w:rFonts w:ascii="Arial" w:cs="Arial" w:eastAsia="Arial" w:hAnsi="Arial"/>
                <w:sz w:val="16"/>
                <w:szCs w:val="16"/>
                <w:b w:val="1"/>
                <w:bCs w:val="1"/>
                <w:i w:val="1"/>
                <w:iCs w:val="1"/>
                <w:color w:val="auto"/>
              </w:rPr>
              <w:t>2017</w:t>
            </w:r>
          </w:p>
        </w:tc>
        <w:tc>
          <w:tcPr>
            <w:tcW w:w="300" w:type="dxa"/>
            <w:vAlign w:val="bottom"/>
            <w:tcBorders>
              <w:top w:val="single" w:sz="8" w:color="808080"/>
              <w:bottom w:val="single" w:sz="8" w:color="808080"/>
            </w:tcBorders>
          </w:tcPr>
          <w:p>
            <w:pPr>
              <w:spacing w:after="0"/>
              <w:rPr>
                <w:sz w:val="17"/>
                <w:szCs w:val="17"/>
                <w:color w:val="auto"/>
              </w:rPr>
            </w:pPr>
          </w:p>
        </w:tc>
        <w:tc>
          <w:tcPr>
            <w:tcW w:w="54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6"/>
                <w:szCs w:val="16"/>
                <w:i w:val="1"/>
                <w:iCs w:val="1"/>
                <w:color w:val="auto"/>
              </w:rPr>
              <w:t>2016</w:t>
            </w:r>
          </w:p>
        </w:tc>
      </w:tr>
      <w:tr>
        <w:trPr>
          <w:trHeight w:val="203"/>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Intrinsic value of stock options exercised</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10</w:t>
            </w:r>
          </w:p>
        </w:tc>
        <w:tc>
          <w:tcPr>
            <w:tcW w:w="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40</w:t>
            </w:r>
          </w:p>
        </w:tc>
        <w:tc>
          <w:tcPr>
            <w:tcW w:w="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15"/>
        </w:trPr>
        <w:tc>
          <w:tcPr>
            <w:tcW w:w="5040" w:type="dxa"/>
            <w:vAlign w:val="bottom"/>
          </w:tcPr>
          <w:p>
            <w:pPr>
              <w:spacing w:after="0"/>
              <w:rPr>
                <w:sz w:val="20"/>
                <w:szCs w:val="20"/>
                <w:color w:val="auto"/>
              </w:rPr>
            </w:pPr>
            <w:r>
              <w:rPr>
                <w:rFonts w:ascii="Arial" w:cs="Arial" w:eastAsia="Arial" w:hAnsi="Arial"/>
                <w:sz w:val="16"/>
                <w:szCs w:val="16"/>
                <w:color w:val="auto"/>
              </w:rPr>
              <w:t>Cash received from option exercises</w:t>
            </w:r>
          </w:p>
        </w:tc>
        <w:tc>
          <w:tcPr>
            <w:tcW w:w="320" w:type="dxa"/>
            <w:vAlign w:val="bottom"/>
          </w:tcPr>
          <w:p>
            <w:pPr>
              <w:spacing w:after="0"/>
              <w:rPr>
                <w:sz w:val="18"/>
                <w:szCs w:val="18"/>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b w:val="1"/>
                <w:bCs w:val="1"/>
                <w:color w:val="auto"/>
              </w:rPr>
              <w:t>11</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b w:val="1"/>
                <w:bCs w:val="1"/>
                <w:color w:val="auto"/>
              </w:rPr>
              <w:t>39</w:t>
            </w:r>
          </w:p>
        </w:tc>
        <w:tc>
          <w:tcPr>
            <w:tcW w:w="3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7"/>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Treasury shares repurchased for employee payroll taxes</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15"/>
        </w:trPr>
        <w:tc>
          <w:tcPr>
            <w:tcW w:w="5040" w:type="dxa"/>
            <w:vAlign w:val="bottom"/>
          </w:tcPr>
          <w:p>
            <w:pPr>
              <w:spacing w:after="0"/>
              <w:rPr>
                <w:sz w:val="20"/>
                <w:szCs w:val="20"/>
                <w:color w:val="auto"/>
              </w:rPr>
            </w:pPr>
            <w:r>
              <w:rPr>
                <w:rFonts w:ascii="Arial" w:cs="Arial" w:eastAsia="Arial" w:hAnsi="Arial"/>
                <w:sz w:val="16"/>
                <w:szCs w:val="16"/>
                <w:color w:val="auto"/>
              </w:rPr>
              <w:t>Tax benefit realized from option exercises</w:t>
            </w:r>
          </w:p>
        </w:tc>
        <w:tc>
          <w:tcPr>
            <w:tcW w:w="320" w:type="dxa"/>
            <w:vAlign w:val="bottom"/>
          </w:tcPr>
          <w:p>
            <w:pPr>
              <w:spacing w:after="0"/>
              <w:rPr>
                <w:sz w:val="18"/>
                <w:szCs w:val="18"/>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b w:val="1"/>
                <w:bCs w:val="1"/>
                <w:color w:val="auto"/>
              </w:rPr>
              <w:t>4</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b w:val="1"/>
                <w:bCs w:val="1"/>
                <w:color w:val="auto"/>
              </w:rPr>
              <w:t>15</w:t>
            </w:r>
          </w:p>
        </w:tc>
        <w:tc>
          <w:tcPr>
            <w:tcW w:w="3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190"/>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Aggregate grant-date fair value of stock options vested</w:t>
            </w: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19</w:t>
            </w:r>
          </w:p>
        </w:tc>
        <w:tc>
          <w:tcPr>
            <w:tcW w:w="3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54"/>
        </w:trPr>
        <w:tc>
          <w:tcPr>
            <w:tcW w:w="5040" w:type="dxa"/>
            <w:vAlign w:val="bottom"/>
            <w:shd w:val="clear" w:color="auto" w:fill="7F7F7F"/>
          </w:tcPr>
          <w:p>
            <w:pPr>
              <w:spacing w:after="0"/>
              <w:rPr>
                <w:sz w:val="4"/>
                <w:szCs w:val="4"/>
                <w:color w:val="auto"/>
              </w:rPr>
            </w:pPr>
          </w:p>
        </w:tc>
        <w:tc>
          <w:tcPr>
            <w:tcW w:w="320" w:type="dxa"/>
            <w:vAlign w:val="bottom"/>
            <w:shd w:val="clear" w:color="auto" w:fill="7F7F7F"/>
          </w:tcPr>
          <w:p>
            <w:pPr>
              <w:spacing w:after="0"/>
              <w:rPr>
                <w:sz w:val="4"/>
                <w:szCs w:val="4"/>
                <w:color w:val="auto"/>
              </w:rPr>
            </w:pPr>
          </w:p>
        </w:tc>
        <w:tc>
          <w:tcPr>
            <w:tcW w:w="680" w:type="dxa"/>
            <w:vAlign w:val="bottom"/>
            <w:shd w:val="clear" w:color="auto" w:fill="7F7F7F"/>
          </w:tcPr>
          <w:p>
            <w:pPr>
              <w:spacing w:after="0"/>
              <w:rPr>
                <w:sz w:val="4"/>
                <w:szCs w:val="4"/>
                <w:color w:val="auto"/>
              </w:rPr>
            </w:pPr>
          </w:p>
        </w:tc>
        <w:tc>
          <w:tcPr>
            <w:tcW w:w="320" w:type="dxa"/>
            <w:vAlign w:val="bottom"/>
            <w:shd w:val="clear" w:color="auto" w:fill="7F7F7F"/>
          </w:tcPr>
          <w:p>
            <w:pPr>
              <w:spacing w:after="0"/>
              <w:rPr>
                <w:sz w:val="4"/>
                <w:szCs w:val="4"/>
                <w:color w:val="auto"/>
              </w:rPr>
            </w:pPr>
          </w:p>
        </w:tc>
        <w:tc>
          <w:tcPr>
            <w:tcW w:w="540" w:type="dxa"/>
            <w:vAlign w:val="bottom"/>
            <w:shd w:val="clear" w:color="auto" w:fill="7F7F7F"/>
          </w:tcPr>
          <w:p>
            <w:pPr>
              <w:spacing w:after="0"/>
              <w:rPr>
                <w:sz w:val="4"/>
                <w:szCs w:val="4"/>
                <w:color w:val="auto"/>
              </w:rPr>
            </w:pPr>
          </w:p>
        </w:tc>
        <w:tc>
          <w:tcPr>
            <w:tcW w:w="180" w:type="dxa"/>
            <w:vAlign w:val="bottom"/>
            <w:shd w:val="clear" w:color="auto" w:fill="808080"/>
          </w:tcPr>
          <w:p>
            <w:pPr>
              <w:spacing w:after="0"/>
              <w:rPr>
                <w:sz w:val="4"/>
                <w:szCs w:val="4"/>
                <w:color w:val="auto"/>
              </w:rPr>
            </w:pPr>
          </w:p>
        </w:tc>
        <w:tc>
          <w:tcPr>
            <w:tcW w:w="260" w:type="dxa"/>
            <w:vAlign w:val="bottom"/>
            <w:shd w:val="clear" w:color="auto" w:fill="808080"/>
          </w:tcPr>
          <w:p>
            <w:pPr>
              <w:spacing w:after="0"/>
              <w:rPr>
                <w:sz w:val="4"/>
                <w:szCs w:val="4"/>
                <w:color w:val="auto"/>
              </w:rPr>
            </w:pPr>
          </w:p>
        </w:tc>
        <w:tc>
          <w:tcPr>
            <w:tcW w:w="640" w:type="dxa"/>
            <w:vAlign w:val="bottom"/>
            <w:shd w:val="clear" w:color="auto" w:fill="808080"/>
          </w:tcPr>
          <w:p>
            <w:pPr>
              <w:spacing w:after="0"/>
              <w:rPr>
                <w:sz w:val="4"/>
                <w:szCs w:val="4"/>
                <w:color w:val="auto"/>
              </w:rPr>
            </w:pPr>
          </w:p>
        </w:tc>
        <w:tc>
          <w:tcPr>
            <w:tcW w:w="300" w:type="dxa"/>
            <w:vAlign w:val="bottom"/>
            <w:shd w:val="clear" w:color="auto" w:fill="808080"/>
          </w:tcPr>
          <w:p>
            <w:pPr>
              <w:spacing w:after="0"/>
              <w:rPr>
                <w:sz w:val="4"/>
                <w:szCs w:val="4"/>
                <w:color w:val="auto"/>
              </w:rPr>
            </w:pPr>
          </w:p>
        </w:tc>
        <w:tc>
          <w:tcPr>
            <w:tcW w:w="540" w:type="dxa"/>
            <w:vAlign w:val="bottom"/>
            <w:shd w:val="clear" w:color="auto" w:fill="808080"/>
          </w:tcPr>
          <w:p>
            <w:pPr>
              <w:spacing w:after="0"/>
              <w:rPr>
                <w:sz w:val="4"/>
                <w:szCs w:val="4"/>
                <w:color w:val="auto"/>
              </w:rPr>
            </w:pPr>
          </w:p>
        </w:tc>
      </w:tr>
    </w:tbl>
    <w:p>
      <w:pPr>
        <w:spacing w:after="0" w:line="139" w:lineRule="exact"/>
        <w:rPr>
          <w:sz w:val="20"/>
          <w:szCs w:val="20"/>
          <w:color w:val="auto"/>
        </w:rPr>
      </w:pPr>
    </w:p>
    <w:p>
      <w:pPr>
        <w:jc w:val="both"/>
        <w:ind w:left="100" w:right="99"/>
        <w:spacing w:after="0"/>
        <w:rPr>
          <w:sz w:val="20"/>
          <w:szCs w:val="20"/>
          <w:color w:val="auto"/>
        </w:rPr>
      </w:pPr>
      <w:r>
        <w:rPr>
          <w:rFonts w:ascii="Arial" w:cs="Arial" w:eastAsia="Arial" w:hAnsi="Arial"/>
          <w:sz w:val="18"/>
          <w:szCs w:val="18"/>
          <w:b w:val="1"/>
          <w:bCs w:val="1"/>
          <w:color w:val="auto"/>
        </w:rPr>
        <w:t xml:space="preserve">Retention Awards </w:t>
      </w:r>
      <w:r>
        <w:rPr>
          <w:rFonts w:ascii="Arial" w:cs="Arial" w:eastAsia="Arial" w:hAnsi="Arial"/>
          <w:sz w:val="18"/>
          <w:szCs w:val="18"/>
          <w:color w:val="auto"/>
        </w:rPr>
        <w:t>– The fair value of retention awards is based on the closing price of the stock on the grant</w:t>
      </w:r>
      <w:r>
        <w:rPr>
          <w:rFonts w:ascii="Arial" w:cs="Arial" w:eastAsia="Arial" w:hAnsi="Arial"/>
          <w:sz w:val="18"/>
          <w:szCs w:val="18"/>
          <w:b w:val="1"/>
          <w:bCs w:val="1"/>
          <w:color w:val="auto"/>
        </w:rPr>
        <w:t xml:space="preserve"> </w:t>
      </w:r>
      <w:r>
        <w:rPr>
          <w:rFonts w:ascii="Arial" w:cs="Arial" w:eastAsia="Arial" w:hAnsi="Arial"/>
          <w:sz w:val="18"/>
          <w:szCs w:val="18"/>
          <w:color w:val="auto"/>
        </w:rPr>
        <w:t>date. Dividends and dividend equivalents are paid to participants during the vesting periods.</w:t>
      </w:r>
    </w:p>
    <w:p>
      <w:pPr>
        <w:spacing w:after="0" w:line="13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Changes in our retention awards during the nine months ended September 30, 2017,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126365</wp:posOffset>
            </wp:positionV>
            <wp:extent cx="5600065"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00065" cy="34290"/>
                    </a:xfrm>
                    <a:prstGeom prst="rect">
                      <a:avLst/>
                    </a:prstGeom>
                    <a:noFill/>
                  </pic:spPr>
                </pic:pic>
              </a:graphicData>
            </a:graphic>
          </wp:anchor>
        </w:drawing>
      </w:r>
    </w:p>
    <w:p>
      <w:pPr>
        <w:spacing w:after="0" w:line="252"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5900" w:type="dxa"/>
            <w:vAlign w:val="bottom"/>
          </w:tcPr>
          <w:p>
            <w:pPr>
              <w:spacing w:after="0"/>
              <w:rPr>
                <w:sz w:val="16"/>
                <w:szCs w:val="16"/>
                <w:color w:val="auto"/>
              </w:rPr>
            </w:pPr>
          </w:p>
        </w:tc>
        <w:tc>
          <w:tcPr>
            <w:tcW w:w="1180" w:type="dxa"/>
            <w:vAlign w:val="bottom"/>
            <w:gridSpan w:val="2"/>
          </w:tcPr>
          <w:p>
            <w:pPr>
              <w:ind w:left="460"/>
              <w:spacing w:after="0"/>
              <w:rPr>
                <w:sz w:val="20"/>
                <w:szCs w:val="20"/>
                <w:color w:val="auto"/>
              </w:rPr>
            </w:pPr>
            <w:r>
              <w:rPr>
                <w:rFonts w:ascii="Arial" w:cs="Arial" w:eastAsia="Arial" w:hAnsi="Arial"/>
                <w:sz w:val="16"/>
                <w:szCs w:val="16"/>
                <w:i w:val="1"/>
                <w:iCs w:val="1"/>
                <w:color w:val="auto"/>
              </w:rPr>
              <w:t>Shares</w:t>
            </w:r>
          </w:p>
        </w:tc>
        <w:tc>
          <w:tcPr>
            <w:tcW w:w="1740" w:type="dxa"/>
            <w:vAlign w:val="bottom"/>
            <w:gridSpan w:val="2"/>
          </w:tcPr>
          <w:p>
            <w:pPr>
              <w:jc w:val="right"/>
              <w:spacing w:after="0"/>
              <w:rPr>
                <w:sz w:val="20"/>
                <w:szCs w:val="20"/>
                <w:color w:val="auto"/>
              </w:rPr>
            </w:pPr>
            <w:r>
              <w:rPr>
                <w:rFonts w:ascii="Arial" w:cs="Arial" w:eastAsia="Arial" w:hAnsi="Arial"/>
                <w:sz w:val="16"/>
                <w:szCs w:val="16"/>
                <w:i w:val="1"/>
                <w:iCs w:val="1"/>
                <w:color w:val="auto"/>
              </w:rPr>
              <w:t>Weighted-Average</w:t>
            </w:r>
          </w:p>
        </w:tc>
      </w:tr>
      <w:tr>
        <w:trPr>
          <w:trHeight w:val="196"/>
        </w:trPr>
        <w:tc>
          <w:tcPr>
            <w:tcW w:w="5900" w:type="dxa"/>
            <w:vAlign w:val="bottom"/>
            <w:tcBorders>
              <w:bottom w:val="single" w:sz="8" w:color="7F7F7F"/>
            </w:tcBorders>
          </w:tcPr>
          <w:p>
            <w:pPr>
              <w:spacing w:after="0"/>
              <w:rPr>
                <w:sz w:val="17"/>
                <w:szCs w:val="17"/>
                <w:color w:val="auto"/>
              </w:rPr>
            </w:pPr>
          </w:p>
        </w:tc>
        <w:tc>
          <w:tcPr>
            <w:tcW w:w="1180" w:type="dxa"/>
            <w:vAlign w:val="bottom"/>
            <w:tcBorders>
              <w:bottom w:val="single" w:sz="8" w:color="7F7F7F"/>
            </w:tcBorders>
            <w:gridSpan w:val="2"/>
          </w:tcPr>
          <w:p>
            <w:pPr>
              <w:ind w:left="480"/>
              <w:spacing w:after="0"/>
              <w:rPr>
                <w:sz w:val="20"/>
                <w:szCs w:val="20"/>
                <w:color w:val="auto"/>
              </w:rPr>
            </w:pPr>
            <w:r>
              <w:rPr>
                <w:rFonts w:ascii="Arial" w:cs="Arial" w:eastAsia="Arial" w:hAnsi="Arial"/>
                <w:sz w:val="16"/>
                <w:szCs w:val="16"/>
                <w:i w:val="1"/>
                <w:iCs w:val="1"/>
                <w:color w:val="auto"/>
              </w:rPr>
              <w:t>(thous.)</w:t>
            </w:r>
          </w:p>
        </w:tc>
        <w:tc>
          <w:tcPr>
            <w:tcW w:w="1740" w:type="dxa"/>
            <w:vAlign w:val="bottom"/>
            <w:tcBorders>
              <w:bottom w:val="single" w:sz="8" w:color="7F7F7F"/>
            </w:tcBorders>
            <w:gridSpan w:val="2"/>
          </w:tcPr>
          <w:p>
            <w:pPr>
              <w:jc w:val="right"/>
              <w:spacing w:after="0"/>
              <w:rPr>
                <w:sz w:val="20"/>
                <w:szCs w:val="20"/>
                <w:color w:val="auto"/>
              </w:rPr>
            </w:pPr>
            <w:r>
              <w:rPr>
                <w:rFonts w:ascii="Arial" w:cs="Arial" w:eastAsia="Arial" w:hAnsi="Arial"/>
                <w:sz w:val="16"/>
                <w:szCs w:val="16"/>
                <w:i w:val="1"/>
                <w:iCs w:val="1"/>
                <w:color w:val="auto"/>
              </w:rPr>
              <w:t>Grant-Date Fair Value</w:t>
            </w:r>
          </w:p>
        </w:tc>
      </w:tr>
      <w:tr>
        <w:trPr>
          <w:trHeight w:val="203"/>
        </w:trPr>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Nonvested at January 1, 2017</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2,789</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84.68</w:t>
            </w:r>
          </w:p>
        </w:tc>
      </w:tr>
      <w:tr>
        <w:trPr>
          <w:trHeight w:val="213"/>
        </w:trPr>
        <w:tc>
          <w:tcPr>
            <w:tcW w:w="5900" w:type="dxa"/>
            <w:vAlign w:val="bottom"/>
          </w:tcPr>
          <w:p>
            <w:pPr>
              <w:spacing w:after="0"/>
              <w:rPr>
                <w:sz w:val="20"/>
                <w:szCs w:val="20"/>
                <w:color w:val="auto"/>
              </w:rPr>
            </w:pPr>
            <w:r>
              <w:rPr>
                <w:rFonts w:ascii="Arial" w:cs="Arial" w:eastAsia="Arial" w:hAnsi="Arial"/>
                <w:sz w:val="16"/>
                <w:szCs w:val="16"/>
                <w:color w:val="auto"/>
              </w:rPr>
              <w:t>Granted</w:t>
            </w:r>
          </w:p>
        </w:tc>
        <w:tc>
          <w:tcPr>
            <w:tcW w:w="1020" w:type="dxa"/>
            <w:vAlign w:val="bottom"/>
          </w:tcPr>
          <w:p>
            <w:pPr>
              <w:jc w:val="right"/>
              <w:spacing w:after="0"/>
              <w:rPr>
                <w:sz w:val="20"/>
                <w:szCs w:val="20"/>
                <w:color w:val="auto"/>
              </w:rPr>
            </w:pPr>
            <w:r>
              <w:rPr>
                <w:rFonts w:ascii="Arial" w:cs="Arial" w:eastAsia="Arial" w:hAnsi="Arial"/>
                <w:sz w:val="16"/>
                <w:szCs w:val="16"/>
                <w:color w:val="auto"/>
              </w:rPr>
              <w:t>562</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107.30</w:t>
            </w:r>
          </w:p>
        </w:tc>
      </w:tr>
      <w:tr>
        <w:trPr>
          <w:trHeight w:val="219"/>
        </w:trPr>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Vested</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(801)</w:t>
            </w: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68.10</w:t>
            </w:r>
          </w:p>
        </w:tc>
      </w:tr>
      <w:tr>
        <w:trPr>
          <w:trHeight w:val="210"/>
        </w:trPr>
        <w:tc>
          <w:tcPr>
            <w:tcW w:w="5900" w:type="dxa"/>
            <w:vAlign w:val="bottom"/>
          </w:tcPr>
          <w:p>
            <w:pPr>
              <w:spacing w:after="0"/>
              <w:rPr>
                <w:sz w:val="20"/>
                <w:szCs w:val="20"/>
                <w:color w:val="auto"/>
              </w:rPr>
            </w:pPr>
            <w:r>
              <w:rPr>
                <w:rFonts w:ascii="Arial" w:cs="Arial" w:eastAsia="Arial" w:hAnsi="Arial"/>
                <w:sz w:val="16"/>
                <w:szCs w:val="16"/>
                <w:color w:val="auto"/>
              </w:rPr>
              <w:t>Forfeited</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(79)</w:t>
            </w:r>
          </w:p>
        </w:tc>
        <w:tc>
          <w:tcPr>
            <w:tcW w:w="1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92.82</w:t>
            </w:r>
          </w:p>
        </w:tc>
      </w:tr>
      <w:tr>
        <w:trPr>
          <w:trHeight w:val="264"/>
        </w:trPr>
        <w:tc>
          <w:tcPr>
            <w:tcW w:w="5900" w:type="dxa"/>
            <w:vAlign w:val="bottom"/>
            <w:tcBorders>
              <w:top w:val="single" w:sz="8" w:color="7F7F7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Nonvested at September 30, 2017</w:t>
            </w:r>
          </w:p>
        </w:tc>
        <w:tc>
          <w:tcPr>
            <w:tcW w:w="1020" w:type="dxa"/>
            <w:vAlign w:val="bottom"/>
            <w:tcBorders>
              <w:top w:val="single" w:sz="8" w:color="808080"/>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2,471</w:t>
            </w:r>
          </w:p>
        </w:tc>
        <w:tc>
          <w:tcPr>
            <w:tcW w:w="160" w:type="dxa"/>
            <w:vAlign w:val="bottom"/>
            <w:tcBorders>
              <w:top w:val="single" w:sz="8" w:color="7F7F7F"/>
              <w:bottom w:val="single" w:sz="8" w:color="CCEEFF"/>
            </w:tcBorders>
            <w:shd w:val="clear" w:color="auto" w:fill="CCEEFF"/>
          </w:tcPr>
          <w:p>
            <w:pPr>
              <w:spacing w:after="0"/>
              <w:rPr>
                <w:sz w:val="22"/>
                <w:szCs w:val="22"/>
                <w:color w:val="auto"/>
              </w:rPr>
            </w:pPr>
          </w:p>
        </w:tc>
        <w:tc>
          <w:tcPr>
            <w:tcW w:w="1120" w:type="dxa"/>
            <w:vAlign w:val="bottom"/>
            <w:tcBorders>
              <w:top w:val="single" w:sz="8" w:color="7F7F7F"/>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7F7F7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94.94</w:t>
            </w:r>
          </w:p>
        </w:tc>
      </w:tr>
      <w:tr>
        <w:trPr>
          <w:trHeight w:val="54"/>
        </w:trPr>
        <w:tc>
          <w:tcPr>
            <w:tcW w:w="5900" w:type="dxa"/>
            <w:vAlign w:val="bottom"/>
            <w:shd w:val="clear" w:color="auto" w:fill="7F7F7F"/>
          </w:tcPr>
          <w:p>
            <w:pPr>
              <w:spacing w:after="0"/>
              <w:rPr>
                <w:sz w:val="4"/>
                <w:szCs w:val="4"/>
                <w:color w:val="auto"/>
              </w:rPr>
            </w:pPr>
          </w:p>
        </w:tc>
        <w:tc>
          <w:tcPr>
            <w:tcW w:w="1020" w:type="dxa"/>
            <w:vAlign w:val="bottom"/>
            <w:shd w:val="clear" w:color="auto" w:fill="808080"/>
          </w:tcPr>
          <w:p>
            <w:pPr>
              <w:spacing w:after="0"/>
              <w:rPr>
                <w:sz w:val="4"/>
                <w:szCs w:val="4"/>
                <w:color w:val="auto"/>
              </w:rPr>
            </w:pPr>
          </w:p>
        </w:tc>
        <w:tc>
          <w:tcPr>
            <w:tcW w:w="160" w:type="dxa"/>
            <w:vAlign w:val="bottom"/>
            <w:shd w:val="clear" w:color="auto" w:fill="7F7F7F"/>
          </w:tcPr>
          <w:p>
            <w:pPr>
              <w:spacing w:after="0"/>
              <w:rPr>
                <w:sz w:val="4"/>
                <w:szCs w:val="4"/>
                <w:color w:val="auto"/>
              </w:rPr>
            </w:pPr>
          </w:p>
        </w:tc>
        <w:tc>
          <w:tcPr>
            <w:tcW w:w="1120" w:type="dxa"/>
            <w:vAlign w:val="bottom"/>
            <w:shd w:val="clear" w:color="auto" w:fill="7F7F7F"/>
          </w:tcPr>
          <w:p>
            <w:pPr>
              <w:spacing w:after="0"/>
              <w:rPr>
                <w:sz w:val="4"/>
                <w:szCs w:val="4"/>
                <w:color w:val="auto"/>
              </w:rPr>
            </w:pPr>
          </w:p>
        </w:tc>
        <w:tc>
          <w:tcPr>
            <w:tcW w:w="620" w:type="dxa"/>
            <w:vAlign w:val="bottom"/>
            <w:shd w:val="clear" w:color="auto" w:fill="7F7F7F"/>
          </w:tcPr>
          <w:p>
            <w:pPr>
              <w:spacing w:after="0"/>
              <w:rPr>
                <w:sz w:val="4"/>
                <w:szCs w:val="4"/>
                <w:color w:val="auto"/>
              </w:rPr>
            </w:pPr>
          </w:p>
        </w:tc>
      </w:tr>
    </w:tbl>
    <w:p>
      <w:pPr>
        <w:spacing w:after="0" w:line="161" w:lineRule="exact"/>
        <w:rPr>
          <w:sz w:val="20"/>
          <w:szCs w:val="20"/>
          <w:color w:val="auto"/>
        </w:rPr>
      </w:pPr>
    </w:p>
    <w:p>
      <w:pPr>
        <w:jc w:val="both"/>
        <w:ind w:left="100" w:right="99"/>
        <w:spacing w:after="0" w:line="215" w:lineRule="auto"/>
        <w:rPr>
          <w:sz w:val="20"/>
          <w:szCs w:val="20"/>
          <w:color w:val="auto"/>
        </w:rPr>
      </w:pPr>
      <w:r>
        <w:rPr>
          <w:rFonts w:ascii="Arial" w:cs="Arial" w:eastAsia="Arial" w:hAnsi="Arial"/>
          <w:sz w:val="18"/>
          <w:szCs w:val="18"/>
          <w:color w:val="auto"/>
        </w:rPr>
        <w:t>Retention awards are granted at no cost to the employee or non-employee director and vest over periods lasting up to four years. At September 30, 2017, there was $99 million of total unrecognized compensation expense related to nonvested retention awards, which is expected to be recognized over a weighted-average period of 1.8 years.</w:t>
      </w:r>
    </w:p>
    <w:p>
      <w:pPr>
        <w:spacing w:after="0" w:line="114" w:lineRule="exact"/>
        <w:rPr>
          <w:sz w:val="20"/>
          <w:szCs w:val="20"/>
          <w:color w:val="auto"/>
        </w:rPr>
      </w:pPr>
    </w:p>
    <w:p>
      <w:pPr>
        <w:jc w:val="both"/>
        <w:ind w:left="100" w:right="99"/>
        <w:spacing w:after="0" w:line="228" w:lineRule="auto"/>
        <w:rPr>
          <w:sz w:val="20"/>
          <w:szCs w:val="20"/>
          <w:color w:val="auto"/>
        </w:rPr>
      </w:pPr>
      <w:r>
        <w:rPr>
          <w:rFonts w:ascii="Arial" w:cs="Arial" w:eastAsia="Arial" w:hAnsi="Arial"/>
          <w:sz w:val="18"/>
          <w:szCs w:val="18"/>
          <w:b w:val="1"/>
          <w:bCs w:val="1"/>
          <w:color w:val="auto"/>
        </w:rPr>
        <w:t xml:space="preserve">Performance Retention Awards </w:t>
      </w:r>
      <w:r>
        <w:rPr>
          <w:rFonts w:ascii="Arial" w:cs="Arial" w:eastAsia="Arial" w:hAnsi="Arial"/>
          <w:sz w:val="18"/>
          <w:szCs w:val="18"/>
          <w:color w:val="auto"/>
        </w:rPr>
        <w:t>– In February 2017, our Board of Directors approved performance stock unit</w:t>
      </w:r>
      <w:r>
        <w:rPr>
          <w:rFonts w:ascii="Arial" w:cs="Arial" w:eastAsia="Arial" w:hAnsi="Arial"/>
          <w:sz w:val="18"/>
          <w:szCs w:val="18"/>
          <w:b w:val="1"/>
          <w:bCs w:val="1"/>
          <w:color w:val="auto"/>
        </w:rPr>
        <w:t xml:space="preserve"> </w:t>
      </w:r>
      <w:r>
        <w:rPr>
          <w:rFonts w:ascii="Arial" w:cs="Arial" w:eastAsia="Arial" w:hAnsi="Arial"/>
          <w:sz w:val="18"/>
          <w:szCs w:val="18"/>
          <w:color w:val="auto"/>
        </w:rPr>
        <w:t>grants. The basic terms of these performance stock units are identical to those granted in February 2016, except for different annual return on invested capital (ROIC) performance targets. The 2016 and</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45085</wp:posOffset>
            </wp:positionV>
            <wp:extent cx="5642610"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1" w:name="page12"/>
    <w:bookmarkEnd w:id="11"/>
    <w:p>
      <w:pPr>
        <w:ind w:left="10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66" w:lineRule="exact"/>
        <w:rPr>
          <w:sz w:val="20"/>
          <w:szCs w:val="20"/>
          <w:color w:val="auto"/>
        </w:rPr>
      </w:pPr>
    </w:p>
    <w:p>
      <w:pPr>
        <w:jc w:val="both"/>
        <w:ind w:left="100" w:right="99"/>
        <w:spacing w:after="0" w:line="213" w:lineRule="auto"/>
        <w:rPr>
          <w:sz w:val="20"/>
          <w:szCs w:val="20"/>
          <w:color w:val="auto"/>
        </w:rPr>
      </w:pPr>
      <w:r>
        <w:rPr>
          <w:rFonts w:ascii="Arial" w:cs="Arial" w:eastAsia="Arial" w:hAnsi="Arial"/>
          <w:sz w:val="18"/>
          <w:szCs w:val="18"/>
          <w:color w:val="auto"/>
        </w:rPr>
        <w:t>2017 plans also include relative operating income growth (OIG) as a modifier compared to the companies included in the S&amp;P 500 Industrials Index. We define ROIC as net operating profit adjusted for interest expense (including interest on the present value of operating leases) and taxes on interest divided by average invested capital adjusted for the present value of operating leases. The modifier can be up to +/- 25% of the award earned based on the ROIC achieved.</w:t>
      </w:r>
    </w:p>
    <w:p>
      <w:pPr>
        <w:spacing w:after="0" w:line="135" w:lineRule="exact"/>
        <w:rPr>
          <w:sz w:val="20"/>
          <w:szCs w:val="20"/>
          <w:color w:val="auto"/>
        </w:rPr>
      </w:pPr>
    </w:p>
    <w:p>
      <w:pPr>
        <w:jc w:val="both"/>
        <w:ind w:left="100" w:right="99"/>
        <w:spacing w:after="0" w:line="210" w:lineRule="auto"/>
        <w:rPr>
          <w:sz w:val="20"/>
          <w:szCs w:val="20"/>
          <w:color w:val="auto"/>
        </w:rPr>
      </w:pPr>
      <w:r>
        <w:rPr>
          <w:rFonts w:ascii="Arial" w:cs="Arial" w:eastAsia="Arial" w:hAnsi="Arial"/>
          <w:sz w:val="18"/>
          <w:szCs w:val="18"/>
          <w:color w:val="auto"/>
        </w:rPr>
        <w:t>Stock units awarded to selected employees under these grants are subject to continued employment for 37 months and the attainment of certain levels of ROIC, and for the 2016 and 2017 plans, modified for the relative OIG. We expense the fair value of the units that are probable of being earned based on our forecasted ROIC over the 3-year performance period, and with respect to the third year of the 2016 and 2017 plans, the relative OIG modifier. We measure the fair value of these performance stock units based upon the closing price of the underlying common stock as of the date of grant, reduced by the present value of estimated future dividends. Dividend equivalents are paid to participants only after the units are earned.</w:t>
      </w:r>
    </w:p>
    <w:p>
      <w:pPr>
        <w:spacing w:after="0" w:line="137" w:lineRule="exact"/>
        <w:rPr>
          <w:sz w:val="20"/>
          <w:szCs w:val="20"/>
          <w:color w:val="auto"/>
        </w:rPr>
      </w:pPr>
    </w:p>
    <w:p>
      <w:pPr>
        <w:ind w:left="100" w:right="99"/>
        <w:spacing w:after="0" w:line="227" w:lineRule="auto"/>
        <w:rPr>
          <w:sz w:val="20"/>
          <w:szCs w:val="20"/>
          <w:color w:val="auto"/>
        </w:rPr>
      </w:pPr>
      <w:r>
        <w:rPr>
          <w:rFonts w:ascii="Arial" w:cs="Arial" w:eastAsia="Arial" w:hAnsi="Arial"/>
          <w:sz w:val="18"/>
          <w:szCs w:val="18"/>
          <w:color w:val="auto"/>
        </w:rPr>
        <w:t>The assumptions used to calculate the present value of estimated future dividends related to the February 2017 grant were as follows:</w:t>
      </w:r>
    </w:p>
    <w:p>
      <w:pPr>
        <w:spacing w:after="0" w:line="170" w:lineRule="exact"/>
        <w:rPr>
          <w:sz w:val="20"/>
          <w:szCs w:val="20"/>
          <w:color w:val="auto"/>
        </w:rPr>
      </w:pPr>
    </w:p>
    <w:tbl>
      <w:tblPr>
        <w:tblLayout w:type="fixed"/>
        <w:tblInd w:w="100" w:type="dxa"/>
        <w:tblCellMar>
          <w:top w:w="0" w:type="dxa"/>
          <w:left w:w="0" w:type="dxa"/>
          <w:bottom w:w="0" w:type="dxa"/>
          <w:right w:w="0" w:type="dxa"/>
        </w:tblCellMar>
      </w:tblPr>
      <w:tr>
        <w:trPr>
          <w:trHeight w:val="250"/>
        </w:trPr>
        <w:tc>
          <w:tcPr>
            <w:tcW w:w="5340" w:type="dxa"/>
            <w:vAlign w:val="bottom"/>
            <w:tcBorders>
              <w:top w:val="single" w:sz="8" w:color="7F7F7F"/>
              <w:bottom w:val="single" w:sz="8" w:color="7F7F7F"/>
            </w:tcBorders>
          </w:tcPr>
          <w:p>
            <w:pPr>
              <w:spacing w:after="0"/>
              <w:rPr>
                <w:sz w:val="21"/>
                <w:szCs w:val="21"/>
                <w:color w:val="auto"/>
              </w:rPr>
            </w:pPr>
          </w:p>
        </w:tc>
        <w:tc>
          <w:tcPr>
            <w:tcW w:w="2900" w:type="dxa"/>
            <w:vAlign w:val="bottom"/>
            <w:tcBorders>
              <w:top w:val="single" w:sz="8" w:color="7F7F7F"/>
              <w:bottom w:val="single" w:sz="8" w:color="7F7F7F"/>
            </w:tcBorders>
          </w:tcPr>
          <w:p>
            <w:pPr>
              <w:spacing w:after="0"/>
              <w:rPr>
                <w:sz w:val="21"/>
                <w:szCs w:val="21"/>
                <w:color w:val="auto"/>
              </w:rPr>
            </w:pPr>
          </w:p>
        </w:tc>
        <w:tc>
          <w:tcPr>
            <w:tcW w:w="580" w:type="dxa"/>
            <w:vAlign w:val="bottom"/>
            <w:tcBorders>
              <w:top w:val="single" w:sz="8" w:color="7F7F7F"/>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2017</w:t>
            </w:r>
          </w:p>
        </w:tc>
      </w:tr>
      <w:tr>
        <w:trPr>
          <w:trHeight w:val="203"/>
        </w:trPr>
        <w:tc>
          <w:tcPr>
            <w:tcW w:w="5340" w:type="dxa"/>
            <w:vAlign w:val="bottom"/>
            <w:shd w:val="clear" w:color="auto" w:fill="CCEEFF"/>
          </w:tcPr>
          <w:p>
            <w:pPr>
              <w:spacing w:after="0"/>
              <w:rPr>
                <w:sz w:val="20"/>
                <w:szCs w:val="20"/>
                <w:color w:val="auto"/>
              </w:rPr>
            </w:pPr>
            <w:r>
              <w:rPr>
                <w:rFonts w:ascii="Arial" w:cs="Arial" w:eastAsia="Arial" w:hAnsi="Arial"/>
                <w:sz w:val="16"/>
                <w:szCs w:val="16"/>
                <w:color w:val="auto"/>
              </w:rPr>
              <w:t>Dividend per share per quarter</w:t>
            </w:r>
          </w:p>
        </w:tc>
        <w:tc>
          <w:tcPr>
            <w:tcW w:w="2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0.605</w:t>
            </w:r>
          </w:p>
        </w:tc>
      </w:tr>
      <w:tr>
        <w:trPr>
          <w:trHeight w:val="223"/>
        </w:trPr>
        <w:tc>
          <w:tcPr>
            <w:tcW w:w="534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Risk-free interest rate at date of grant</w:t>
            </w:r>
          </w:p>
        </w:tc>
        <w:tc>
          <w:tcPr>
            <w:tcW w:w="2900" w:type="dxa"/>
            <w:vAlign w:val="bottom"/>
            <w:tcBorders>
              <w:bottom w:val="single" w:sz="8" w:color="7F7F7F"/>
            </w:tcBorders>
          </w:tcPr>
          <w:p>
            <w:pPr>
              <w:spacing w:after="0"/>
              <w:rPr>
                <w:sz w:val="19"/>
                <w:szCs w:val="19"/>
                <w:color w:val="auto"/>
              </w:rPr>
            </w:pPr>
          </w:p>
        </w:tc>
        <w:tc>
          <w:tcPr>
            <w:tcW w:w="58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1.5%</w:t>
            </w:r>
          </w:p>
        </w:tc>
      </w:tr>
    </w:tbl>
    <w:p>
      <w:pPr>
        <w:spacing w:after="0" w:line="161" w:lineRule="exact"/>
        <w:rPr>
          <w:sz w:val="20"/>
          <w:szCs w:val="20"/>
          <w:color w:val="auto"/>
        </w:rPr>
      </w:pPr>
    </w:p>
    <w:p>
      <w:pPr>
        <w:jc w:val="both"/>
        <w:ind w:left="100" w:right="99"/>
        <w:spacing w:after="0" w:line="227" w:lineRule="auto"/>
        <w:rPr>
          <w:sz w:val="20"/>
          <w:szCs w:val="20"/>
          <w:color w:val="auto"/>
        </w:rPr>
      </w:pPr>
      <w:r>
        <w:rPr>
          <w:rFonts w:ascii="Arial" w:cs="Arial" w:eastAsia="Arial" w:hAnsi="Arial"/>
          <w:sz w:val="18"/>
          <w:szCs w:val="18"/>
          <w:color w:val="auto"/>
        </w:rPr>
        <w:t>Changes in our performance retention awards during the nine months ended September 30, 2017,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120650</wp:posOffset>
            </wp:positionV>
            <wp:extent cx="5600065"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00065" cy="34290"/>
                    </a:xfrm>
                    <a:prstGeom prst="rect">
                      <a:avLst/>
                    </a:prstGeom>
                    <a:noFill/>
                  </pic:spPr>
                </pic:pic>
              </a:graphicData>
            </a:graphic>
          </wp:anchor>
        </w:drawing>
      </w:r>
    </w:p>
    <w:p>
      <w:pPr>
        <w:spacing w:after="0" w:line="243"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4420" w:type="dxa"/>
            <w:vAlign w:val="bottom"/>
          </w:tcPr>
          <w:p>
            <w:pPr>
              <w:spacing w:after="0"/>
              <w:rPr>
                <w:sz w:val="16"/>
                <w:szCs w:val="16"/>
                <w:color w:val="auto"/>
              </w:rPr>
            </w:pPr>
          </w:p>
        </w:tc>
        <w:tc>
          <w:tcPr>
            <w:tcW w:w="2660" w:type="dxa"/>
            <w:vAlign w:val="bottom"/>
          </w:tcPr>
          <w:p>
            <w:pPr>
              <w:jc w:val="right"/>
              <w:ind w:right="119"/>
              <w:spacing w:after="0"/>
              <w:rPr>
                <w:sz w:val="20"/>
                <w:szCs w:val="20"/>
                <w:color w:val="auto"/>
              </w:rPr>
            </w:pPr>
            <w:r>
              <w:rPr>
                <w:rFonts w:ascii="Arial" w:cs="Arial" w:eastAsia="Arial" w:hAnsi="Arial"/>
                <w:sz w:val="16"/>
                <w:szCs w:val="16"/>
                <w:i w:val="1"/>
                <w:iCs w:val="1"/>
                <w:color w:val="auto"/>
              </w:rPr>
              <w:t>Shares</w:t>
            </w:r>
          </w:p>
        </w:tc>
        <w:tc>
          <w:tcPr>
            <w:tcW w:w="1740" w:type="dxa"/>
            <w:vAlign w:val="bottom"/>
            <w:gridSpan w:val="2"/>
          </w:tcPr>
          <w:p>
            <w:pPr>
              <w:jc w:val="right"/>
              <w:spacing w:after="0"/>
              <w:rPr>
                <w:sz w:val="20"/>
                <w:szCs w:val="20"/>
                <w:color w:val="auto"/>
              </w:rPr>
            </w:pPr>
            <w:r>
              <w:rPr>
                <w:rFonts w:ascii="Arial" w:cs="Arial" w:eastAsia="Arial" w:hAnsi="Arial"/>
                <w:sz w:val="16"/>
                <w:szCs w:val="16"/>
                <w:i w:val="1"/>
                <w:iCs w:val="1"/>
                <w:color w:val="auto"/>
              </w:rPr>
              <w:t>Weighted-Average</w:t>
            </w:r>
          </w:p>
        </w:tc>
      </w:tr>
      <w:tr>
        <w:trPr>
          <w:trHeight w:val="196"/>
        </w:trPr>
        <w:tc>
          <w:tcPr>
            <w:tcW w:w="4420" w:type="dxa"/>
            <w:vAlign w:val="bottom"/>
            <w:tcBorders>
              <w:bottom w:val="single" w:sz="8" w:color="7F7F7F"/>
            </w:tcBorders>
          </w:tcPr>
          <w:p>
            <w:pPr>
              <w:spacing w:after="0"/>
              <w:rPr>
                <w:sz w:val="17"/>
                <w:szCs w:val="17"/>
                <w:color w:val="auto"/>
              </w:rPr>
            </w:pPr>
          </w:p>
        </w:tc>
        <w:tc>
          <w:tcPr>
            <w:tcW w:w="2660" w:type="dxa"/>
            <w:vAlign w:val="bottom"/>
            <w:tcBorders>
              <w:bottom w:val="single" w:sz="8" w:color="7F7F7F"/>
            </w:tcBorders>
          </w:tcPr>
          <w:p>
            <w:pPr>
              <w:jc w:val="right"/>
              <w:ind w:right="79"/>
              <w:spacing w:after="0"/>
              <w:rPr>
                <w:sz w:val="20"/>
                <w:szCs w:val="20"/>
                <w:color w:val="auto"/>
              </w:rPr>
            </w:pPr>
            <w:r>
              <w:rPr>
                <w:rFonts w:ascii="Arial" w:cs="Arial" w:eastAsia="Arial" w:hAnsi="Arial"/>
                <w:sz w:val="16"/>
                <w:szCs w:val="16"/>
                <w:i w:val="1"/>
                <w:iCs w:val="1"/>
                <w:color w:val="auto"/>
              </w:rPr>
              <w:t>(thous.)</w:t>
            </w:r>
          </w:p>
        </w:tc>
        <w:tc>
          <w:tcPr>
            <w:tcW w:w="1740" w:type="dxa"/>
            <w:vAlign w:val="bottom"/>
            <w:tcBorders>
              <w:bottom w:val="single" w:sz="8" w:color="7F7F7F"/>
            </w:tcBorders>
            <w:gridSpan w:val="2"/>
          </w:tcPr>
          <w:p>
            <w:pPr>
              <w:jc w:val="right"/>
              <w:spacing w:after="0"/>
              <w:rPr>
                <w:sz w:val="20"/>
                <w:szCs w:val="20"/>
                <w:color w:val="auto"/>
              </w:rPr>
            </w:pPr>
            <w:r>
              <w:rPr>
                <w:rFonts w:ascii="Arial" w:cs="Arial" w:eastAsia="Arial" w:hAnsi="Arial"/>
                <w:sz w:val="16"/>
                <w:szCs w:val="16"/>
                <w:i w:val="1"/>
                <w:iCs w:val="1"/>
                <w:color w:val="auto"/>
              </w:rPr>
              <w:t>Grant-Date Fair Value</w:t>
            </w:r>
          </w:p>
        </w:tc>
      </w:tr>
      <w:tr>
        <w:trPr>
          <w:trHeight w:val="203"/>
        </w:trPr>
        <w:tc>
          <w:tcPr>
            <w:tcW w:w="4420" w:type="dxa"/>
            <w:vAlign w:val="bottom"/>
            <w:shd w:val="clear" w:color="auto" w:fill="CCEEFF"/>
          </w:tcPr>
          <w:p>
            <w:pPr>
              <w:spacing w:after="0"/>
              <w:rPr>
                <w:sz w:val="20"/>
                <w:szCs w:val="20"/>
                <w:color w:val="auto"/>
              </w:rPr>
            </w:pPr>
            <w:r>
              <w:rPr>
                <w:rFonts w:ascii="Arial" w:cs="Arial" w:eastAsia="Arial" w:hAnsi="Arial"/>
                <w:sz w:val="16"/>
                <w:szCs w:val="16"/>
                <w:color w:val="auto"/>
              </w:rPr>
              <w:t>Nonvested at January 1, 2017</w:t>
            </w:r>
          </w:p>
        </w:tc>
        <w:tc>
          <w:tcPr>
            <w:tcW w:w="26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1,145</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86.23</w:t>
            </w:r>
          </w:p>
        </w:tc>
      </w:tr>
      <w:tr>
        <w:trPr>
          <w:trHeight w:val="213"/>
        </w:trPr>
        <w:tc>
          <w:tcPr>
            <w:tcW w:w="4420" w:type="dxa"/>
            <w:vAlign w:val="bottom"/>
          </w:tcPr>
          <w:p>
            <w:pPr>
              <w:spacing w:after="0"/>
              <w:rPr>
                <w:sz w:val="20"/>
                <w:szCs w:val="20"/>
                <w:color w:val="auto"/>
              </w:rPr>
            </w:pPr>
            <w:r>
              <w:rPr>
                <w:rFonts w:ascii="Arial" w:cs="Arial" w:eastAsia="Arial" w:hAnsi="Arial"/>
                <w:sz w:val="16"/>
                <w:szCs w:val="16"/>
                <w:color w:val="auto"/>
              </w:rPr>
              <w:t>Granted</w:t>
            </w:r>
          </w:p>
        </w:tc>
        <w:tc>
          <w:tcPr>
            <w:tcW w:w="2660" w:type="dxa"/>
            <w:vAlign w:val="bottom"/>
          </w:tcPr>
          <w:p>
            <w:pPr>
              <w:jc w:val="right"/>
              <w:ind w:right="119"/>
              <w:spacing w:after="0"/>
              <w:rPr>
                <w:sz w:val="20"/>
                <w:szCs w:val="20"/>
                <w:color w:val="auto"/>
              </w:rPr>
            </w:pPr>
            <w:r>
              <w:rPr>
                <w:rFonts w:ascii="Arial" w:cs="Arial" w:eastAsia="Arial" w:hAnsi="Arial"/>
                <w:sz w:val="16"/>
                <w:szCs w:val="16"/>
                <w:color w:val="auto"/>
              </w:rPr>
              <w:t>461</w:t>
            </w:r>
          </w:p>
        </w:tc>
        <w:tc>
          <w:tcPr>
            <w:tcW w:w="1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101.38</w:t>
            </w:r>
          </w:p>
        </w:tc>
      </w:tr>
      <w:tr>
        <w:trPr>
          <w:trHeight w:val="219"/>
        </w:trPr>
        <w:tc>
          <w:tcPr>
            <w:tcW w:w="4420" w:type="dxa"/>
            <w:vAlign w:val="bottom"/>
            <w:shd w:val="clear" w:color="auto" w:fill="CCEEFF"/>
          </w:tcPr>
          <w:p>
            <w:pPr>
              <w:spacing w:after="0"/>
              <w:rPr>
                <w:sz w:val="20"/>
                <w:szCs w:val="20"/>
                <w:color w:val="auto"/>
              </w:rPr>
            </w:pPr>
            <w:r>
              <w:rPr>
                <w:rFonts w:ascii="Arial" w:cs="Arial" w:eastAsia="Arial" w:hAnsi="Arial"/>
                <w:sz w:val="16"/>
                <w:szCs w:val="16"/>
                <w:color w:val="auto"/>
              </w:rPr>
              <w:t>Vested</w:t>
            </w:r>
          </w:p>
        </w:tc>
        <w:tc>
          <w:tcPr>
            <w:tcW w:w="26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(255)</w:t>
            </w: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83.06</w:t>
            </w:r>
          </w:p>
        </w:tc>
      </w:tr>
      <w:tr>
        <w:trPr>
          <w:trHeight w:val="213"/>
        </w:trPr>
        <w:tc>
          <w:tcPr>
            <w:tcW w:w="4420" w:type="dxa"/>
            <w:vAlign w:val="bottom"/>
          </w:tcPr>
          <w:p>
            <w:pPr>
              <w:spacing w:after="0"/>
              <w:rPr>
                <w:sz w:val="20"/>
                <w:szCs w:val="20"/>
                <w:color w:val="auto"/>
              </w:rPr>
            </w:pPr>
            <w:r>
              <w:rPr>
                <w:rFonts w:ascii="Arial" w:cs="Arial" w:eastAsia="Arial" w:hAnsi="Arial"/>
                <w:sz w:val="16"/>
                <w:szCs w:val="16"/>
                <w:color w:val="auto"/>
              </w:rPr>
              <w:t>Unearned</w:t>
            </w:r>
          </w:p>
        </w:tc>
        <w:tc>
          <w:tcPr>
            <w:tcW w:w="2660" w:type="dxa"/>
            <w:vAlign w:val="bottom"/>
          </w:tcPr>
          <w:p>
            <w:pPr>
              <w:jc w:val="right"/>
              <w:ind w:right="79"/>
              <w:spacing w:after="0"/>
              <w:rPr>
                <w:sz w:val="20"/>
                <w:szCs w:val="20"/>
                <w:color w:val="auto"/>
              </w:rPr>
            </w:pPr>
            <w:r>
              <w:rPr>
                <w:rFonts w:ascii="Arial" w:cs="Arial" w:eastAsia="Arial" w:hAnsi="Arial"/>
                <w:sz w:val="16"/>
                <w:szCs w:val="16"/>
                <w:color w:val="auto"/>
              </w:rPr>
              <w:t>(110)</w:t>
            </w:r>
          </w:p>
        </w:tc>
        <w:tc>
          <w:tcPr>
            <w:tcW w:w="1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83.06</w:t>
            </w:r>
          </w:p>
        </w:tc>
      </w:tr>
      <w:tr>
        <w:trPr>
          <w:trHeight w:val="213"/>
        </w:trPr>
        <w:tc>
          <w:tcPr>
            <w:tcW w:w="442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Forfeited</w:t>
            </w:r>
          </w:p>
        </w:tc>
        <w:tc>
          <w:tcPr>
            <w:tcW w:w="2660" w:type="dxa"/>
            <w:vAlign w:val="bottom"/>
            <w:tcBorders>
              <w:bottom w:val="single" w:sz="8" w:color="7F7F7F"/>
            </w:tcBorders>
            <w:shd w:val="clear" w:color="auto" w:fill="CCEEFF"/>
          </w:tcPr>
          <w:p>
            <w:pPr>
              <w:jc w:val="right"/>
              <w:ind w:right="79"/>
              <w:spacing w:after="0"/>
              <w:rPr>
                <w:sz w:val="20"/>
                <w:szCs w:val="20"/>
                <w:color w:val="auto"/>
              </w:rPr>
            </w:pPr>
            <w:r>
              <w:rPr>
                <w:rFonts w:ascii="Arial" w:cs="Arial" w:eastAsia="Arial" w:hAnsi="Arial"/>
                <w:sz w:val="16"/>
                <w:szCs w:val="16"/>
                <w:color w:val="auto"/>
              </w:rPr>
              <w:t>(52)</w:t>
            </w:r>
          </w:p>
        </w:tc>
        <w:tc>
          <w:tcPr>
            <w:tcW w:w="1120" w:type="dxa"/>
            <w:vAlign w:val="bottom"/>
            <w:tcBorders>
              <w:bottom w:val="single" w:sz="8" w:color="7F7F7F"/>
            </w:tcBorders>
            <w:shd w:val="clear" w:color="auto" w:fill="CCEEFF"/>
          </w:tcPr>
          <w:p>
            <w:pPr>
              <w:spacing w:after="0"/>
              <w:rPr>
                <w:sz w:val="18"/>
                <w:szCs w:val="18"/>
                <w:color w:val="auto"/>
              </w:rPr>
            </w:pPr>
          </w:p>
        </w:tc>
        <w:tc>
          <w:tcPr>
            <w:tcW w:w="6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92.20</w:t>
            </w:r>
          </w:p>
        </w:tc>
      </w:tr>
      <w:tr>
        <w:trPr>
          <w:trHeight w:val="237"/>
        </w:trPr>
        <w:tc>
          <w:tcPr>
            <w:tcW w:w="4420" w:type="dxa"/>
            <w:vAlign w:val="bottom"/>
          </w:tcPr>
          <w:p>
            <w:pPr>
              <w:spacing w:after="0"/>
              <w:rPr>
                <w:sz w:val="20"/>
                <w:szCs w:val="20"/>
                <w:color w:val="auto"/>
              </w:rPr>
            </w:pPr>
            <w:r>
              <w:rPr>
                <w:rFonts w:ascii="Arial" w:cs="Arial" w:eastAsia="Arial" w:hAnsi="Arial"/>
                <w:sz w:val="16"/>
                <w:szCs w:val="16"/>
                <w:color w:val="auto"/>
              </w:rPr>
              <w:t>Nonvested at September 30, 2017</w:t>
            </w:r>
          </w:p>
        </w:tc>
        <w:tc>
          <w:tcPr>
            <w:tcW w:w="2660" w:type="dxa"/>
            <w:vAlign w:val="bottom"/>
          </w:tcPr>
          <w:p>
            <w:pPr>
              <w:jc w:val="right"/>
              <w:ind w:right="119"/>
              <w:spacing w:after="0"/>
              <w:rPr>
                <w:sz w:val="20"/>
                <w:szCs w:val="20"/>
                <w:color w:val="auto"/>
              </w:rPr>
            </w:pPr>
            <w:r>
              <w:rPr>
                <w:rFonts w:ascii="Arial" w:cs="Arial" w:eastAsia="Arial" w:hAnsi="Arial"/>
                <w:sz w:val="16"/>
                <w:szCs w:val="16"/>
                <w:color w:val="auto"/>
              </w:rPr>
              <w:t>1,189</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92.82</w:t>
            </w:r>
          </w:p>
        </w:tc>
      </w:tr>
      <w:tr>
        <w:trPr>
          <w:trHeight w:val="81"/>
        </w:trPr>
        <w:tc>
          <w:tcPr>
            <w:tcW w:w="4420" w:type="dxa"/>
            <w:vAlign w:val="bottom"/>
            <w:tcBorders>
              <w:bottom w:val="single" w:sz="8" w:color="7F7F7F"/>
            </w:tcBorders>
          </w:tcPr>
          <w:p>
            <w:pPr>
              <w:spacing w:after="0"/>
              <w:rPr>
                <w:sz w:val="7"/>
                <w:szCs w:val="7"/>
                <w:color w:val="auto"/>
              </w:rPr>
            </w:pPr>
          </w:p>
        </w:tc>
        <w:tc>
          <w:tcPr>
            <w:tcW w:w="2660" w:type="dxa"/>
            <w:vAlign w:val="bottom"/>
            <w:tcBorders>
              <w:bottom w:val="single" w:sz="8" w:color="7F7F7F"/>
            </w:tcBorders>
          </w:tcPr>
          <w:p>
            <w:pPr>
              <w:spacing w:after="0"/>
              <w:rPr>
                <w:sz w:val="7"/>
                <w:szCs w:val="7"/>
                <w:color w:val="auto"/>
              </w:rPr>
            </w:pPr>
          </w:p>
        </w:tc>
        <w:tc>
          <w:tcPr>
            <w:tcW w:w="1120" w:type="dxa"/>
            <w:vAlign w:val="bottom"/>
            <w:tcBorders>
              <w:bottom w:val="single" w:sz="8" w:color="7F7F7F"/>
            </w:tcBorders>
          </w:tcPr>
          <w:p>
            <w:pPr>
              <w:spacing w:after="0"/>
              <w:rPr>
                <w:sz w:val="7"/>
                <w:szCs w:val="7"/>
                <w:color w:val="auto"/>
              </w:rPr>
            </w:pPr>
          </w:p>
        </w:tc>
        <w:tc>
          <w:tcPr>
            <w:tcW w:w="620" w:type="dxa"/>
            <w:vAlign w:val="bottom"/>
            <w:tcBorders>
              <w:bottom w:val="single" w:sz="8" w:color="7F7F7F"/>
            </w:tcBorders>
          </w:tcPr>
          <w:p>
            <w:pPr>
              <w:spacing w:after="0"/>
              <w:rPr>
                <w:sz w:val="7"/>
                <w:szCs w:val="7"/>
                <w:color w:val="auto"/>
              </w:rPr>
            </w:pPr>
          </w:p>
        </w:tc>
      </w:tr>
    </w:tbl>
    <w:p>
      <w:pPr>
        <w:spacing w:after="0" w:line="161" w:lineRule="exact"/>
        <w:rPr>
          <w:sz w:val="20"/>
          <w:szCs w:val="20"/>
          <w:color w:val="auto"/>
        </w:rPr>
      </w:pPr>
    </w:p>
    <w:p>
      <w:pPr>
        <w:jc w:val="both"/>
        <w:ind w:left="100" w:right="99"/>
        <w:spacing w:after="0" w:line="215" w:lineRule="auto"/>
        <w:rPr>
          <w:sz w:val="20"/>
          <w:szCs w:val="20"/>
          <w:color w:val="auto"/>
        </w:rPr>
      </w:pPr>
      <w:r>
        <w:rPr>
          <w:rFonts w:ascii="Arial" w:cs="Arial" w:eastAsia="Arial" w:hAnsi="Arial"/>
          <w:sz w:val="18"/>
          <w:szCs w:val="18"/>
          <w:color w:val="auto"/>
        </w:rPr>
        <w:t>At September 30, 2017, there was $47 million of total unrecognized compensation expense related to nonvested performance retention awards, which is expected to be recognized over a weighted-average period of 1.8 years. This expense is subject to achievement of the performance measures established for the performance stock unit grants.</w:t>
      </w:r>
    </w:p>
    <w:p>
      <w:pPr>
        <w:spacing w:after="0" w:line="11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6. Retirement Plans</w:t>
      </w:r>
    </w:p>
    <w:p>
      <w:pPr>
        <w:spacing w:after="0" w:line="14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Pension and Other Postretirement Benefits</w:t>
      </w:r>
    </w:p>
    <w:p>
      <w:pPr>
        <w:spacing w:after="0" w:line="148" w:lineRule="exact"/>
        <w:rPr>
          <w:sz w:val="20"/>
          <w:szCs w:val="20"/>
          <w:color w:val="auto"/>
        </w:rPr>
      </w:pPr>
    </w:p>
    <w:p>
      <w:pPr>
        <w:jc w:val="both"/>
        <w:ind w:left="100" w:right="99"/>
        <w:spacing w:after="0" w:line="220" w:lineRule="auto"/>
        <w:rPr>
          <w:sz w:val="20"/>
          <w:szCs w:val="20"/>
          <w:color w:val="auto"/>
        </w:rPr>
      </w:pPr>
      <w:r>
        <w:rPr>
          <w:rFonts w:ascii="Arial" w:cs="Arial" w:eastAsia="Arial" w:hAnsi="Arial"/>
          <w:sz w:val="18"/>
          <w:szCs w:val="18"/>
          <w:i w:val="1"/>
          <w:iCs w:val="1"/>
          <w:color w:val="auto"/>
        </w:rPr>
        <w:t xml:space="preserve">Pension Plans </w:t>
      </w:r>
      <w:r>
        <w:rPr>
          <w:rFonts w:ascii="Arial" w:cs="Arial" w:eastAsia="Arial" w:hAnsi="Arial"/>
          <w:sz w:val="18"/>
          <w:szCs w:val="18"/>
          <w:color w:val="auto"/>
        </w:rPr>
        <w:t>– We provide defined benefit retirement income to eligible non-union employees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qualified and non-qualified (supplemental) pension plans. Qualified and non-qualified pension benefits are based on years of service and the highest compensation during the latest years of employment, with specific reductions made for early retirements.</w:t>
      </w:r>
    </w:p>
    <w:p>
      <w:pPr>
        <w:spacing w:after="0" w:line="105"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 xml:space="preserve">Other Postretirement Benefits (OPEB) </w:t>
      </w:r>
      <w:r>
        <w:rPr>
          <w:rFonts w:ascii="Arial" w:cs="Arial" w:eastAsia="Arial" w:hAnsi="Arial"/>
          <w:sz w:val="18"/>
          <w:szCs w:val="18"/>
          <w:color w:val="auto"/>
        </w:rPr>
        <w:t>– We provide medical and life insurance benefits for eligible retirees.</w:t>
      </w:r>
    </w:p>
    <w:p>
      <w:pPr>
        <w:ind w:left="100"/>
        <w:spacing w:after="0"/>
        <w:rPr>
          <w:sz w:val="20"/>
          <w:szCs w:val="20"/>
          <w:color w:val="auto"/>
        </w:rPr>
      </w:pPr>
      <w:r>
        <w:rPr>
          <w:rFonts w:ascii="Arial" w:cs="Arial" w:eastAsia="Arial" w:hAnsi="Arial"/>
          <w:sz w:val="18"/>
          <w:szCs w:val="18"/>
          <w:color w:val="auto"/>
        </w:rPr>
        <w:t>These benefits are funded as medical claims and life insurance premiums are paid.</w:t>
      </w:r>
    </w:p>
    <w:p>
      <w:pPr>
        <w:spacing w:after="0" w:line="12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Expense</w:t>
      </w:r>
    </w:p>
    <w:p>
      <w:pPr>
        <w:spacing w:after="0" w:line="166" w:lineRule="exact"/>
        <w:rPr>
          <w:sz w:val="20"/>
          <w:szCs w:val="20"/>
          <w:color w:val="auto"/>
        </w:rPr>
      </w:pPr>
    </w:p>
    <w:p>
      <w:pPr>
        <w:jc w:val="both"/>
        <w:ind w:left="100" w:right="99"/>
        <w:spacing w:after="0" w:line="211" w:lineRule="auto"/>
        <w:rPr>
          <w:sz w:val="20"/>
          <w:szCs w:val="20"/>
          <w:color w:val="auto"/>
        </w:rPr>
      </w:pPr>
      <w:r>
        <w:rPr>
          <w:rFonts w:ascii="Arial" w:cs="Arial" w:eastAsia="Arial" w:hAnsi="Arial"/>
          <w:sz w:val="18"/>
          <w:szCs w:val="18"/>
          <w:color w:val="auto"/>
        </w:rPr>
        <w:t>Both pension and OPEB expense are determined based upon the annual service cost of benefits (the actuarial cost of benefits earned during a period) and the interest cost on those liabilities, less the expected return on plan assets. The expected long-term rate of return on plan assets is applied to a calculated value of plan assets that recognizes changes in fair value over a five-year period. This practice is intended to reduce year-to-year volatility in pension expense, but it can have the effect of delaying the recognition of differences between actual returns on assets and expected returns based on long-term rate of return</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45085</wp:posOffset>
            </wp:positionV>
            <wp:extent cx="5642610"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2" w:name="page13"/>
    <w:bookmarkEnd w:id="12"/>
    <w:p>
      <w:pPr>
        <w:ind w:left="10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66" w:lineRule="exact"/>
        <w:rPr>
          <w:sz w:val="20"/>
          <w:szCs w:val="20"/>
          <w:color w:val="auto"/>
        </w:rPr>
      </w:pPr>
    </w:p>
    <w:p>
      <w:pPr>
        <w:jc w:val="both"/>
        <w:ind w:left="100" w:right="99"/>
        <w:spacing w:after="0" w:line="219" w:lineRule="auto"/>
        <w:rPr>
          <w:sz w:val="20"/>
          <w:szCs w:val="20"/>
          <w:color w:val="auto"/>
        </w:rPr>
      </w:pPr>
      <w:r>
        <w:rPr>
          <w:rFonts w:ascii="Arial" w:cs="Arial" w:eastAsia="Arial" w:hAnsi="Arial"/>
          <w:sz w:val="18"/>
          <w:szCs w:val="18"/>
          <w:color w:val="auto"/>
        </w:rPr>
        <w:t>assumptions. Differences in actual experience in relation to assumptions are not recognized in net income immediately, but are deferred in accumulated other comprehensive income and, if necessary, amortized as pension or OPEB expense.</w:t>
      </w:r>
    </w:p>
    <w:p>
      <w:pPr>
        <w:spacing w:after="0" w:line="136" w:lineRule="exact"/>
        <w:rPr>
          <w:sz w:val="20"/>
          <w:szCs w:val="20"/>
          <w:color w:val="auto"/>
        </w:rPr>
      </w:pPr>
    </w:p>
    <w:p>
      <w:pPr>
        <w:jc w:val="both"/>
        <w:ind w:left="100" w:right="239"/>
        <w:spacing w:after="0" w:line="211" w:lineRule="auto"/>
        <w:rPr>
          <w:sz w:val="20"/>
          <w:szCs w:val="20"/>
          <w:color w:val="auto"/>
        </w:rPr>
      </w:pPr>
      <w:r>
        <w:rPr>
          <w:rFonts w:ascii="Arial" w:cs="Arial" w:eastAsia="Arial" w:hAnsi="Arial"/>
          <w:sz w:val="18"/>
          <w:szCs w:val="18"/>
          <w:color w:val="auto"/>
        </w:rPr>
        <w:t>The workforce reduction plan initiated in the third quarter of 2017 included a curtailment loss of $20 million and a special termination benefit of $47 million as a result of a remeasurement as of September 30, 2017, due to the eliminated future service for approximately 460 management employees. These amounts were recognized in the third quarter of 2017 within compensation and benefits expense in our Condensed Consolidated Statements of Income. In connection with this remeasurement, the Company also updated the pension effective discount rate assumption from 4.20% to 3.81%.</w:t>
      </w:r>
    </w:p>
    <w:p>
      <w:pPr>
        <w:spacing w:after="0" w:line="13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components of our net periodic pension cost were as follows:</w:t>
      </w:r>
    </w:p>
    <w:p>
      <w:pPr>
        <w:spacing w:after="0" w:line="179" w:lineRule="exact"/>
        <w:rPr>
          <w:sz w:val="20"/>
          <w:szCs w:val="20"/>
          <w:color w:val="auto"/>
        </w:rPr>
      </w:pPr>
    </w:p>
    <w:tbl>
      <w:tblPr>
        <w:tblLayout w:type="fixed"/>
        <w:tblInd w:w="100" w:type="dxa"/>
        <w:tblCellMar>
          <w:top w:w="0" w:type="dxa"/>
          <w:left w:w="0" w:type="dxa"/>
          <w:bottom w:w="0" w:type="dxa"/>
          <w:right w:w="0" w:type="dxa"/>
        </w:tblCellMar>
      </w:tblPr>
      <w:tr>
        <w:trPr>
          <w:trHeight w:val="229"/>
        </w:trPr>
        <w:tc>
          <w:tcPr>
            <w:tcW w:w="4660" w:type="dxa"/>
            <w:vAlign w:val="bottom"/>
            <w:tcBorders>
              <w:top w:val="single" w:sz="8" w:color="7F7F7F"/>
            </w:tcBorders>
          </w:tcPr>
          <w:p>
            <w:pPr>
              <w:spacing w:after="0"/>
              <w:rPr>
                <w:sz w:val="19"/>
                <w:szCs w:val="19"/>
                <w:color w:val="auto"/>
              </w:rPr>
            </w:pPr>
          </w:p>
        </w:tc>
        <w:tc>
          <w:tcPr>
            <w:tcW w:w="260" w:type="dxa"/>
            <w:vAlign w:val="bottom"/>
            <w:tcBorders>
              <w:top w:val="single" w:sz="8" w:color="7F7F7F"/>
            </w:tcBorders>
          </w:tcPr>
          <w:p>
            <w:pPr>
              <w:spacing w:after="0"/>
              <w:rPr>
                <w:sz w:val="19"/>
                <w:szCs w:val="19"/>
                <w:color w:val="auto"/>
              </w:rPr>
            </w:pPr>
          </w:p>
        </w:tc>
        <w:tc>
          <w:tcPr>
            <w:tcW w:w="1980" w:type="dxa"/>
            <w:vAlign w:val="bottom"/>
            <w:tcBorders>
              <w:top w:val="single" w:sz="8" w:color="7F7F7F"/>
            </w:tcBorders>
            <w:gridSpan w:val="4"/>
          </w:tcPr>
          <w:p>
            <w:pPr>
              <w:jc w:val="right"/>
              <w:ind w:right="460"/>
              <w:spacing w:after="0"/>
              <w:rPr>
                <w:sz w:val="20"/>
                <w:szCs w:val="20"/>
                <w:color w:val="auto"/>
              </w:rPr>
            </w:pPr>
            <w:r>
              <w:rPr>
                <w:rFonts w:ascii="Arial" w:cs="Arial" w:eastAsia="Arial" w:hAnsi="Arial"/>
                <w:sz w:val="16"/>
                <w:szCs w:val="16"/>
                <w:i w:val="1"/>
                <w:iCs w:val="1"/>
                <w:color w:val="auto"/>
              </w:rPr>
              <w:t>Three Months Ended</w:t>
            </w:r>
          </w:p>
        </w:tc>
        <w:tc>
          <w:tcPr>
            <w:tcW w:w="220" w:type="dxa"/>
            <w:vAlign w:val="bottom"/>
            <w:tcBorders>
              <w:top w:val="single" w:sz="8" w:color="7F7F7F"/>
            </w:tcBorders>
          </w:tcPr>
          <w:p>
            <w:pPr>
              <w:spacing w:after="0"/>
              <w:rPr>
                <w:sz w:val="19"/>
                <w:szCs w:val="19"/>
                <w:color w:val="auto"/>
              </w:rPr>
            </w:pPr>
          </w:p>
        </w:tc>
        <w:tc>
          <w:tcPr>
            <w:tcW w:w="1700" w:type="dxa"/>
            <w:vAlign w:val="bottom"/>
            <w:tcBorders>
              <w:top w:val="single" w:sz="8" w:color="7F7F7F"/>
            </w:tcBorders>
            <w:gridSpan w:val="3"/>
          </w:tcPr>
          <w:p>
            <w:pPr>
              <w:jc w:val="right"/>
              <w:ind w:right="179"/>
              <w:spacing w:after="0"/>
              <w:rPr>
                <w:sz w:val="20"/>
                <w:szCs w:val="20"/>
                <w:color w:val="auto"/>
              </w:rPr>
            </w:pPr>
            <w:r>
              <w:rPr>
                <w:rFonts w:ascii="Arial" w:cs="Arial" w:eastAsia="Arial" w:hAnsi="Arial"/>
                <w:sz w:val="16"/>
                <w:szCs w:val="16"/>
                <w:i w:val="1"/>
                <w:iCs w:val="1"/>
                <w:color w:val="auto"/>
              </w:rPr>
              <w:t>Nine Months Ended</w:t>
            </w:r>
          </w:p>
        </w:tc>
      </w:tr>
      <w:tr>
        <w:trPr>
          <w:trHeight w:val="224"/>
        </w:trPr>
        <w:tc>
          <w:tcPr>
            <w:tcW w:w="4660" w:type="dxa"/>
            <w:vAlign w:val="bottom"/>
          </w:tcPr>
          <w:p>
            <w:pPr>
              <w:spacing w:after="0"/>
              <w:rPr>
                <w:sz w:val="19"/>
                <w:szCs w:val="19"/>
                <w:color w:val="auto"/>
              </w:rPr>
            </w:pPr>
          </w:p>
        </w:tc>
        <w:tc>
          <w:tcPr>
            <w:tcW w:w="260" w:type="dxa"/>
            <w:vAlign w:val="bottom"/>
            <w:tcBorders>
              <w:bottom w:val="single" w:sz="8" w:color="7F7F7F"/>
            </w:tcBorders>
          </w:tcPr>
          <w:p>
            <w:pPr>
              <w:spacing w:after="0"/>
              <w:rPr>
                <w:sz w:val="19"/>
                <w:szCs w:val="19"/>
                <w:color w:val="auto"/>
              </w:rPr>
            </w:pPr>
          </w:p>
        </w:tc>
        <w:tc>
          <w:tcPr>
            <w:tcW w:w="1320" w:type="dxa"/>
            <w:vAlign w:val="bottom"/>
            <w:tcBorders>
              <w:bottom w:val="single" w:sz="8" w:color="7F7F7F"/>
            </w:tcBorders>
            <w:gridSpan w:val="2"/>
          </w:tcPr>
          <w:p>
            <w:pPr>
              <w:jc w:val="right"/>
              <w:spacing w:after="0"/>
              <w:rPr>
                <w:sz w:val="20"/>
                <w:szCs w:val="20"/>
                <w:color w:val="auto"/>
              </w:rPr>
            </w:pPr>
            <w:r>
              <w:rPr>
                <w:rFonts w:ascii="Arial" w:cs="Arial" w:eastAsia="Arial" w:hAnsi="Arial"/>
                <w:sz w:val="16"/>
                <w:szCs w:val="16"/>
                <w:i w:val="1"/>
                <w:iCs w:val="1"/>
                <w:color w:val="auto"/>
              </w:rPr>
              <w:t>September 30,</w:t>
            </w:r>
          </w:p>
        </w:tc>
        <w:tc>
          <w:tcPr>
            <w:tcW w:w="440" w:type="dxa"/>
            <w:vAlign w:val="bottom"/>
            <w:tcBorders>
              <w:bottom w:val="single" w:sz="8" w:color="7F7F7F"/>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7F7F7F"/>
            </w:tcBorders>
          </w:tcPr>
          <w:p>
            <w:pPr>
              <w:spacing w:after="0"/>
              <w:rPr>
                <w:sz w:val="19"/>
                <w:szCs w:val="19"/>
                <w:color w:val="auto"/>
              </w:rPr>
            </w:pPr>
          </w:p>
        </w:tc>
        <w:tc>
          <w:tcPr>
            <w:tcW w:w="1280" w:type="dxa"/>
            <w:vAlign w:val="bottom"/>
            <w:tcBorders>
              <w:bottom w:val="single" w:sz="8" w:color="7F7F7F"/>
            </w:tcBorders>
            <w:gridSpan w:val="2"/>
          </w:tcPr>
          <w:p>
            <w:pPr>
              <w:jc w:val="right"/>
              <w:spacing w:after="0"/>
              <w:rPr>
                <w:sz w:val="20"/>
                <w:szCs w:val="20"/>
                <w:color w:val="auto"/>
              </w:rPr>
            </w:pPr>
            <w:r>
              <w:rPr>
                <w:rFonts w:ascii="Arial" w:cs="Arial" w:eastAsia="Arial" w:hAnsi="Arial"/>
                <w:sz w:val="16"/>
                <w:szCs w:val="16"/>
                <w:i w:val="1"/>
                <w:iCs w:val="1"/>
                <w:color w:val="auto"/>
              </w:rPr>
              <w:t>September 30,</w:t>
            </w:r>
          </w:p>
        </w:tc>
        <w:tc>
          <w:tcPr>
            <w:tcW w:w="420" w:type="dxa"/>
            <w:vAlign w:val="bottom"/>
            <w:tcBorders>
              <w:bottom w:val="single" w:sz="8" w:color="7F7F7F"/>
            </w:tcBorders>
          </w:tcPr>
          <w:p>
            <w:pPr>
              <w:spacing w:after="0"/>
              <w:rPr>
                <w:sz w:val="19"/>
                <w:szCs w:val="19"/>
                <w:color w:val="auto"/>
              </w:rPr>
            </w:pPr>
          </w:p>
        </w:tc>
      </w:tr>
      <w:tr>
        <w:trPr>
          <w:trHeight w:val="196"/>
        </w:trPr>
        <w:tc>
          <w:tcPr>
            <w:tcW w:w="4660" w:type="dxa"/>
            <w:vAlign w:val="bottom"/>
            <w:tcBorders>
              <w:bottom w:val="single" w:sz="8" w:color="7F7F7F"/>
            </w:tcBorders>
          </w:tcPr>
          <w:p>
            <w:pPr>
              <w:spacing w:after="0"/>
              <w:rPr>
                <w:sz w:val="20"/>
                <w:szCs w:val="20"/>
                <w:color w:val="auto"/>
              </w:rPr>
            </w:pPr>
            <w:r>
              <w:rPr>
                <w:rFonts w:ascii="Arial" w:cs="Arial" w:eastAsia="Arial" w:hAnsi="Arial"/>
                <w:sz w:val="16"/>
                <w:szCs w:val="16"/>
                <w:i w:val="1"/>
                <w:iCs w:val="1"/>
                <w:color w:val="auto"/>
              </w:rPr>
              <w:t>Millions</w:t>
            </w:r>
          </w:p>
        </w:tc>
        <w:tc>
          <w:tcPr>
            <w:tcW w:w="260" w:type="dxa"/>
            <w:vAlign w:val="bottom"/>
            <w:tcBorders>
              <w:bottom w:val="single" w:sz="8" w:color="7F7F7F"/>
            </w:tcBorders>
          </w:tcPr>
          <w:p>
            <w:pPr>
              <w:spacing w:after="0"/>
              <w:rPr>
                <w:sz w:val="17"/>
                <w:szCs w:val="17"/>
                <w:color w:val="auto"/>
              </w:rPr>
            </w:pPr>
          </w:p>
        </w:tc>
        <w:tc>
          <w:tcPr>
            <w:tcW w:w="840" w:type="dxa"/>
            <w:vAlign w:val="bottom"/>
            <w:tcBorders>
              <w:bottom w:val="single" w:sz="8" w:color="7F7F7F"/>
            </w:tcBorders>
          </w:tcPr>
          <w:p>
            <w:pPr>
              <w:jc w:val="right"/>
              <w:ind w:right="39"/>
              <w:spacing w:after="0"/>
              <w:rPr>
                <w:sz w:val="20"/>
                <w:szCs w:val="20"/>
                <w:color w:val="auto"/>
              </w:rPr>
            </w:pPr>
            <w:r>
              <w:rPr>
                <w:rFonts w:ascii="Arial" w:cs="Arial" w:eastAsia="Arial" w:hAnsi="Arial"/>
                <w:sz w:val="16"/>
                <w:szCs w:val="16"/>
                <w:b w:val="1"/>
                <w:bCs w:val="1"/>
                <w:i w:val="1"/>
                <w:iCs w:val="1"/>
                <w:color w:val="auto"/>
              </w:rPr>
              <w:t>2017</w:t>
            </w:r>
          </w:p>
        </w:tc>
        <w:tc>
          <w:tcPr>
            <w:tcW w:w="480" w:type="dxa"/>
            <w:vAlign w:val="bottom"/>
            <w:tcBorders>
              <w:bottom w:val="single" w:sz="8" w:color="7F7F7F"/>
            </w:tcBorders>
          </w:tcPr>
          <w:p>
            <w:pPr>
              <w:spacing w:after="0"/>
              <w:rPr>
                <w:sz w:val="17"/>
                <w:szCs w:val="17"/>
                <w:color w:val="auto"/>
              </w:rPr>
            </w:pPr>
          </w:p>
        </w:tc>
        <w:tc>
          <w:tcPr>
            <w:tcW w:w="44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2016</w:t>
            </w:r>
          </w:p>
        </w:tc>
        <w:tc>
          <w:tcPr>
            <w:tcW w:w="220" w:type="dxa"/>
            <w:vAlign w:val="bottom"/>
            <w:tcBorders>
              <w:bottom w:val="single" w:sz="8" w:color="7F7F7F"/>
            </w:tcBorders>
          </w:tcPr>
          <w:p>
            <w:pPr>
              <w:spacing w:after="0"/>
              <w:rPr>
                <w:sz w:val="17"/>
                <w:szCs w:val="17"/>
                <w:color w:val="auto"/>
              </w:rPr>
            </w:pPr>
          </w:p>
        </w:tc>
        <w:tc>
          <w:tcPr>
            <w:tcW w:w="220" w:type="dxa"/>
            <w:vAlign w:val="bottom"/>
            <w:tcBorders>
              <w:bottom w:val="single" w:sz="8" w:color="7F7F7F"/>
            </w:tcBorders>
          </w:tcPr>
          <w:p>
            <w:pPr>
              <w:spacing w:after="0"/>
              <w:rPr>
                <w:sz w:val="17"/>
                <w:szCs w:val="17"/>
                <w:color w:val="auto"/>
              </w:rPr>
            </w:pPr>
          </w:p>
        </w:tc>
        <w:tc>
          <w:tcPr>
            <w:tcW w:w="780" w:type="dxa"/>
            <w:vAlign w:val="bottom"/>
            <w:tcBorders>
              <w:bottom w:val="single" w:sz="8" w:color="7F7F7F"/>
            </w:tcBorders>
          </w:tcPr>
          <w:p>
            <w:pPr>
              <w:jc w:val="right"/>
              <w:ind w:right="19"/>
              <w:spacing w:after="0"/>
              <w:rPr>
                <w:sz w:val="20"/>
                <w:szCs w:val="20"/>
                <w:color w:val="auto"/>
              </w:rPr>
            </w:pPr>
            <w:r>
              <w:rPr>
                <w:rFonts w:ascii="Arial" w:cs="Arial" w:eastAsia="Arial" w:hAnsi="Arial"/>
                <w:sz w:val="16"/>
                <w:szCs w:val="16"/>
                <w:b w:val="1"/>
                <w:bCs w:val="1"/>
                <w:i w:val="1"/>
                <w:iCs w:val="1"/>
                <w:color w:val="auto"/>
              </w:rPr>
              <w:t>2017</w:t>
            </w:r>
          </w:p>
        </w:tc>
        <w:tc>
          <w:tcPr>
            <w:tcW w:w="500" w:type="dxa"/>
            <w:vAlign w:val="bottom"/>
            <w:tcBorders>
              <w:bottom w:val="single" w:sz="8" w:color="7F7F7F"/>
            </w:tcBorders>
          </w:tcPr>
          <w:p>
            <w:pPr>
              <w:spacing w:after="0"/>
              <w:rPr>
                <w:sz w:val="17"/>
                <w:szCs w:val="17"/>
                <w:color w:val="auto"/>
              </w:rPr>
            </w:pPr>
          </w:p>
        </w:tc>
        <w:tc>
          <w:tcPr>
            <w:tcW w:w="42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2016</w:t>
            </w:r>
          </w:p>
        </w:tc>
      </w:tr>
      <w:tr>
        <w:trPr>
          <w:trHeight w:val="203"/>
        </w:trPr>
        <w:tc>
          <w:tcPr>
            <w:tcW w:w="4660" w:type="dxa"/>
            <w:vAlign w:val="bottom"/>
            <w:shd w:val="clear" w:color="auto" w:fill="CCEEFF"/>
          </w:tcPr>
          <w:p>
            <w:pPr>
              <w:spacing w:after="0"/>
              <w:rPr>
                <w:sz w:val="20"/>
                <w:szCs w:val="20"/>
                <w:color w:val="auto"/>
              </w:rPr>
            </w:pPr>
            <w:r>
              <w:rPr>
                <w:rFonts w:ascii="Arial" w:cs="Arial" w:eastAsia="Arial" w:hAnsi="Arial"/>
                <w:sz w:val="16"/>
                <w:szCs w:val="16"/>
                <w:color w:val="auto"/>
              </w:rPr>
              <w:t>Service cost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21</w:t>
            </w:r>
          </w:p>
        </w:tc>
        <w:tc>
          <w:tcPr>
            <w:tcW w:w="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66</w:t>
            </w:r>
          </w:p>
        </w:tc>
        <w:tc>
          <w:tcPr>
            <w:tcW w:w="50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r>
      <w:tr>
        <w:trPr>
          <w:trHeight w:val="215"/>
        </w:trPr>
        <w:tc>
          <w:tcPr>
            <w:tcW w:w="4660" w:type="dxa"/>
            <w:vAlign w:val="bottom"/>
          </w:tcPr>
          <w:p>
            <w:pPr>
              <w:spacing w:after="0"/>
              <w:rPr>
                <w:sz w:val="20"/>
                <w:szCs w:val="20"/>
                <w:color w:val="auto"/>
              </w:rPr>
            </w:pPr>
            <w:r>
              <w:rPr>
                <w:rFonts w:ascii="Arial" w:cs="Arial" w:eastAsia="Arial" w:hAnsi="Arial"/>
                <w:sz w:val="16"/>
                <w:szCs w:val="16"/>
                <w:color w:val="auto"/>
              </w:rPr>
              <w:t>Interest cost</w:t>
            </w:r>
          </w:p>
        </w:tc>
        <w:tc>
          <w:tcPr>
            <w:tcW w:w="26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35</w:t>
            </w:r>
          </w:p>
        </w:tc>
        <w:tc>
          <w:tcPr>
            <w:tcW w:w="4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106</w:t>
            </w:r>
          </w:p>
        </w:tc>
        <w:tc>
          <w:tcPr>
            <w:tcW w:w="5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107</w:t>
            </w:r>
          </w:p>
        </w:tc>
      </w:tr>
      <w:tr>
        <w:trPr>
          <w:trHeight w:val="217"/>
        </w:trPr>
        <w:tc>
          <w:tcPr>
            <w:tcW w:w="4660" w:type="dxa"/>
            <w:vAlign w:val="bottom"/>
            <w:shd w:val="clear" w:color="auto" w:fill="CCEEFF"/>
          </w:tcPr>
          <w:p>
            <w:pPr>
              <w:spacing w:after="0"/>
              <w:rPr>
                <w:sz w:val="20"/>
                <w:szCs w:val="20"/>
                <w:color w:val="auto"/>
              </w:rPr>
            </w:pPr>
            <w:r>
              <w:rPr>
                <w:rFonts w:ascii="Arial" w:cs="Arial" w:eastAsia="Arial" w:hAnsi="Arial"/>
                <w:sz w:val="16"/>
                <w:szCs w:val="16"/>
                <w:color w:val="auto"/>
              </w:rPr>
              <w:t>Expected return on plan assets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(66)</w:t>
            </w:r>
          </w:p>
        </w:tc>
        <w:tc>
          <w:tcPr>
            <w:tcW w:w="4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(67)</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(198)</w:t>
            </w: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r>
      <w:tr>
        <w:trPr>
          <w:trHeight w:val="215"/>
        </w:trPr>
        <w:tc>
          <w:tcPr>
            <w:tcW w:w="4660" w:type="dxa"/>
            <w:vAlign w:val="bottom"/>
          </w:tcPr>
          <w:p>
            <w:pPr>
              <w:spacing w:after="0"/>
              <w:rPr>
                <w:sz w:val="20"/>
                <w:szCs w:val="20"/>
                <w:color w:val="auto"/>
              </w:rPr>
            </w:pPr>
            <w:r>
              <w:rPr>
                <w:rFonts w:ascii="Arial" w:cs="Arial" w:eastAsia="Arial" w:hAnsi="Arial"/>
                <w:sz w:val="16"/>
                <w:szCs w:val="16"/>
                <w:color w:val="auto"/>
              </w:rPr>
              <w:t>Curtailment cost</w:t>
            </w:r>
          </w:p>
        </w:tc>
        <w:tc>
          <w:tcPr>
            <w:tcW w:w="26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20</w:t>
            </w:r>
          </w:p>
        </w:tc>
        <w:tc>
          <w:tcPr>
            <w:tcW w:w="4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20</w:t>
            </w:r>
          </w:p>
        </w:tc>
        <w:tc>
          <w:tcPr>
            <w:tcW w:w="5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4660" w:type="dxa"/>
            <w:vAlign w:val="bottom"/>
            <w:shd w:val="clear" w:color="auto" w:fill="CCEEFF"/>
          </w:tcPr>
          <w:p>
            <w:pPr>
              <w:spacing w:after="0"/>
              <w:rPr>
                <w:sz w:val="20"/>
                <w:szCs w:val="20"/>
                <w:color w:val="auto"/>
              </w:rPr>
            </w:pPr>
            <w:r>
              <w:rPr>
                <w:rFonts w:ascii="Arial" w:cs="Arial" w:eastAsia="Arial" w:hAnsi="Arial"/>
                <w:sz w:val="16"/>
                <w:szCs w:val="16"/>
                <w:color w:val="auto"/>
              </w:rPr>
              <w:t>Special termination cost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47</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47</w:t>
            </w: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466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Amortization of actuarial loss</w:t>
            </w:r>
          </w:p>
        </w:tc>
        <w:tc>
          <w:tcPr>
            <w:tcW w:w="260" w:type="dxa"/>
            <w:vAlign w:val="bottom"/>
            <w:tcBorders>
              <w:bottom w:val="single" w:sz="8" w:color="7F7F7F"/>
            </w:tcBorders>
          </w:tcPr>
          <w:p>
            <w:pPr>
              <w:spacing w:after="0"/>
              <w:rPr>
                <w:sz w:val="18"/>
                <w:szCs w:val="18"/>
                <w:color w:val="auto"/>
              </w:rPr>
            </w:pPr>
          </w:p>
        </w:tc>
        <w:tc>
          <w:tcPr>
            <w:tcW w:w="840" w:type="dxa"/>
            <w:vAlign w:val="bottom"/>
            <w:tcBorders>
              <w:bottom w:val="single" w:sz="8" w:color="7F7F7F"/>
            </w:tcBorders>
          </w:tcPr>
          <w:p>
            <w:pPr>
              <w:jc w:val="right"/>
              <w:ind w:right="39"/>
              <w:spacing w:after="0"/>
              <w:rPr>
                <w:sz w:val="20"/>
                <w:szCs w:val="20"/>
                <w:color w:val="auto"/>
              </w:rPr>
            </w:pPr>
            <w:r>
              <w:rPr>
                <w:rFonts w:ascii="Arial" w:cs="Arial" w:eastAsia="Arial" w:hAnsi="Arial"/>
                <w:sz w:val="16"/>
                <w:szCs w:val="16"/>
                <w:b w:val="1"/>
                <w:bCs w:val="1"/>
                <w:color w:val="auto"/>
              </w:rPr>
              <w:t>20</w:t>
            </w:r>
          </w:p>
        </w:tc>
        <w:tc>
          <w:tcPr>
            <w:tcW w:w="480" w:type="dxa"/>
            <w:vAlign w:val="bottom"/>
            <w:tcBorders>
              <w:bottom w:val="single" w:sz="8" w:color="7F7F7F"/>
            </w:tcBorders>
          </w:tcPr>
          <w:p>
            <w:pPr>
              <w:spacing w:after="0"/>
              <w:rPr>
                <w:sz w:val="18"/>
                <w:szCs w:val="18"/>
                <w:color w:val="auto"/>
              </w:rPr>
            </w:pPr>
          </w:p>
        </w:tc>
        <w:tc>
          <w:tcPr>
            <w:tcW w:w="4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21</w:t>
            </w:r>
          </w:p>
        </w:tc>
        <w:tc>
          <w:tcPr>
            <w:tcW w:w="220" w:type="dxa"/>
            <w:vAlign w:val="bottom"/>
            <w:tcBorders>
              <w:bottom w:val="single" w:sz="8" w:color="7F7F7F"/>
            </w:tcBorders>
          </w:tcPr>
          <w:p>
            <w:pPr>
              <w:spacing w:after="0"/>
              <w:rPr>
                <w:sz w:val="18"/>
                <w:szCs w:val="18"/>
                <w:color w:val="auto"/>
              </w:rPr>
            </w:pPr>
          </w:p>
        </w:tc>
        <w:tc>
          <w:tcPr>
            <w:tcW w:w="220" w:type="dxa"/>
            <w:vAlign w:val="bottom"/>
            <w:tcBorders>
              <w:bottom w:val="single" w:sz="8" w:color="7F7F7F"/>
            </w:tcBorders>
          </w:tcPr>
          <w:p>
            <w:pPr>
              <w:spacing w:after="0"/>
              <w:rPr>
                <w:sz w:val="18"/>
                <w:szCs w:val="18"/>
                <w:color w:val="auto"/>
              </w:rPr>
            </w:pPr>
          </w:p>
        </w:tc>
        <w:tc>
          <w:tcPr>
            <w:tcW w:w="780" w:type="dxa"/>
            <w:vAlign w:val="bottom"/>
            <w:tcBorders>
              <w:bottom w:val="single" w:sz="8" w:color="7F7F7F"/>
            </w:tcBorders>
          </w:tcPr>
          <w:p>
            <w:pPr>
              <w:jc w:val="right"/>
              <w:ind w:right="19"/>
              <w:spacing w:after="0"/>
              <w:rPr>
                <w:sz w:val="20"/>
                <w:szCs w:val="20"/>
                <w:color w:val="auto"/>
              </w:rPr>
            </w:pPr>
            <w:r>
              <w:rPr>
                <w:rFonts w:ascii="Arial" w:cs="Arial" w:eastAsia="Arial" w:hAnsi="Arial"/>
                <w:sz w:val="16"/>
                <w:szCs w:val="16"/>
                <w:b w:val="1"/>
                <w:bCs w:val="1"/>
                <w:color w:val="auto"/>
              </w:rPr>
              <w:t>59</w:t>
            </w:r>
          </w:p>
        </w:tc>
        <w:tc>
          <w:tcPr>
            <w:tcW w:w="500" w:type="dxa"/>
            <w:vAlign w:val="bottom"/>
            <w:tcBorders>
              <w:bottom w:val="single" w:sz="8" w:color="7F7F7F"/>
            </w:tcBorders>
          </w:tcPr>
          <w:p>
            <w:pPr>
              <w:spacing w:after="0"/>
              <w:rPr>
                <w:sz w:val="18"/>
                <w:szCs w:val="18"/>
                <w:color w:val="auto"/>
              </w:rPr>
            </w:pPr>
          </w:p>
        </w:tc>
        <w:tc>
          <w:tcPr>
            <w:tcW w:w="4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62</w:t>
            </w:r>
          </w:p>
        </w:tc>
      </w:tr>
      <w:tr>
        <w:trPr>
          <w:trHeight w:val="264"/>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periodic pension cost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77</w:t>
            </w:r>
          </w:p>
        </w:tc>
        <w:tc>
          <w:tcPr>
            <w:tcW w:w="48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100</w:t>
            </w:r>
          </w:p>
        </w:tc>
        <w:tc>
          <w:tcPr>
            <w:tcW w:w="5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54"/>
        </w:trPr>
        <w:tc>
          <w:tcPr>
            <w:tcW w:w="4660" w:type="dxa"/>
            <w:vAlign w:val="bottom"/>
            <w:shd w:val="clear" w:color="auto" w:fill="7F7F7F"/>
          </w:tcPr>
          <w:p>
            <w:pPr>
              <w:spacing w:after="0"/>
              <w:rPr>
                <w:sz w:val="4"/>
                <w:szCs w:val="4"/>
                <w:color w:val="auto"/>
              </w:rPr>
            </w:pPr>
          </w:p>
        </w:tc>
        <w:tc>
          <w:tcPr>
            <w:tcW w:w="260" w:type="dxa"/>
            <w:vAlign w:val="bottom"/>
            <w:shd w:val="clear" w:color="auto" w:fill="7F7F7F"/>
          </w:tcPr>
          <w:p>
            <w:pPr>
              <w:spacing w:after="0"/>
              <w:rPr>
                <w:sz w:val="4"/>
                <w:szCs w:val="4"/>
                <w:color w:val="auto"/>
              </w:rPr>
            </w:pPr>
          </w:p>
        </w:tc>
        <w:tc>
          <w:tcPr>
            <w:tcW w:w="840" w:type="dxa"/>
            <w:vAlign w:val="bottom"/>
            <w:shd w:val="clear" w:color="auto" w:fill="7F7F7F"/>
          </w:tcPr>
          <w:p>
            <w:pPr>
              <w:spacing w:after="0"/>
              <w:rPr>
                <w:sz w:val="4"/>
                <w:szCs w:val="4"/>
                <w:color w:val="auto"/>
              </w:rPr>
            </w:pPr>
          </w:p>
        </w:tc>
        <w:tc>
          <w:tcPr>
            <w:tcW w:w="480" w:type="dxa"/>
            <w:vAlign w:val="bottom"/>
            <w:shd w:val="clear" w:color="auto" w:fill="7F7F7F"/>
          </w:tcPr>
          <w:p>
            <w:pPr>
              <w:spacing w:after="0"/>
              <w:rPr>
                <w:sz w:val="4"/>
                <w:szCs w:val="4"/>
                <w:color w:val="auto"/>
              </w:rPr>
            </w:pPr>
          </w:p>
        </w:tc>
        <w:tc>
          <w:tcPr>
            <w:tcW w:w="440" w:type="dxa"/>
            <w:vAlign w:val="bottom"/>
            <w:shd w:val="clear" w:color="auto" w:fill="7F7F7F"/>
          </w:tcPr>
          <w:p>
            <w:pPr>
              <w:spacing w:after="0"/>
              <w:rPr>
                <w:sz w:val="4"/>
                <w:szCs w:val="4"/>
                <w:color w:val="auto"/>
              </w:rPr>
            </w:pPr>
          </w:p>
        </w:tc>
        <w:tc>
          <w:tcPr>
            <w:tcW w:w="220" w:type="dxa"/>
            <w:vAlign w:val="bottom"/>
            <w:shd w:val="clear" w:color="auto" w:fill="7F7F7F"/>
          </w:tcPr>
          <w:p>
            <w:pPr>
              <w:spacing w:after="0"/>
              <w:rPr>
                <w:sz w:val="4"/>
                <w:szCs w:val="4"/>
                <w:color w:val="auto"/>
              </w:rPr>
            </w:pPr>
          </w:p>
        </w:tc>
        <w:tc>
          <w:tcPr>
            <w:tcW w:w="220" w:type="dxa"/>
            <w:vAlign w:val="bottom"/>
            <w:shd w:val="clear" w:color="auto" w:fill="7F7F7F"/>
          </w:tcPr>
          <w:p>
            <w:pPr>
              <w:spacing w:after="0"/>
              <w:rPr>
                <w:sz w:val="4"/>
                <w:szCs w:val="4"/>
                <w:color w:val="auto"/>
              </w:rPr>
            </w:pPr>
          </w:p>
        </w:tc>
        <w:tc>
          <w:tcPr>
            <w:tcW w:w="780" w:type="dxa"/>
            <w:vAlign w:val="bottom"/>
            <w:shd w:val="clear" w:color="auto" w:fill="7F7F7F"/>
          </w:tcPr>
          <w:p>
            <w:pPr>
              <w:spacing w:after="0"/>
              <w:rPr>
                <w:sz w:val="4"/>
                <w:szCs w:val="4"/>
                <w:color w:val="auto"/>
              </w:rPr>
            </w:pPr>
          </w:p>
        </w:tc>
        <w:tc>
          <w:tcPr>
            <w:tcW w:w="500" w:type="dxa"/>
            <w:vAlign w:val="bottom"/>
            <w:shd w:val="clear" w:color="auto" w:fill="7F7F7F"/>
          </w:tcPr>
          <w:p>
            <w:pPr>
              <w:spacing w:after="0"/>
              <w:rPr>
                <w:sz w:val="4"/>
                <w:szCs w:val="4"/>
                <w:color w:val="auto"/>
              </w:rPr>
            </w:pPr>
          </w:p>
        </w:tc>
        <w:tc>
          <w:tcPr>
            <w:tcW w:w="420" w:type="dxa"/>
            <w:vAlign w:val="bottom"/>
            <w:shd w:val="clear" w:color="auto" w:fill="7F7F7F"/>
          </w:tcPr>
          <w:p>
            <w:pPr>
              <w:spacing w:after="0"/>
              <w:rPr>
                <w:sz w:val="4"/>
                <w:szCs w:val="4"/>
                <w:color w:val="auto"/>
              </w:rPr>
            </w:pPr>
          </w:p>
        </w:tc>
      </w:tr>
    </w:tbl>
    <w:p>
      <w:pPr>
        <w:spacing w:after="0" w:line="16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components of our net periodic OPEB cost were as follows:</w:t>
      </w:r>
    </w:p>
    <w:p>
      <w:pPr>
        <w:spacing w:after="0" w:line="179" w:lineRule="exact"/>
        <w:rPr>
          <w:sz w:val="20"/>
          <w:szCs w:val="20"/>
          <w:color w:val="auto"/>
        </w:rPr>
      </w:pPr>
    </w:p>
    <w:tbl>
      <w:tblPr>
        <w:tblLayout w:type="fixed"/>
        <w:tblInd w:w="100" w:type="dxa"/>
        <w:tblCellMar>
          <w:top w:w="0" w:type="dxa"/>
          <w:left w:w="0" w:type="dxa"/>
          <w:bottom w:w="0" w:type="dxa"/>
          <w:right w:w="0" w:type="dxa"/>
        </w:tblCellMar>
      </w:tblPr>
      <w:tr>
        <w:trPr>
          <w:trHeight w:val="229"/>
        </w:trPr>
        <w:tc>
          <w:tcPr>
            <w:tcW w:w="4660" w:type="dxa"/>
            <w:vAlign w:val="bottom"/>
            <w:tcBorders>
              <w:top w:val="single" w:sz="8" w:color="7F7F7F"/>
            </w:tcBorders>
          </w:tcPr>
          <w:p>
            <w:pPr>
              <w:spacing w:after="0"/>
              <w:rPr>
                <w:sz w:val="19"/>
                <w:szCs w:val="19"/>
                <w:color w:val="auto"/>
              </w:rPr>
            </w:pPr>
          </w:p>
        </w:tc>
        <w:tc>
          <w:tcPr>
            <w:tcW w:w="260" w:type="dxa"/>
            <w:vAlign w:val="bottom"/>
            <w:tcBorders>
              <w:top w:val="single" w:sz="8" w:color="7F7F7F"/>
            </w:tcBorders>
          </w:tcPr>
          <w:p>
            <w:pPr>
              <w:spacing w:after="0"/>
              <w:rPr>
                <w:sz w:val="19"/>
                <w:szCs w:val="19"/>
                <w:color w:val="auto"/>
              </w:rPr>
            </w:pPr>
          </w:p>
        </w:tc>
        <w:tc>
          <w:tcPr>
            <w:tcW w:w="1980" w:type="dxa"/>
            <w:vAlign w:val="bottom"/>
            <w:tcBorders>
              <w:top w:val="single" w:sz="8" w:color="7F7F7F"/>
            </w:tcBorders>
            <w:gridSpan w:val="4"/>
          </w:tcPr>
          <w:p>
            <w:pPr>
              <w:jc w:val="right"/>
              <w:ind w:right="460"/>
              <w:spacing w:after="0"/>
              <w:rPr>
                <w:sz w:val="20"/>
                <w:szCs w:val="20"/>
                <w:color w:val="auto"/>
              </w:rPr>
            </w:pPr>
            <w:r>
              <w:rPr>
                <w:rFonts w:ascii="Arial" w:cs="Arial" w:eastAsia="Arial" w:hAnsi="Arial"/>
                <w:sz w:val="16"/>
                <w:szCs w:val="16"/>
                <w:i w:val="1"/>
                <w:iCs w:val="1"/>
                <w:color w:val="auto"/>
              </w:rPr>
              <w:t>Three Months Ended</w:t>
            </w:r>
          </w:p>
        </w:tc>
        <w:tc>
          <w:tcPr>
            <w:tcW w:w="220" w:type="dxa"/>
            <w:vAlign w:val="bottom"/>
            <w:tcBorders>
              <w:top w:val="single" w:sz="8" w:color="7F7F7F"/>
            </w:tcBorders>
          </w:tcPr>
          <w:p>
            <w:pPr>
              <w:spacing w:after="0"/>
              <w:rPr>
                <w:sz w:val="19"/>
                <w:szCs w:val="19"/>
                <w:color w:val="auto"/>
              </w:rPr>
            </w:pPr>
          </w:p>
        </w:tc>
        <w:tc>
          <w:tcPr>
            <w:tcW w:w="1700" w:type="dxa"/>
            <w:vAlign w:val="bottom"/>
            <w:tcBorders>
              <w:top w:val="single" w:sz="8" w:color="7F7F7F"/>
            </w:tcBorders>
            <w:gridSpan w:val="3"/>
          </w:tcPr>
          <w:p>
            <w:pPr>
              <w:jc w:val="right"/>
              <w:ind w:right="179"/>
              <w:spacing w:after="0"/>
              <w:rPr>
                <w:sz w:val="20"/>
                <w:szCs w:val="20"/>
                <w:color w:val="auto"/>
              </w:rPr>
            </w:pPr>
            <w:r>
              <w:rPr>
                <w:rFonts w:ascii="Arial" w:cs="Arial" w:eastAsia="Arial" w:hAnsi="Arial"/>
                <w:sz w:val="16"/>
                <w:szCs w:val="16"/>
                <w:i w:val="1"/>
                <w:iCs w:val="1"/>
                <w:color w:val="auto"/>
              </w:rPr>
              <w:t>Nine Months Ended</w:t>
            </w:r>
          </w:p>
        </w:tc>
      </w:tr>
      <w:tr>
        <w:trPr>
          <w:trHeight w:val="224"/>
        </w:trPr>
        <w:tc>
          <w:tcPr>
            <w:tcW w:w="4660" w:type="dxa"/>
            <w:vAlign w:val="bottom"/>
          </w:tcPr>
          <w:p>
            <w:pPr>
              <w:spacing w:after="0"/>
              <w:rPr>
                <w:sz w:val="19"/>
                <w:szCs w:val="19"/>
                <w:color w:val="auto"/>
              </w:rPr>
            </w:pPr>
          </w:p>
        </w:tc>
        <w:tc>
          <w:tcPr>
            <w:tcW w:w="260" w:type="dxa"/>
            <w:vAlign w:val="bottom"/>
            <w:tcBorders>
              <w:bottom w:val="single" w:sz="8" w:color="7F7F7F"/>
            </w:tcBorders>
          </w:tcPr>
          <w:p>
            <w:pPr>
              <w:spacing w:after="0"/>
              <w:rPr>
                <w:sz w:val="19"/>
                <w:szCs w:val="19"/>
                <w:color w:val="auto"/>
              </w:rPr>
            </w:pPr>
          </w:p>
        </w:tc>
        <w:tc>
          <w:tcPr>
            <w:tcW w:w="1320" w:type="dxa"/>
            <w:vAlign w:val="bottom"/>
            <w:tcBorders>
              <w:bottom w:val="single" w:sz="8" w:color="7F7F7F"/>
            </w:tcBorders>
            <w:gridSpan w:val="2"/>
          </w:tcPr>
          <w:p>
            <w:pPr>
              <w:jc w:val="right"/>
              <w:spacing w:after="0"/>
              <w:rPr>
                <w:sz w:val="20"/>
                <w:szCs w:val="20"/>
                <w:color w:val="auto"/>
              </w:rPr>
            </w:pPr>
            <w:r>
              <w:rPr>
                <w:rFonts w:ascii="Arial" w:cs="Arial" w:eastAsia="Arial" w:hAnsi="Arial"/>
                <w:sz w:val="16"/>
                <w:szCs w:val="16"/>
                <w:i w:val="1"/>
                <w:iCs w:val="1"/>
                <w:color w:val="auto"/>
              </w:rPr>
              <w:t>September 30,</w:t>
            </w:r>
          </w:p>
        </w:tc>
        <w:tc>
          <w:tcPr>
            <w:tcW w:w="440" w:type="dxa"/>
            <w:vAlign w:val="bottom"/>
            <w:tcBorders>
              <w:bottom w:val="single" w:sz="8" w:color="7F7F7F"/>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7F7F7F"/>
            </w:tcBorders>
          </w:tcPr>
          <w:p>
            <w:pPr>
              <w:spacing w:after="0"/>
              <w:rPr>
                <w:sz w:val="19"/>
                <w:szCs w:val="19"/>
                <w:color w:val="auto"/>
              </w:rPr>
            </w:pPr>
          </w:p>
        </w:tc>
        <w:tc>
          <w:tcPr>
            <w:tcW w:w="1280" w:type="dxa"/>
            <w:vAlign w:val="bottom"/>
            <w:tcBorders>
              <w:bottom w:val="single" w:sz="8" w:color="7F7F7F"/>
            </w:tcBorders>
            <w:gridSpan w:val="2"/>
          </w:tcPr>
          <w:p>
            <w:pPr>
              <w:jc w:val="right"/>
              <w:spacing w:after="0"/>
              <w:rPr>
                <w:sz w:val="20"/>
                <w:szCs w:val="20"/>
                <w:color w:val="auto"/>
              </w:rPr>
            </w:pPr>
            <w:r>
              <w:rPr>
                <w:rFonts w:ascii="Arial" w:cs="Arial" w:eastAsia="Arial" w:hAnsi="Arial"/>
                <w:sz w:val="16"/>
                <w:szCs w:val="16"/>
                <w:i w:val="1"/>
                <w:iCs w:val="1"/>
                <w:color w:val="auto"/>
              </w:rPr>
              <w:t>September 30,</w:t>
            </w:r>
          </w:p>
        </w:tc>
        <w:tc>
          <w:tcPr>
            <w:tcW w:w="420" w:type="dxa"/>
            <w:vAlign w:val="bottom"/>
            <w:tcBorders>
              <w:bottom w:val="single" w:sz="8" w:color="7F7F7F"/>
            </w:tcBorders>
          </w:tcPr>
          <w:p>
            <w:pPr>
              <w:spacing w:after="0"/>
              <w:rPr>
                <w:sz w:val="19"/>
                <w:szCs w:val="19"/>
                <w:color w:val="auto"/>
              </w:rPr>
            </w:pPr>
          </w:p>
        </w:tc>
      </w:tr>
      <w:tr>
        <w:trPr>
          <w:trHeight w:val="196"/>
        </w:trPr>
        <w:tc>
          <w:tcPr>
            <w:tcW w:w="4660" w:type="dxa"/>
            <w:vAlign w:val="bottom"/>
            <w:tcBorders>
              <w:bottom w:val="single" w:sz="8" w:color="7F7F7F"/>
            </w:tcBorders>
          </w:tcPr>
          <w:p>
            <w:pPr>
              <w:spacing w:after="0"/>
              <w:rPr>
                <w:sz w:val="20"/>
                <w:szCs w:val="20"/>
                <w:color w:val="auto"/>
              </w:rPr>
            </w:pPr>
            <w:r>
              <w:rPr>
                <w:rFonts w:ascii="Arial" w:cs="Arial" w:eastAsia="Arial" w:hAnsi="Arial"/>
                <w:sz w:val="16"/>
                <w:szCs w:val="16"/>
                <w:i w:val="1"/>
                <w:iCs w:val="1"/>
                <w:color w:val="auto"/>
              </w:rPr>
              <w:t>Millions</w:t>
            </w:r>
          </w:p>
        </w:tc>
        <w:tc>
          <w:tcPr>
            <w:tcW w:w="260" w:type="dxa"/>
            <w:vAlign w:val="bottom"/>
            <w:tcBorders>
              <w:bottom w:val="single" w:sz="8" w:color="7F7F7F"/>
            </w:tcBorders>
          </w:tcPr>
          <w:p>
            <w:pPr>
              <w:spacing w:after="0"/>
              <w:rPr>
                <w:sz w:val="17"/>
                <w:szCs w:val="17"/>
                <w:color w:val="auto"/>
              </w:rPr>
            </w:pPr>
          </w:p>
        </w:tc>
        <w:tc>
          <w:tcPr>
            <w:tcW w:w="840" w:type="dxa"/>
            <w:vAlign w:val="bottom"/>
            <w:tcBorders>
              <w:bottom w:val="single" w:sz="8" w:color="7F7F7F"/>
            </w:tcBorders>
          </w:tcPr>
          <w:p>
            <w:pPr>
              <w:jc w:val="right"/>
              <w:ind w:right="39"/>
              <w:spacing w:after="0"/>
              <w:rPr>
                <w:sz w:val="20"/>
                <w:szCs w:val="20"/>
                <w:color w:val="auto"/>
              </w:rPr>
            </w:pPr>
            <w:r>
              <w:rPr>
                <w:rFonts w:ascii="Arial" w:cs="Arial" w:eastAsia="Arial" w:hAnsi="Arial"/>
                <w:sz w:val="16"/>
                <w:szCs w:val="16"/>
                <w:b w:val="1"/>
                <w:bCs w:val="1"/>
                <w:i w:val="1"/>
                <w:iCs w:val="1"/>
                <w:color w:val="auto"/>
              </w:rPr>
              <w:t>2017</w:t>
            </w:r>
          </w:p>
        </w:tc>
        <w:tc>
          <w:tcPr>
            <w:tcW w:w="480" w:type="dxa"/>
            <w:vAlign w:val="bottom"/>
            <w:tcBorders>
              <w:bottom w:val="single" w:sz="8" w:color="7F7F7F"/>
            </w:tcBorders>
          </w:tcPr>
          <w:p>
            <w:pPr>
              <w:spacing w:after="0"/>
              <w:rPr>
                <w:sz w:val="17"/>
                <w:szCs w:val="17"/>
                <w:color w:val="auto"/>
              </w:rPr>
            </w:pPr>
          </w:p>
        </w:tc>
        <w:tc>
          <w:tcPr>
            <w:tcW w:w="44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2016</w:t>
            </w:r>
          </w:p>
        </w:tc>
        <w:tc>
          <w:tcPr>
            <w:tcW w:w="220" w:type="dxa"/>
            <w:vAlign w:val="bottom"/>
            <w:tcBorders>
              <w:bottom w:val="single" w:sz="8" w:color="7F7F7F"/>
            </w:tcBorders>
          </w:tcPr>
          <w:p>
            <w:pPr>
              <w:spacing w:after="0"/>
              <w:rPr>
                <w:sz w:val="17"/>
                <w:szCs w:val="17"/>
                <w:color w:val="auto"/>
              </w:rPr>
            </w:pPr>
          </w:p>
        </w:tc>
        <w:tc>
          <w:tcPr>
            <w:tcW w:w="220" w:type="dxa"/>
            <w:vAlign w:val="bottom"/>
            <w:tcBorders>
              <w:bottom w:val="single" w:sz="8" w:color="7F7F7F"/>
            </w:tcBorders>
          </w:tcPr>
          <w:p>
            <w:pPr>
              <w:spacing w:after="0"/>
              <w:rPr>
                <w:sz w:val="17"/>
                <w:szCs w:val="17"/>
                <w:color w:val="auto"/>
              </w:rPr>
            </w:pPr>
          </w:p>
        </w:tc>
        <w:tc>
          <w:tcPr>
            <w:tcW w:w="780" w:type="dxa"/>
            <w:vAlign w:val="bottom"/>
            <w:tcBorders>
              <w:bottom w:val="single" w:sz="8" w:color="7F7F7F"/>
            </w:tcBorders>
          </w:tcPr>
          <w:p>
            <w:pPr>
              <w:jc w:val="right"/>
              <w:ind w:right="19"/>
              <w:spacing w:after="0"/>
              <w:rPr>
                <w:sz w:val="20"/>
                <w:szCs w:val="20"/>
                <w:color w:val="auto"/>
              </w:rPr>
            </w:pPr>
            <w:r>
              <w:rPr>
                <w:rFonts w:ascii="Arial" w:cs="Arial" w:eastAsia="Arial" w:hAnsi="Arial"/>
                <w:sz w:val="16"/>
                <w:szCs w:val="16"/>
                <w:b w:val="1"/>
                <w:bCs w:val="1"/>
                <w:i w:val="1"/>
                <w:iCs w:val="1"/>
                <w:color w:val="auto"/>
              </w:rPr>
              <w:t>2017</w:t>
            </w:r>
          </w:p>
        </w:tc>
        <w:tc>
          <w:tcPr>
            <w:tcW w:w="500" w:type="dxa"/>
            <w:vAlign w:val="bottom"/>
            <w:tcBorders>
              <w:bottom w:val="single" w:sz="8" w:color="7F7F7F"/>
            </w:tcBorders>
          </w:tcPr>
          <w:p>
            <w:pPr>
              <w:spacing w:after="0"/>
              <w:rPr>
                <w:sz w:val="17"/>
                <w:szCs w:val="17"/>
                <w:color w:val="auto"/>
              </w:rPr>
            </w:pPr>
          </w:p>
        </w:tc>
        <w:tc>
          <w:tcPr>
            <w:tcW w:w="42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2016</w:t>
            </w:r>
          </w:p>
        </w:tc>
      </w:tr>
      <w:tr>
        <w:trPr>
          <w:trHeight w:val="203"/>
        </w:trPr>
        <w:tc>
          <w:tcPr>
            <w:tcW w:w="4660" w:type="dxa"/>
            <w:vAlign w:val="bottom"/>
            <w:shd w:val="clear" w:color="auto" w:fill="CCEEFF"/>
          </w:tcPr>
          <w:p>
            <w:pPr>
              <w:spacing w:after="0"/>
              <w:rPr>
                <w:sz w:val="20"/>
                <w:szCs w:val="20"/>
                <w:color w:val="auto"/>
              </w:rPr>
            </w:pPr>
            <w:r>
              <w:rPr>
                <w:rFonts w:ascii="Arial" w:cs="Arial" w:eastAsia="Arial" w:hAnsi="Arial"/>
                <w:sz w:val="16"/>
                <w:szCs w:val="16"/>
                <w:color w:val="auto"/>
              </w:rPr>
              <w:t>Service cost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w:t>
            </w:r>
          </w:p>
        </w:tc>
        <w:tc>
          <w:tcPr>
            <w:tcW w:w="50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5"/>
        </w:trPr>
        <w:tc>
          <w:tcPr>
            <w:tcW w:w="4660" w:type="dxa"/>
            <w:vAlign w:val="bottom"/>
          </w:tcPr>
          <w:p>
            <w:pPr>
              <w:spacing w:after="0"/>
              <w:rPr>
                <w:sz w:val="20"/>
                <w:szCs w:val="20"/>
                <w:color w:val="auto"/>
              </w:rPr>
            </w:pPr>
            <w:r>
              <w:rPr>
                <w:rFonts w:ascii="Arial" w:cs="Arial" w:eastAsia="Arial" w:hAnsi="Arial"/>
                <w:sz w:val="16"/>
                <w:szCs w:val="16"/>
                <w:color w:val="auto"/>
              </w:rPr>
              <w:t>Interest cost</w:t>
            </w:r>
          </w:p>
        </w:tc>
        <w:tc>
          <w:tcPr>
            <w:tcW w:w="26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3</w:t>
            </w:r>
          </w:p>
        </w:tc>
        <w:tc>
          <w:tcPr>
            <w:tcW w:w="4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8</w:t>
            </w:r>
          </w:p>
        </w:tc>
        <w:tc>
          <w:tcPr>
            <w:tcW w:w="5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7"/>
        </w:trPr>
        <w:tc>
          <w:tcPr>
            <w:tcW w:w="4660" w:type="dxa"/>
            <w:vAlign w:val="bottom"/>
            <w:shd w:val="clear" w:color="auto" w:fill="CCEEFF"/>
          </w:tcPr>
          <w:p>
            <w:pPr>
              <w:spacing w:after="0"/>
              <w:rPr>
                <w:sz w:val="20"/>
                <w:szCs w:val="20"/>
                <w:color w:val="auto"/>
              </w:rPr>
            </w:pPr>
            <w:r>
              <w:rPr>
                <w:rFonts w:ascii="Arial" w:cs="Arial" w:eastAsia="Arial" w:hAnsi="Arial"/>
                <w:sz w:val="16"/>
                <w:szCs w:val="16"/>
                <w:color w:val="auto"/>
              </w:rPr>
              <w:t>Amortization of:</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15"/>
        </w:trPr>
        <w:tc>
          <w:tcPr>
            <w:tcW w:w="4660" w:type="dxa"/>
            <w:vAlign w:val="bottom"/>
          </w:tcPr>
          <w:p>
            <w:pPr>
              <w:ind w:left="280"/>
              <w:spacing w:after="0"/>
              <w:rPr>
                <w:sz w:val="20"/>
                <w:szCs w:val="20"/>
                <w:color w:val="auto"/>
              </w:rPr>
            </w:pPr>
            <w:r>
              <w:rPr>
                <w:rFonts w:ascii="Arial" w:cs="Arial" w:eastAsia="Arial" w:hAnsi="Arial"/>
                <w:sz w:val="16"/>
                <w:szCs w:val="16"/>
                <w:color w:val="auto"/>
              </w:rPr>
              <w:t>Prior service credit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0"/>
        </w:trPr>
        <w:tc>
          <w:tcPr>
            <w:tcW w:w="4660" w:type="dxa"/>
            <w:vAlign w:val="bottom"/>
            <w:tcBorders>
              <w:bottom w:val="single" w:sz="8" w:color="7F7F7F"/>
            </w:tcBorders>
            <w:shd w:val="clear" w:color="auto" w:fill="CCEEFF"/>
          </w:tcPr>
          <w:p>
            <w:pPr>
              <w:ind w:left="260"/>
              <w:spacing w:after="0"/>
              <w:rPr>
                <w:sz w:val="20"/>
                <w:szCs w:val="20"/>
                <w:color w:val="auto"/>
              </w:rPr>
            </w:pPr>
            <w:r>
              <w:rPr>
                <w:rFonts w:ascii="Arial" w:cs="Arial" w:eastAsia="Arial" w:hAnsi="Arial"/>
                <w:sz w:val="16"/>
                <w:szCs w:val="16"/>
                <w:color w:val="auto"/>
              </w:rPr>
              <w:t>Actuarial loss</w:t>
            </w:r>
          </w:p>
        </w:tc>
        <w:tc>
          <w:tcPr>
            <w:tcW w:w="260" w:type="dxa"/>
            <w:vAlign w:val="bottom"/>
            <w:tcBorders>
              <w:bottom w:val="single" w:sz="8" w:color="7F7F7F"/>
            </w:tcBorders>
            <w:shd w:val="clear" w:color="auto" w:fill="CCEEFF"/>
          </w:tcPr>
          <w:p>
            <w:pPr>
              <w:spacing w:after="0"/>
              <w:rPr>
                <w:sz w:val="18"/>
                <w:szCs w:val="18"/>
                <w:color w:val="auto"/>
              </w:rPr>
            </w:pPr>
          </w:p>
        </w:tc>
        <w:tc>
          <w:tcPr>
            <w:tcW w:w="840" w:type="dxa"/>
            <w:vAlign w:val="bottom"/>
            <w:tcBorders>
              <w:bottom w:val="single" w:sz="8" w:color="7F7F7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w:t>
            </w:r>
          </w:p>
        </w:tc>
        <w:tc>
          <w:tcPr>
            <w:tcW w:w="480" w:type="dxa"/>
            <w:vAlign w:val="bottom"/>
            <w:tcBorders>
              <w:bottom w:val="single" w:sz="8" w:color="7F7F7F"/>
            </w:tcBorders>
            <w:shd w:val="clear" w:color="auto" w:fill="CCEEFF"/>
          </w:tcPr>
          <w:p>
            <w:pPr>
              <w:spacing w:after="0"/>
              <w:rPr>
                <w:sz w:val="18"/>
                <w:szCs w:val="18"/>
                <w:color w:val="auto"/>
              </w:rPr>
            </w:pPr>
          </w:p>
        </w:tc>
        <w:tc>
          <w:tcPr>
            <w:tcW w:w="44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7F7F7F"/>
            </w:tcBorders>
            <w:shd w:val="clear" w:color="auto" w:fill="CCEEFF"/>
          </w:tcPr>
          <w:p>
            <w:pPr>
              <w:spacing w:after="0"/>
              <w:rPr>
                <w:sz w:val="18"/>
                <w:szCs w:val="18"/>
                <w:color w:val="auto"/>
              </w:rPr>
            </w:pPr>
          </w:p>
        </w:tc>
        <w:tc>
          <w:tcPr>
            <w:tcW w:w="220" w:type="dxa"/>
            <w:vAlign w:val="bottom"/>
            <w:tcBorders>
              <w:bottom w:val="single" w:sz="8" w:color="7F7F7F"/>
            </w:tcBorders>
            <w:shd w:val="clear" w:color="auto" w:fill="CCEEFF"/>
          </w:tcPr>
          <w:p>
            <w:pPr>
              <w:spacing w:after="0"/>
              <w:rPr>
                <w:sz w:val="18"/>
                <w:szCs w:val="18"/>
                <w:color w:val="auto"/>
              </w:rPr>
            </w:pPr>
          </w:p>
        </w:tc>
        <w:tc>
          <w:tcPr>
            <w:tcW w:w="780" w:type="dxa"/>
            <w:vAlign w:val="bottom"/>
            <w:tcBorders>
              <w:bottom w:val="single" w:sz="8" w:color="7F7F7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w:t>
            </w:r>
          </w:p>
        </w:tc>
        <w:tc>
          <w:tcPr>
            <w:tcW w:w="500" w:type="dxa"/>
            <w:vAlign w:val="bottom"/>
            <w:tcBorders>
              <w:bottom w:val="single" w:sz="8" w:color="7F7F7F"/>
            </w:tcBorders>
            <w:shd w:val="clear" w:color="auto" w:fill="CCEEFF"/>
          </w:tcPr>
          <w:p>
            <w:pPr>
              <w:spacing w:after="0"/>
              <w:rPr>
                <w:sz w:val="18"/>
                <w:szCs w:val="18"/>
                <w:color w:val="auto"/>
              </w:rPr>
            </w:pPr>
          </w:p>
        </w:tc>
        <w:tc>
          <w:tcPr>
            <w:tcW w:w="4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37"/>
        </w:trPr>
        <w:tc>
          <w:tcPr>
            <w:tcW w:w="4660" w:type="dxa"/>
            <w:vAlign w:val="bottom"/>
          </w:tcPr>
          <w:p>
            <w:pPr>
              <w:spacing w:after="0"/>
              <w:rPr>
                <w:sz w:val="20"/>
                <w:szCs w:val="20"/>
                <w:color w:val="auto"/>
              </w:rPr>
            </w:pPr>
            <w:r>
              <w:rPr>
                <w:rFonts w:ascii="Arial" w:cs="Arial" w:eastAsia="Arial" w:hAnsi="Arial"/>
                <w:sz w:val="16"/>
                <w:szCs w:val="16"/>
                <w:color w:val="auto"/>
              </w:rPr>
              <w:t>Net periodic OPEB cost</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5</w:t>
            </w:r>
          </w:p>
        </w:tc>
        <w:tc>
          <w:tcPr>
            <w:tcW w:w="4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16</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81"/>
        </w:trPr>
        <w:tc>
          <w:tcPr>
            <w:tcW w:w="4660" w:type="dxa"/>
            <w:vAlign w:val="bottom"/>
            <w:tcBorders>
              <w:bottom w:val="single" w:sz="8" w:color="7F7F7F"/>
            </w:tcBorders>
          </w:tcPr>
          <w:p>
            <w:pPr>
              <w:spacing w:after="0"/>
              <w:rPr>
                <w:sz w:val="7"/>
                <w:szCs w:val="7"/>
                <w:color w:val="auto"/>
              </w:rPr>
            </w:pPr>
          </w:p>
        </w:tc>
        <w:tc>
          <w:tcPr>
            <w:tcW w:w="260" w:type="dxa"/>
            <w:vAlign w:val="bottom"/>
            <w:tcBorders>
              <w:bottom w:val="single" w:sz="8" w:color="7F7F7F"/>
            </w:tcBorders>
          </w:tcPr>
          <w:p>
            <w:pPr>
              <w:spacing w:after="0"/>
              <w:rPr>
                <w:sz w:val="7"/>
                <w:szCs w:val="7"/>
                <w:color w:val="auto"/>
              </w:rPr>
            </w:pPr>
          </w:p>
        </w:tc>
        <w:tc>
          <w:tcPr>
            <w:tcW w:w="840" w:type="dxa"/>
            <w:vAlign w:val="bottom"/>
            <w:tcBorders>
              <w:bottom w:val="single" w:sz="8" w:color="7F7F7F"/>
            </w:tcBorders>
          </w:tcPr>
          <w:p>
            <w:pPr>
              <w:spacing w:after="0"/>
              <w:rPr>
                <w:sz w:val="7"/>
                <w:szCs w:val="7"/>
                <w:color w:val="auto"/>
              </w:rPr>
            </w:pPr>
          </w:p>
        </w:tc>
        <w:tc>
          <w:tcPr>
            <w:tcW w:w="480" w:type="dxa"/>
            <w:vAlign w:val="bottom"/>
            <w:tcBorders>
              <w:bottom w:val="single" w:sz="8" w:color="7F7F7F"/>
            </w:tcBorders>
          </w:tcPr>
          <w:p>
            <w:pPr>
              <w:spacing w:after="0"/>
              <w:rPr>
                <w:sz w:val="7"/>
                <w:szCs w:val="7"/>
                <w:color w:val="auto"/>
              </w:rPr>
            </w:pPr>
          </w:p>
        </w:tc>
        <w:tc>
          <w:tcPr>
            <w:tcW w:w="440" w:type="dxa"/>
            <w:vAlign w:val="bottom"/>
            <w:tcBorders>
              <w:bottom w:val="single" w:sz="8" w:color="7F7F7F"/>
            </w:tcBorders>
          </w:tcPr>
          <w:p>
            <w:pPr>
              <w:spacing w:after="0"/>
              <w:rPr>
                <w:sz w:val="7"/>
                <w:szCs w:val="7"/>
                <w:color w:val="auto"/>
              </w:rPr>
            </w:pPr>
          </w:p>
        </w:tc>
        <w:tc>
          <w:tcPr>
            <w:tcW w:w="220" w:type="dxa"/>
            <w:vAlign w:val="bottom"/>
            <w:tcBorders>
              <w:bottom w:val="single" w:sz="8" w:color="7F7F7F"/>
            </w:tcBorders>
          </w:tcPr>
          <w:p>
            <w:pPr>
              <w:spacing w:after="0"/>
              <w:rPr>
                <w:sz w:val="7"/>
                <w:szCs w:val="7"/>
                <w:color w:val="auto"/>
              </w:rPr>
            </w:pPr>
          </w:p>
        </w:tc>
        <w:tc>
          <w:tcPr>
            <w:tcW w:w="220" w:type="dxa"/>
            <w:vAlign w:val="bottom"/>
            <w:tcBorders>
              <w:bottom w:val="single" w:sz="8" w:color="7F7F7F"/>
            </w:tcBorders>
          </w:tcPr>
          <w:p>
            <w:pPr>
              <w:spacing w:after="0"/>
              <w:rPr>
                <w:sz w:val="7"/>
                <w:szCs w:val="7"/>
                <w:color w:val="auto"/>
              </w:rPr>
            </w:pPr>
          </w:p>
        </w:tc>
        <w:tc>
          <w:tcPr>
            <w:tcW w:w="780" w:type="dxa"/>
            <w:vAlign w:val="bottom"/>
            <w:tcBorders>
              <w:bottom w:val="single" w:sz="8" w:color="7F7F7F"/>
            </w:tcBorders>
          </w:tcPr>
          <w:p>
            <w:pPr>
              <w:spacing w:after="0"/>
              <w:rPr>
                <w:sz w:val="7"/>
                <w:szCs w:val="7"/>
                <w:color w:val="auto"/>
              </w:rPr>
            </w:pPr>
          </w:p>
        </w:tc>
        <w:tc>
          <w:tcPr>
            <w:tcW w:w="500" w:type="dxa"/>
            <w:vAlign w:val="bottom"/>
            <w:tcBorders>
              <w:bottom w:val="single" w:sz="8" w:color="7F7F7F"/>
            </w:tcBorders>
          </w:tcPr>
          <w:p>
            <w:pPr>
              <w:spacing w:after="0"/>
              <w:rPr>
                <w:sz w:val="7"/>
                <w:szCs w:val="7"/>
                <w:color w:val="auto"/>
              </w:rPr>
            </w:pPr>
          </w:p>
        </w:tc>
        <w:tc>
          <w:tcPr>
            <w:tcW w:w="420" w:type="dxa"/>
            <w:vAlign w:val="bottom"/>
            <w:tcBorders>
              <w:bottom w:val="single" w:sz="8" w:color="7F7F7F"/>
            </w:tcBorders>
          </w:tcPr>
          <w:p>
            <w:pPr>
              <w:spacing w:after="0"/>
              <w:rPr>
                <w:sz w:val="7"/>
                <w:szCs w:val="7"/>
                <w:color w:val="auto"/>
              </w:rPr>
            </w:pPr>
          </w:p>
        </w:tc>
      </w:tr>
    </w:tbl>
    <w:p>
      <w:pPr>
        <w:spacing w:after="0" w:line="13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Cash Contributions</w:t>
      </w:r>
    </w:p>
    <w:p>
      <w:pPr>
        <w:spacing w:after="0" w:line="166" w:lineRule="exact"/>
        <w:rPr>
          <w:sz w:val="20"/>
          <w:szCs w:val="20"/>
          <w:color w:val="auto"/>
        </w:rPr>
      </w:pPr>
    </w:p>
    <w:p>
      <w:pPr>
        <w:jc w:val="both"/>
        <w:ind w:left="100" w:right="99"/>
        <w:spacing w:after="0" w:line="213" w:lineRule="auto"/>
        <w:rPr>
          <w:sz w:val="20"/>
          <w:szCs w:val="20"/>
          <w:color w:val="auto"/>
        </w:rPr>
      </w:pPr>
      <w:r>
        <w:rPr>
          <w:rFonts w:ascii="Arial" w:cs="Arial" w:eastAsia="Arial" w:hAnsi="Arial"/>
          <w:sz w:val="18"/>
          <w:szCs w:val="18"/>
          <w:color w:val="auto"/>
        </w:rPr>
        <w:t>For the nine months ended September 30, 2017, we did not make any cash contributions to the qualified pension plan. Any contributions made during 2017 will be based on cash generated from operations and financial market considerations. Our policy with respect to funding the qualified plans is to fund at least the minimum required by law and not more than the maximum amount deductible for tax purposes. At September 30, 2017, we do not have minimum cash funding requirements for 2017.</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45085</wp:posOffset>
            </wp:positionV>
            <wp:extent cx="5642610"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3" w:name="page14"/>
    <w:bookmarkEnd w:id="13"/>
    <w:p>
      <w:pPr>
        <w:ind w:left="10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7. Other Income</w:t>
      </w:r>
    </w:p>
    <w:p>
      <w:pPr>
        <w:spacing w:after="0" w:line="16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Other income included the following:</w:t>
      </w:r>
    </w:p>
    <w:p>
      <w:pPr>
        <w:spacing w:after="0" w:line="179" w:lineRule="exact"/>
        <w:rPr>
          <w:sz w:val="20"/>
          <w:szCs w:val="20"/>
          <w:color w:val="auto"/>
        </w:rPr>
      </w:pPr>
    </w:p>
    <w:tbl>
      <w:tblPr>
        <w:tblLayout w:type="fixed"/>
        <w:tblInd w:w="100" w:type="dxa"/>
        <w:tblCellMar>
          <w:top w:w="0" w:type="dxa"/>
          <w:left w:w="0" w:type="dxa"/>
          <w:bottom w:w="0" w:type="dxa"/>
          <w:right w:w="0" w:type="dxa"/>
        </w:tblCellMar>
      </w:tblPr>
      <w:tr>
        <w:trPr>
          <w:trHeight w:val="229"/>
        </w:trPr>
        <w:tc>
          <w:tcPr>
            <w:tcW w:w="5000" w:type="dxa"/>
            <w:vAlign w:val="bottom"/>
            <w:tcBorders>
              <w:top w:val="single" w:sz="8" w:color="808080"/>
            </w:tcBorders>
          </w:tcPr>
          <w:p>
            <w:pPr>
              <w:spacing w:after="0"/>
              <w:rPr>
                <w:sz w:val="19"/>
                <w:szCs w:val="19"/>
                <w:color w:val="auto"/>
              </w:rPr>
            </w:pPr>
          </w:p>
        </w:tc>
        <w:tc>
          <w:tcPr>
            <w:tcW w:w="2020" w:type="dxa"/>
            <w:vAlign w:val="bottom"/>
            <w:tcBorders>
              <w:top w:val="single" w:sz="8" w:color="808080"/>
            </w:tcBorders>
            <w:gridSpan w:val="5"/>
          </w:tcPr>
          <w:p>
            <w:pPr>
              <w:ind w:left="140"/>
              <w:spacing w:after="0"/>
              <w:rPr>
                <w:sz w:val="20"/>
                <w:szCs w:val="20"/>
                <w:color w:val="auto"/>
              </w:rPr>
            </w:pPr>
            <w:r>
              <w:rPr>
                <w:rFonts w:ascii="Arial" w:cs="Arial" w:eastAsia="Arial" w:hAnsi="Arial"/>
                <w:sz w:val="16"/>
                <w:szCs w:val="16"/>
                <w:i w:val="1"/>
                <w:iCs w:val="1"/>
                <w:color w:val="auto"/>
              </w:rPr>
              <w:t>Three Months Ended</w:t>
            </w:r>
          </w:p>
        </w:tc>
        <w:tc>
          <w:tcPr>
            <w:tcW w:w="180" w:type="dxa"/>
            <w:vAlign w:val="bottom"/>
            <w:tcBorders>
              <w:top w:val="single" w:sz="8" w:color="808080"/>
            </w:tcBorders>
          </w:tcPr>
          <w:p>
            <w:pPr>
              <w:spacing w:after="0"/>
              <w:rPr>
                <w:sz w:val="19"/>
                <w:szCs w:val="19"/>
                <w:color w:val="auto"/>
              </w:rPr>
            </w:pPr>
          </w:p>
        </w:tc>
        <w:tc>
          <w:tcPr>
            <w:tcW w:w="1620" w:type="dxa"/>
            <w:vAlign w:val="bottom"/>
            <w:tcBorders>
              <w:top w:val="single" w:sz="8" w:color="808080"/>
            </w:tcBorders>
            <w:gridSpan w:val="3"/>
          </w:tcPr>
          <w:p>
            <w:pPr>
              <w:jc w:val="right"/>
              <w:ind w:right="99"/>
              <w:spacing w:after="0"/>
              <w:rPr>
                <w:sz w:val="20"/>
                <w:szCs w:val="20"/>
                <w:color w:val="auto"/>
              </w:rPr>
            </w:pPr>
            <w:r>
              <w:rPr>
                <w:rFonts w:ascii="Arial" w:cs="Arial" w:eastAsia="Arial" w:hAnsi="Arial"/>
                <w:sz w:val="16"/>
                <w:szCs w:val="16"/>
                <w:i w:val="1"/>
                <w:iCs w:val="1"/>
                <w:color w:val="auto"/>
              </w:rPr>
              <w:t>Nine Months Ended</w:t>
            </w:r>
          </w:p>
        </w:tc>
      </w:tr>
      <w:tr>
        <w:trPr>
          <w:trHeight w:val="224"/>
        </w:trPr>
        <w:tc>
          <w:tcPr>
            <w:tcW w:w="5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gridSpan w:val="4"/>
          </w:tcPr>
          <w:p>
            <w:pPr>
              <w:ind w:left="80"/>
              <w:spacing w:after="0"/>
              <w:rPr>
                <w:sz w:val="20"/>
                <w:szCs w:val="20"/>
                <w:color w:val="auto"/>
              </w:rPr>
            </w:pPr>
            <w:r>
              <w:rPr>
                <w:rFonts w:ascii="Arial" w:cs="Arial" w:eastAsia="Arial" w:hAnsi="Arial"/>
                <w:sz w:val="16"/>
                <w:szCs w:val="16"/>
                <w:i w:val="1"/>
                <w:iCs w:val="1"/>
                <w:color w:val="auto"/>
              </w:rPr>
              <w:t>September 30,</w:t>
            </w:r>
          </w:p>
        </w:tc>
        <w:tc>
          <w:tcPr>
            <w:tcW w:w="180" w:type="dxa"/>
            <w:vAlign w:val="bottom"/>
          </w:tcPr>
          <w:p>
            <w:pPr>
              <w:spacing w:after="0"/>
              <w:rPr>
                <w:sz w:val="19"/>
                <w:szCs w:val="19"/>
                <w:color w:val="auto"/>
              </w:rPr>
            </w:pPr>
          </w:p>
        </w:tc>
        <w:tc>
          <w:tcPr>
            <w:tcW w:w="1620" w:type="dxa"/>
            <w:vAlign w:val="bottom"/>
            <w:gridSpan w:val="3"/>
          </w:tcPr>
          <w:p>
            <w:pPr>
              <w:jc w:val="right"/>
              <w:ind w:right="279"/>
              <w:spacing w:after="0"/>
              <w:rPr>
                <w:sz w:val="20"/>
                <w:szCs w:val="20"/>
                <w:color w:val="auto"/>
              </w:rPr>
            </w:pPr>
            <w:r>
              <w:rPr>
                <w:rFonts w:ascii="Arial" w:cs="Arial" w:eastAsia="Arial" w:hAnsi="Arial"/>
                <w:sz w:val="16"/>
                <w:szCs w:val="16"/>
                <w:i w:val="1"/>
                <w:iCs w:val="1"/>
                <w:color w:val="auto"/>
              </w:rPr>
              <w:t>September 30,</w:t>
            </w:r>
          </w:p>
        </w:tc>
      </w:tr>
      <w:tr>
        <w:trPr>
          <w:trHeight w:val="196"/>
        </w:trPr>
        <w:tc>
          <w:tcPr>
            <w:tcW w:w="5000" w:type="dxa"/>
            <w:vAlign w:val="bottom"/>
            <w:tcBorders>
              <w:bottom w:val="single" w:sz="8" w:color="808080"/>
            </w:tcBorders>
          </w:tcPr>
          <w:p>
            <w:pPr>
              <w:spacing w:after="0"/>
              <w:rPr>
                <w:sz w:val="20"/>
                <w:szCs w:val="20"/>
                <w:color w:val="auto"/>
              </w:rPr>
            </w:pPr>
            <w:r>
              <w:rPr>
                <w:rFonts w:ascii="Arial" w:cs="Arial" w:eastAsia="Arial" w:hAnsi="Arial"/>
                <w:sz w:val="16"/>
                <w:szCs w:val="16"/>
                <w:i w:val="1"/>
                <w:iCs w:val="1"/>
                <w:color w:val="auto"/>
              </w:rPr>
              <w:t>Millions</w:t>
            </w:r>
          </w:p>
        </w:tc>
        <w:tc>
          <w:tcPr>
            <w:tcW w:w="300" w:type="dxa"/>
            <w:vAlign w:val="bottom"/>
            <w:tcBorders>
              <w:top w:val="single" w:sz="8" w:color="808080"/>
              <w:bottom w:val="single" w:sz="8" w:color="808080"/>
            </w:tcBorders>
          </w:tcPr>
          <w:p>
            <w:pPr>
              <w:spacing w:after="0"/>
              <w:rPr>
                <w:sz w:val="17"/>
                <w:szCs w:val="17"/>
                <w:color w:val="auto"/>
              </w:rPr>
            </w:pPr>
          </w:p>
        </w:tc>
        <w:tc>
          <w:tcPr>
            <w:tcW w:w="660" w:type="dxa"/>
            <w:vAlign w:val="bottom"/>
            <w:tcBorders>
              <w:top w:val="single" w:sz="8" w:color="808080"/>
              <w:bottom w:val="single" w:sz="8" w:color="808080"/>
            </w:tcBorders>
          </w:tcPr>
          <w:p>
            <w:pPr>
              <w:jc w:val="right"/>
              <w:ind w:right="19"/>
              <w:spacing w:after="0"/>
              <w:rPr>
                <w:sz w:val="20"/>
                <w:szCs w:val="20"/>
                <w:color w:val="auto"/>
              </w:rPr>
            </w:pPr>
            <w:r>
              <w:rPr>
                <w:rFonts w:ascii="Arial" w:cs="Arial" w:eastAsia="Arial" w:hAnsi="Arial"/>
                <w:sz w:val="16"/>
                <w:szCs w:val="16"/>
                <w:b w:val="1"/>
                <w:bCs w:val="1"/>
                <w:i w:val="1"/>
                <w:iCs w:val="1"/>
                <w:color w:val="auto"/>
              </w:rPr>
              <w:t>2017</w:t>
            </w:r>
          </w:p>
        </w:tc>
        <w:tc>
          <w:tcPr>
            <w:tcW w:w="300" w:type="dxa"/>
            <w:vAlign w:val="bottom"/>
            <w:tcBorders>
              <w:top w:val="single" w:sz="8" w:color="808080"/>
              <w:bottom w:val="single" w:sz="8" w:color="808080"/>
            </w:tcBorders>
          </w:tcPr>
          <w:p>
            <w:pPr>
              <w:spacing w:after="0"/>
              <w:rPr>
                <w:sz w:val="17"/>
                <w:szCs w:val="17"/>
                <w:color w:val="auto"/>
              </w:rPr>
            </w:pPr>
          </w:p>
        </w:tc>
        <w:tc>
          <w:tcPr>
            <w:tcW w:w="56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6"/>
                <w:szCs w:val="16"/>
                <w:i w:val="1"/>
                <w:iCs w:val="1"/>
                <w:color w:val="auto"/>
              </w:rPr>
              <w:t>2016</w:t>
            </w:r>
          </w:p>
        </w:tc>
        <w:tc>
          <w:tcPr>
            <w:tcW w:w="200" w:type="dxa"/>
            <w:vAlign w:val="bottom"/>
            <w:tcBorders>
              <w:bottom w:val="single" w:sz="8" w:color="808080"/>
            </w:tcBorders>
          </w:tcPr>
          <w:p>
            <w:pPr>
              <w:spacing w:after="0"/>
              <w:rPr>
                <w:sz w:val="17"/>
                <w:szCs w:val="17"/>
                <w:color w:val="auto"/>
              </w:rPr>
            </w:pPr>
          </w:p>
        </w:tc>
        <w:tc>
          <w:tcPr>
            <w:tcW w:w="180" w:type="dxa"/>
            <w:vAlign w:val="bottom"/>
            <w:tcBorders>
              <w:top w:val="single" w:sz="8" w:color="808080"/>
              <w:bottom w:val="single" w:sz="8" w:color="808080"/>
            </w:tcBorders>
          </w:tcPr>
          <w:p>
            <w:pPr>
              <w:spacing w:after="0"/>
              <w:rPr>
                <w:sz w:val="17"/>
                <w:szCs w:val="17"/>
                <w:color w:val="auto"/>
              </w:rPr>
            </w:pPr>
          </w:p>
        </w:tc>
        <w:tc>
          <w:tcPr>
            <w:tcW w:w="760" w:type="dxa"/>
            <w:vAlign w:val="bottom"/>
            <w:tcBorders>
              <w:top w:val="single" w:sz="8" w:color="808080"/>
              <w:bottom w:val="single" w:sz="8" w:color="808080"/>
            </w:tcBorders>
          </w:tcPr>
          <w:p>
            <w:pPr>
              <w:jc w:val="right"/>
              <w:ind w:right="39"/>
              <w:spacing w:after="0"/>
              <w:rPr>
                <w:sz w:val="20"/>
                <w:szCs w:val="20"/>
                <w:color w:val="auto"/>
              </w:rPr>
            </w:pPr>
            <w:r>
              <w:rPr>
                <w:rFonts w:ascii="Arial" w:cs="Arial" w:eastAsia="Arial" w:hAnsi="Arial"/>
                <w:sz w:val="16"/>
                <w:szCs w:val="16"/>
                <w:b w:val="1"/>
                <w:bCs w:val="1"/>
                <w:i w:val="1"/>
                <w:iCs w:val="1"/>
                <w:color w:val="auto"/>
              </w:rPr>
              <w:t>2017</w:t>
            </w:r>
          </w:p>
        </w:tc>
        <w:tc>
          <w:tcPr>
            <w:tcW w:w="300" w:type="dxa"/>
            <w:vAlign w:val="bottom"/>
            <w:tcBorders>
              <w:top w:val="single" w:sz="8" w:color="808080"/>
              <w:bottom w:val="single" w:sz="8" w:color="808080"/>
            </w:tcBorders>
          </w:tcPr>
          <w:p>
            <w:pPr>
              <w:spacing w:after="0"/>
              <w:rPr>
                <w:sz w:val="17"/>
                <w:szCs w:val="17"/>
                <w:color w:val="auto"/>
              </w:rPr>
            </w:pPr>
          </w:p>
        </w:tc>
        <w:tc>
          <w:tcPr>
            <w:tcW w:w="56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6"/>
                <w:szCs w:val="16"/>
                <w:i w:val="1"/>
                <w:iCs w:val="1"/>
                <w:color w:val="auto"/>
              </w:rPr>
              <w:t>2016</w:t>
            </w:r>
          </w:p>
        </w:tc>
      </w:tr>
      <w:tr>
        <w:trPr>
          <w:trHeight w:val="203"/>
        </w:trPr>
        <w:tc>
          <w:tcPr>
            <w:tcW w:w="5000" w:type="dxa"/>
            <w:vAlign w:val="bottom"/>
            <w:shd w:val="clear" w:color="auto" w:fill="CCEEFF"/>
          </w:tcPr>
          <w:p>
            <w:pPr>
              <w:spacing w:after="0"/>
              <w:rPr>
                <w:sz w:val="20"/>
                <w:szCs w:val="20"/>
                <w:color w:val="auto"/>
              </w:rPr>
            </w:pPr>
            <w:r>
              <w:rPr>
                <w:rFonts w:ascii="Arial" w:cs="Arial" w:eastAsia="Arial" w:hAnsi="Arial"/>
                <w:sz w:val="16"/>
                <w:szCs w:val="16"/>
                <w:color w:val="auto"/>
              </w:rPr>
              <w:t>Rental income [a]</w:t>
            </w:r>
          </w:p>
        </w:tc>
        <w:tc>
          <w:tcPr>
            <w:tcW w:w="30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89</w:t>
            </w:r>
          </w:p>
        </w:tc>
        <w:tc>
          <w:tcPr>
            <w:tcW w:w="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152</w:t>
            </w:r>
          </w:p>
        </w:tc>
        <w:tc>
          <w:tcPr>
            <w:tcW w:w="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215"/>
        </w:trPr>
        <w:tc>
          <w:tcPr>
            <w:tcW w:w="5000" w:type="dxa"/>
            <w:vAlign w:val="bottom"/>
          </w:tcPr>
          <w:p>
            <w:pPr>
              <w:spacing w:after="0"/>
              <w:rPr>
                <w:sz w:val="20"/>
                <w:szCs w:val="20"/>
                <w:color w:val="auto"/>
              </w:rPr>
            </w:pPr>
            <w:r>
              <w:rPr>
                <w:rFonts w:ascii="Arial" w:cs="Arial" w:eastAsia="Arial" w:hAnsi="Arial"/>
                <w:sz w:val="16"/>
                <w:szCs w:val="16"/>
                <w:color w:val="auto"/>
              </w:rPr>
              <w:t>Net gain on non-operating asset dispositions [b] [c]</w:t>
            </w:r>
          </w:p>
        </w:tc>
        <w:tc>
          <w:tcPr>
            <w:tcW w:w="300" w:type="dxa"/>
            <w:vAlign w:val="bottom"/>
          </w:tcPr>
          <w:p>
            <w:pPr>
              <w:spacing w:after="0"/>
              <w:rPr>
                <w:sz w:val="18"/>
                <w:szCs w:val="18"/>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b w:val="1"/>
                <w:bCs w:val="1"/>
                <w:color w:val="auto"/>
              </w:rPr>
              <w:t>63</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b w:val="1"/>
                <w:bCs w:val="1"/>
                <w:color w:val="auto"/>
              </w:rPr>
              <w:t>108</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217"/>
        </w:trPr>
        <w:tc>
          <w:tcPr>
            <w:tcW w:w="5000" w:type="dxa"/>
            <w:vAlign w:val="bottom"/>
            <w:shd w:val="clear" w:color="auto" w:fill="CCEEFF"/>
          </w:tcPr>
          <w:p>
            <w:pPr>
              <w:spacing w:after="0"/>
              <w:rPr>
                <w:sz w:val="20"/>
                <w:szCs w:val="20"/>
                <w:color w:val="auto"/>
              </w:rPr>
            </w:pPr>
            <w:r>
              <w:rPr>
                <w:rFonts w:ascii="Arial" w:cs="Arial" w:eastAsia="Arial" w:hAnsi="Arial"/>
                <w:sz w:val="16"/>
                <w:szCs w:val="16"/>
                <w:color w:val="auto"/>
              </w:rPr>
              <w:t>Interest income</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10</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10"/>
        </w:trPr>
        <w:tc>
          <w:tcPr>
            <w:tcW w:w="5000" w:type="dxa"/>
            <w:vAlign w:val="bottom"/>
          </w:tcPr>
          <w:p>
            <w:pPr>
              <w:spacing w:after="0"/>
              <w:rPr>
                <w:sz w:val="20"/>
                <w:szCs w:val="20"/>
                <w:color w:val="auto"/>
              </w:rPr>
            </w:pPr>
            <w:r>
              <w:rPr>
                <w:rFonts w:ascii="Arial" w:cs="Arial" w:eastAsia="Arial" w:hAnsi="Arial"/>
                <w:sz w:val="16"/>
                <w:szCs w:val="16"/>
                <w:color w:val="auto"/>
              </w:rPr>
              <w:t>Non-operating environmental costs and other</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3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(9)</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64"/>
        </w:trPr>
        <w:tc>
          <w:tcPr>
            <w:tcW w:w="5000" w:type="dxa"/>
            <w:vAlign w:val="bottom"/>
            <w:tcBorders>
              <w:top w:val="single" w:sz="8" w:color="7F7F7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300" w:type="dxa"/>
            <w:vAlign w:val="bottom"/>
            <w:tcBorders>
              <w:top w:val="single" w:sz="8" w:color="7F7F7F"/>
              <w:bottom w:val="single" w:sz="8" w:color="CCEEFF"/>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w:t>
            </w:r>
          </w:p>
        </w:tc>
        <w:tc>
          <w:tcPr>
            <w:tcW w:w="660" w:type="dxa"/>
            <w:vAlign w:val="bottom"/>
            <w:tcBorders>
              <w:top w:val="single" w:sz="8" w:color="7F7F7F"/>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151</w:t>
            </w:r>
          </w:p>
        </w:tc>
        <w:tc>
          <w:tcPr>
            <w:tcW w:w="300" w:type="dxa"/>
            <w:vAlign w:val="bottom"/>
            <w:tcBorders>
              <w:top w:val="single" w:sz="8" w:color="7F7F7F"/>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7F7F7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200" w:type="dxa"/>
            <w:vAlign w:val="bottom"/>
            <w:tcBorders>
              <w:top w:val="single" w:sz="8" w:color="808080"/>
              <w:bottom w:val="single" w:sz="8" w:color="CCEEFF"/>
            </w:tcBorders>
            <w:shd w:val="clear" w:color="auto" w:fill="CCEEFF"/>
          </w:tcPr>
          <w:p>
            <w:pPr>
              <w:spacing w:after="0"/>
              <w:rPr>
                <w:sz w:val="22"/>
                <w:szCs w:val="22"/>
                <w:color w:val="auto"/>
              </w:rPr>
            </w:pPr>
          </w:p>
        </w:tc>
        <w:tc>
          <w:tcPr>
            <w:tcW w:w="180" w:type="dxa"/>
            <w:vAlign w:val="bottom"/>
            <w:tcBorders>
              <w:top w:val="single" w:sz="8" w:color="808080"/>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808080"/>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261</w:t>
            </w:r>
          </w:p>
        </w:tc>
        <w:tc>
          <w:tcPr>
            <w:tcW w:w="300" w:type="dxa"/>
            <w:vAlign w:val="bottom"/>
            <w:tcBorders>
              <w:top w:val="single" w:sz="8" w:color="808080"/>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808080"/>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w:t>
            </w:r>
          </w:p>
        </w:tc>
      </w:tr>
      <w:tr>
        <w:trPr>
          <w:trHeight w:val="54"/>
        </w:trPr>
        <w:tc>
          <w:tcPr>
            <w:tcW w:w="5000" w:type="dxa"/>
            <w:vAlign w:val="bottom"/>
            <w:shd w:val="clear" w:color="auto" w:fill="7F7F7F"/>
          </w:tcPr>
          <w:p>
            <w:pPr>
              <w:spacing w:after="0"/>
              <w:rPr>
                <w:sz w:val="4"/>
                <w:szCs w:val="4"/>
                <w:color w:val="auto"/>
              </w:rPr>
            </w:pPr>
          </w:p>
        </w:tc>
        <w:tc>
          <w:tcPr>
            <w:tcW w:w="300" w:type="dxa"/>
            <w:vAlign w:val="bottom"/>
            <w:shd w:val="clear" w:color="auto" w:fill="7F7F7F"/>
          </w:tcPr>
          <w:p>
            <w:pPr>
              <w:spacing w:after="0"/>
              <w:rPr>
                <w:sz w:val="4"/>
                <w:szCs w:val="4"/>
                <w:color w:val="auto"/>
              </w:rPr>
            </w:pPr>
          </w:p>
        </w:tc>
        <w:tc>
          <w:tcPr>
            <w:tcW w:w="660" w:type="dxa"/>
            <w:vAlign w:val="bottom"/>
            <w:shd w:val="clear" w:color="auto" w:fill="7F7F7F"/>
          </w:tcPr>
          <w:p>
            <w:pPr>
              <w:spacing w:after="0"/>
              <w:rPr>
                <w:sz w:val="4"/>
                <w:szCs w:val="4"/>
                <w:color w:val="auto"/>
              </w:rPr>
            </w:pPr>
          </w:p>
        </w:tc>
        <w:tc>
          <w:tcPr>
            <w:tcW w:w="300" w:type="dxa"/>
            <w:vAlign w:val="bottom"/>
            <w:shd w:val="clear" w:color="auto" w:fill="7F7F7F"/>
          </w:tcPr>
          <w:p>
            <w:pPr>
              <w:spacing w:after="0"/>
              <w:rPr>
                <w:sz w:val="4"/>
                <w:szCs w:val="4"/>
                <w:color w:val="auto"/>
              </w:rPr>
            </w:pPr>
          </w:p>
        </w:tc>
        <w:tc>
          <w:tcPr>
            <w:tcW w:w="560" w:type="dxa"/>
            <w:vAlign w:val="bottom"/>
            <w:shd w:val="clear" w:color="auto" w:fill="7F7F7F"/>
          </w:tcPr>
          <w:p>
            <w:pPr>
              <w:spacing w:after="0"/>
              <w:rPr>
                <w:sz w:val="4"/>
                <w:szCs w:val="4"/>
                <w:color w:val="auto"/>
              </w:rPr>
            </w:pPr>
          </w:p>
        </w:tc>
        <w:tc>
          <w:tcPr>
            <w:tcW w:w="200" w:type="dxa"/>
            <w:vAlign w:val="bottom"/>
            <w:shd w:val="clear" w:color="auto" w:fill="808080"/>
          </w:tcPr>
          <w:p>
            <w:pPr>
              <w:spacing w:after="0"/>
              <w:rPr>
                <w:sz w:val="4"/>
                <w:szCs w:val="4"/>
                <w:color w:val="auto"/>
              </w:rPr>
            </w:pPr>
          </w:p>
        </w:tc>
        <w:tc>
          <w:tcPr>
            <w:tcW w:w="180" w:type="dxa"/>
            <w:vAlign w:val="bottom"/>
            <w:shd w:val="clear" w:color="auto" w:fill="808080"/>
          </w:tcPr>
          <w:p>
            <w:pPr>
              <w:spacing w:after="0"/>
              <w:rPr>
                <w:sz w:val="4"/>
                <w:szCs w:val="4"/>
                <w:color w:val="auto"/>
              </w:rPr>
            </w:pPr>
          </w:p>
        </w:tc>
        <w:tc>
          <w:tcPr>
            <w:tcW w:w="760" w:type="dxa"/>
            <w:vAlign w:val="bottom"/>
            <w:shd w:val="clear" w:color="auto" w:fill="808080"/>
          </w:tcPr>
          <w:p>
            <w:pPr>
              <w:spacing w:after="0"/>
              <w:rPr>
                <w:sz w:val="4"/>
                <w:szCs w:val="4"/>
                <w:color w:val="auto"/>
              </w:rPr>
            </w:pPr>
          </w:p>
        </w:tc>
        <w:tc>
          <w:tcPr>
            <w:tcW w:w="300" w:type="dxa"/>
            <w:vAlign w:val="bottom"/>
            <w:shd w:val="clear" w:color="auto" w:fill="808080"/>
          </w:tcPr>
          <w:p>
            <w:pPr>
              <w:spacing w:after="0"/>
              <w:rPr>
                <w:sz w:val="4"/>
                <w:szCs w:val="4"/>
                <w:color w:val="auto"/>
              </w:rPr>
            </w:pPr>
          </w:p>
        </w:tc>
        <w:tc>
          <w:tcPr>
            <w:tcW w:w="560" w:type="dxa"/>
            <w:vAlign w:val="bottom"/>
            <w:shd w:val="clear" w:color="auto" w:fill="808080"/>
          </w:tcPr>
          <w:p>
            <w:pPr>
              <w:spacing w:after="0"/>
              <w:rPr>
                <w:sz w:val="4"/>
                <w:szCs w:val="4"/>
                <w:color w:val="auto"/>
              </w:rPr>
            </w:pPr>
          </w:p>
        </w:tc>
      </w:tr>
    </w:tbl>
    <w:p>
      <w:pPr>
        <w:spacing w:after="0" w:line="112" w:lineRule="exact"/>
        <w:rPr>
          <w:sz w:val="20"/>
          <w:szCs w:val="20"/>
          <w:color w:val="auto"/>
        </w:rPr>
      </w:pPr>
    </w:p>
    <w:p>
      <w:pPr>
        <w:ind w:left="460" w:hanging="355"/>
        <w:spacing w:after="0"/>
        <w:tabs>
          <w:tab w:leader="none" w:pos="460"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2017 includes $65 million related to a favorable litigation settlement in the third quarter.</w:t>
      </w:r>
    </w:p>
    <w:p>
      <w:pPr>
        <w:spacing w:after="0" w:line="28" w:lineRule="exact"/>
        <w:rPr>
          <w:rFonts w:ascii="Arial" w:cs="Arial" w:eastAsia="Arial" w:hAnsi="Arial"/>
          <w:sz w:val="14"/>
          <w:szCs w:val="14"/>
          <w:i w:val="1"/>
          <w:iCs w:val="1"/>
          <w:color w:val="auto"/>
        </w:rPr>
      </w:pPr>
    </w:p>
    <w:p>
      <w:pPr>
        <w:ind w:left="420" w:right="99" w:hanging="315"/>
        <w:spacing w:after="0"/>
        <w:tabs>
          <w:tab w:leader="none" w:pos="445"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2017 includes $26 million related to a real estate sale in the first quarter and $57 million related to a real estate sale in the third quarter.</w:t>
      </w:r>
    </w:p>
    <w:p>
      <w:pPr>
        <w:spacing w:after="0" w:line="163" w:lineRule="exact"/>
        <w:rPr>
          <w:rFonts w:ascii="Arial" w:cs="Arial" w:eastAsia="Arial" w:hAnsi="Arial"/>
          <w:sz w:val="14"/>
          <w:szCs w:val="14"/>
          <w:i w:val="1"/>
          <w:iCs w:val="1"/>
          <w:color w:val="auto"/>
        </w:rPr>
      </w:pPr>
    </w:p>
    <w:p>
      <w:pPr>
        <w:ind w:left="420" w:right="99" w:hanging="315"/>
        <w:spacing w:after="0" w:line="239" w:lineRule="auto"/>
        <w:tabs>
          <w:tab w:leader="none" w:pos="477"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2016 includes $17 million related to a real estate sale in the first quarter and $50 million related to a real estate sale in the second quarter.</w:t>
      </w:r>
    </w:p>
    <w:p>
      <w:pPr>
        <w:spacing w:after="0" w:line="17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8. Income Taxes</w:t>
      </w:r>
    </w:p>
    <w:p>
      <w:pPr>
        <w:spacing w:after="0" w:line="153" w:lineRule="exact"/>
        <w:rPr>
          <w:sz w:val="20"/>
          <w:szCs w:val="20"/>
          <w:color w:val="auto"/>
        </w:rPr>
      </w:pPr>
    </w:p>
    <w:p>
      <w:pPr>
        <w:jc w:val="both"/>
        <w:ind w:left="100" w:right="99"/>
        <w:spacing w:after="0" w:line="219" w:lineRule="auto"/>
        <w:rPr>
          <w:sz w:val="20"/>
          <w:szCs w:val="20"/>
          <w:color w:val="auto"/>
        </w:rPr>
      </w:pPr>
      <w:r>
        <w:rPr>
          <w:rFonts w:ascii="Arial" w:cs="Arial" w:eastAsia="Arial" w:hAnsi="Arial"/>
          <w:sz w:val="18"/>
          <w:szCs w:val="18"/>
          <w:color w:val="auto"/>
        </w:rPr>
        <w:t>The statute of limitations has run for all years prior to 2013 and UPC is not currently under examination by the Internal Revenue Service (IRS) for any of its open years. In 2017, UPC amended its 2013 income tax returns, primarily to claim deductions resulting from the resolution of prior year IRS examinations.</w:t>
      </w:r>
    </w:p>
    <w:p>
      <w:pPr>
        <w:spacing w:after="0" w:line="136" w:lineRule="exact"/>
        <w:rPr>
          <w:sz w:val="20"/>
          <w:szCs w:val="20"/>
          <w:color w:val="auto"/>
        </w:rPr>
      </w:pPr>
    </w:p>
    <w:p>
      <w:pPr>
        <w:jc w:val="both"/>
        <w:ind w:left="100" w:right="99"/>
        <w:spacing w:after="0" w:line="215" w:lineRule="auto"/>
        <w:rPr>
          <w:sz w:val="20"/>
          <w:szCs w:val="20"/>
          <w:color w:val="auto"/>
        </w:rPr>
      </w:pPr>
      <w:r>
        <w:rPr>
          <w:rFonts w:ascii="Arial" w:cs="Arial" w:eastAsia="Arial" w:hAnsi="Arial"/>
          <w:sz w:val="18"/>
          <w:szCs w:val="18"/>
          <w:color w:val="auto"/>
        </w:rPr>
        <w:t>In 2016, UPC amended its 2011 and 2012 income tax returns to claim deductions resulting from the resolution of IRS examinations for years prior to 2011. The IRS and Joint Committee on Taxation have completed their review of these amended returns, and in the third quarter of 2017, we received a refund of $62 million, consisting of $60 million of tax and $2 million of interest.</w:t>
      </w:r>
    </w:p>
    <w:p>
      <w:pPr>
        <w:spacing w:after="0" w:line="13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Several state tax authorities are examining our state tax returns for years 2006 through 2014.</w:t>
      </w:r>
    </w:p>
    <w:p>
      <w:pPr>
        <w:spacing w:after="0" w:line="14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At September 30, 2017, we had a net liability for unrecognized tax benefits of $170 million.</w:t>
      </w:r>
    </w:p>
    <w:p>
      <w:pPr>
        <w:spacing w:after="0" w:line="144" w:lineRule="exact"/>
        <w:rPr>
          <w:sz w:val="20"/>
          <w:szCs w:val="20"/>
          <w:color w:val="auto"/>
        </w:rPr>
      </w:pPr>
    </w:p>
    <w:p>
      <w:pPr>
        <w:jc w:val="both"/>
        <w:ind w:left="100" w:right="99"/>
        <w:spacing w:after="0" w:line="227" w:lineRule="auto"/>
        <w:rPr>
          <w:sz w:val="20"/>
          <w:szCs w:val="20"/>
          <w:color w:val="auto"/>
        </w:rPr>
      </w:pPr>
      <w:r>
        <w:rPr>
          <w:rFonts w:ascii="Arial" w:cs="Arial" w:eastAsia="Arial" w:hAnsi="Arial"/>
          <w:sz w:val="18"/>
          <w:szCs w:val="18"/>
          <w:color w:val="auto"/>
        </w:rPr>
        <w:t>On July 6, 2017, the State of Illinois increased its corporate income tax rate effective July 1, 2017. In the third quarter of 2017, we increased our deferred tax expense by $33 million to reflect the increased tax rate.</w:t>
      </w:r>
    </w:p>
    <w:p>
      <w:pPr>
        <w:spacing w:after="0" w:line="11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9. Earnings Per Share</w:t>
      </w:r>
    </w:p>
    <w:p>
      <w:pPr>
        <w:spacing w:after="0" w:line="15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following table provides a reconciliation between basic and diluted earnings per share:</w:t>
      </w:r>
    </w:p>
    <w:p>
      <w:pPr>
        <w:spacing w:after="0" w:line="179" w:lineRule="exact"/>
        <w:rPr>
          <w:sz w:val="20"/>
          <w:szCs w:val="20"/>
          <w:color w:val="auto"/>
        </w:rPr>
      </w:pPr>
    </w:p>
    <w:tbl>
      <w:tblPr>
        <w:tblLayout w:type="fixed"/>
        <w:tblInd w:w="100" w:type="dxa"/>
        <w:tblCellMar>
          <w:top w:w="0" w:type="dxa"/>
          <w:left w:w="0" w:type="dxa"/>
          <w:bottom w:w="0" w:type="dxa"/>
          <w:right w:w="0" w:type="dxa"/>
        </w:tblCellMar>
      </w:tblPr>
      <w:tr>
        <w:trPr>
          <w:trHeight w:val="229"/>
        </w:trPr>
        <w:tc>
          <w:tcPr>
            <w:tcW w:w="5040" w:type="dxa"/>
            <w:vAlign w:val="bottom"/>
            <w:tcBorders>
              <w:top w:val="single" w:sz="8" w:color="7F7F7F"/>
            </w:tcBorders>
          </w:tcPr>
          <w:p>
            <w:pPr>
              <w:spacing w:after="0"/>
              <w:rPr>
                <w:sz w:val="19"/>
                <w:szCs w:val="19"/>
                <w:color w:val="auto"/>
              </w:rPr>
            </w:pPr>
          </w:p>
        </w:tc>
        <w:tc>
          <w:tcPr>
            <w:tcW w:w="1860" w:type="dxa"/>
            <w:vAlign w:val="bottom"/>
            <w:tcBorders>
              <w:top w:val="single" w:sz="8" w:color="7F7F7F"/>
            </w:tcBorders>
            <w:gridSpan w:val="4"/>
          </w:tcPr>
          <w:p>
            <w:pPr>
              <w:jc w:val="right"/>
              <w:ind w:right="79"/>
              <w:spacing w:after="0"/>
              <w:rPr>
                <w:sz w:val="20"/>
                <w:szCs w:val="20"/>
                <w:color w:val="auto"/>
              </w:rPr>
            </w:pPr>
            <w:r>
              <w:rPr>
                <w:rFonts w:ascii="Arial" w:cs="Arial" w:eastAsia="Arial" w:hAnsi="Arial"/>
                <w:sz w:val="16"/>
                <w:szCs w:val="16"/>
                <w:i w:val="1"/>
                <w:iCs w:val="1"/>
                <w:color w:val="auto"/>
              </w:rPr>
              <w:t>Three Months Ended</w:t>
            </w:r>
          </w:p>
        </w:tc>
        <w:tc>
          <w:tcPr>
            <w:tcW w:w="180" w:type="dxa"/>
            <w:vAlign w:val="bottom"/>
            <w:tcBorders>
              <w:top w:val="single" w:sz="8" w:color="808080"/>
            </w:tcBorders>
          </w:tcPr>
          <w:p>
            <w:pPr>
              <w:spacing w:after="0"/>
              <w:rPr>
                <w:sz w:val="19"/>
                <w:szCs w:val="19"/>
                <w:color w:val="auto"/>
              </w:rPr>
            </w:pPr>
          </w:p>
        </w:tc>
        <w:tc>
          <w:tcPr>
            <w:tcW w:w="1740" w:type="dxa"/>
            <w:vAlign w:val="bottom"/>
            <w:tcBorders>
              <w:top w:val="single" w:sz="8" w:color="808080"/>
            </w:tcBorders>
            <w:gridSpan w:val="4"/>
          </w:tcPr>
          <w:p>
            <w:pPr>
              <w:jc w:val="right"/>
              <w:ind w:right="79"/>
              <w:spacing w:after="0"/>
              <w:rPr>
                <w:sz w:val="20"/>
                <w:szCs w:val="20"/>
                <w:color w:val="auto"/>
              </w:rPr>
            </w:pPr>
            <w:r>
              <w:rPr>
                <w:rFonts w:ascii="Arial" w:cs="Arial" w:eastAsia="Arial" w:hAnsi="Arial"/>
                <w:sz w:val="16"/>
                <w:szCs w:val="16"/>
                <w:i w:val="1"/>
                <w:iCs w:val="1"/>
                <w:color w:val="auto"/>
              </w:rPr>
              <w:t>Nine Months Ended</w:t>
            </w:r>
          </w:p>
        </w:tc>
      </w:tr>
      <w:tr>
        <w:trPr>
          <w:trHeight w:val="224"/>
        </w:trPr>
        <w:tc>
          <w:tcPr>
            <w:tcW w:w="5040" w:type="dxa"/>
            <w:vAlign w:val="bottom"/>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540" w:type="dxa"/>
            <w:vAlign w:val="bottom"/>
            <w:tcBorders>
              <w:bottom w:val="single" w:sz="8" w:color="808080"/>
            </w:tcBorders>
            <w:gridSpan w:val="3"/>
          </w:tcPr>
          <w:p>
            <w:pPr>
              <w:jc w:val="right"/>
              <w:ind w:right="319"/>
              <w:spacing w:after="0"/>
              <w:rPr>
                <w:sz w:val="20"/>
                <w:szCs w:val="20"/>
                <w:color w:val="auto"/>
              </w:rPr>
            </w:pPr>
            <w:r>
              <w:rPr>
                <w:rFonts w:ascii="Arial" w:cs="Arial" w:eastAsia="Arial" w:hAnsi="Arial"/>
                <w:sz w:val="16"/>
                <w:szCs w:val="16"/>
                <w:i w:val="1"/>
                <w:iCs w:val="1"/>
                <w:color w:val="auto"/>
              </w:rPr>
              <w:t>September 30,</w:t>
            </w:r>
          </w:p>
        </w:tc>
        <w:tc>
          <w:tcPr>
            <w:tcW w:w="180" w:type="dxa"/>
            <w:vAlign w:val="bottom"/>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gridSpan w:val="3"/>
          </w:tcPr>
          <w:p>
            <w:pPr>
              <w:jc w:val="right"/>
              <w:ind w:right="259"/>
              <w:spacing w:after="0"/>
              <w:rPr>
                <w:sz w:val="20"/>
                <w:szCs w:val="20"/>
                <w:color w:val="auto"/>
              </w:rPr>
            </w:pPr>
            <w:r>
              <w:rPr>
                <w:rFonts w:ascii="Arial" w:cs="Arial" w:eastAsia="Arial" w:hAnsi="Arial"/>
                <w:sz w:val="16"/>
                <w:szCs w:val="16"/>
                <w:i w:val="1"/>
                <w:iCs w:val="1"/>
                <w:color w:val="auto"/>
              </w:rPr>
              <w:t>September 30,</w:t>
            </w:r>
          </w:p>
        </w:tc>
      </w:tr>
      <w:tr>
        <w:trPr>
          <w:trHeight w:val="196"/>
        </w:trPr>
        <w:tc>
          <w:tcPr>
            <w:tcW w:w="5040" w:type="dxa"/>
            <w:vAlign w:val="bottom"/>
            <w:tcBorders>
              <w:bottom w:val="single" w:sz="8" w:color="808080"/>
            </w:tcBorders>
          </w:tcPr>
          <w:p>
            <w:pPr>
              <w:spacing w:after="0"/>
              <w:rPr>
                <w:sz w:val="20"/>
                <w:szCs w:val="20"/>
                <w:color w:val="auto"/>
              </w:rPr>
            </w:pPr>
            <w:r>
              <w:rPr>
                <w:rFonts w:ascii="Arial" w:cs="Arial" w:eastAsia="Arial" w:hAnsi="Arial"/>
                <w:sz w:val="16"/>
                <w:szCs w:val="16"/>
                <w:i w:val="1"/>
                <w:iCs w:val="1"/>
                <w:color w:val="auto"/>
              </w:rPr>
              <w:t>Millions, Except Per Share Amounts</w:t>
            </w:r>
          </w:p>
        </w:tc>
        <w:tc>
          <w:tcPr>
            <w:tcW w:w="320" w:type="dxa"/>
            <w:vAlign w:val="bottom"/>
            <w:tcBorders>
              <w:bottom w:val="single" w:sz="8" w:color="808080"/>
            </w:tcBorders>
          </w:tcPr>
          <w:p>
            <w:pPr>
              <w:spacing w:after="0"/>
              <w:rPr>
                <w:sz w:val="17"/>
                <w:szCs w:val="17"/>
                <w:color w:val="auto"/>
              </w:rPr>
            </w:pPr>
          </w:p>
        </w:tc>
        <w:tc>
          <w:tcPr>
            <w:tcW w:w="660" w:type="dxa"/>
            <w:vAlign w:val="bottom"/>
            <w:tcBorders>
              <w:bottom w:val="single" w:sz="8" w:color="808080"/>
            </w:tcBorders>
          </w:tcPr>
          <w:p>
            <w:pPr>
              <w:jc w:val="right"/>
              <w:ind w:right="19"/>
              <w:spacing w:after="0"/>
              <w:rPr>
                <w:sz w:val="20"/>
                <w:szCs w:val="20"/>
                <w:color w:val="auto"/>
              </w:rPr>
            </w:pPr>
            <w:r>
              <w:rPr>
                <w:rFonts w:ascii="Arial" w:cs="Arial" w:eastAsia="Arial" w:hAnsi="Arial"/>
                <w:sz w:val="16"/>
                <w:szCs w:val="16"/>
                <w:b w:val="1"/>
                <w:bCs w:val="1"/>
                <w:i w:val="1"/>
                <w:iCs w:val="1"/>
                <w:color w:val="auto"/>
              </w:rPr>
              <w:t>2017</w:t>
            </w:r>
          </w:p>
        </w:tc>
        <w:tc>
          <w:tcPr>
            <w:tcW w:w="300" w:type="dxa"/>
            <w:vAlign w:val="bottom"/>
            <w:tcBorders>
              <w:bottom w:val="single" w:sz="8" w:color="808080"/>
            </w:tcBorders>
          </w:tcPr>
          <w:p>
            <w:pPr>
              <w:spacing w:after="0"/>
              <w:rPr>
                <w:sz w:val="17"/>
                <w:szCs w:val="17"/>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6"/>
                <w:szCs w:val="16"/>
                <w:i w:val="1"/>
                <w:iCs w:val="1"/>
                <w:color w:val="auto"/>
              </w:rPr>
              <w:t>2016</w:t>
            </w:r>
          </w:p>
        </w:tc>
        <w:tc>
          <w:tcPr>
            <w:tcW w:w="18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620" w:type="dxa"/>
            <w:vAlign w:val="bottom"/>
            <w:tcBorders>
              <w:bottom w:val="single" w:sz="8" w:color="808080"/>
            </w:tcBorders>
          </w:tcPr>
          <w:p>
            <w:pPr>
              <w:jc w:val="right"/>
              <w:spacing w:after="0"/>
              <w:rPr>
                <w:sz w:val="20"/>
                <w:szCs w:val="20"/>
                <w:color w:val="auto"/>
              </w:rPr>
            </w:pPr>
            <w:r>
              <w:rPr>
                <w:rFonts w:ascii="Arial" w:cs="Arial" w:eastAsia="Arial" w:hAnsi="Arial"/>
                <w:sz w:val="16"/>
                <w:szCs w:val="16"/>
                <w:b w:val="1"/>
                <w:bCs w:val="1"/>
                <w:i w:val="1"/>
                <w:iCs w:val="1"/>
                <w:color w:val="auto"/>
              </w:rPr>
              <w:t>2017</w:t>
            </w:r>
          </w:p>
        </w:tc>
        <w:tc>
          <w:tcPr>
            <w:tcW w:w="300" w:type="dxa"/>
            <w:vAlign w:val="bottom"/>
            <w:tcBorders>
              <w:bottom w:val="single" w:sz="8" w:color="808080"/>
            </w:tcBorders>
          </w:tcPr>
          <w:p>
            <w:pPr>
              <w:spacing w:after="0"/>
              <w:rPr>
                <w:sz w:val="17"/>
                <w:szCs w:val="17"/>
                <w:color w:val="auto"/>
              </w:rPr>
            </w:pPr>
          </w:p>
        </w:tc>
        <w:tc>
          <w:tcPr>
            <w:tcW w:w="560" w:type="dxa"/>
            <w:vAlign w:val="bottom"/>
            <w:tcBorders>
              <w:bottom w:val="single" w:sz="8" w:color="808080"/>
            </w:tcBorders>
          </w:tcPr>
          <w:p>
            <w:pPr>
              <w:jc w:val="right"/>
              <w:spacing w:after="0"/>
              <w:rPr>
                <w:sz w:val="20"/>
                <w:szCs w:val="20"/>
                <w:color w:val="auto"/>
              </w:rPr>
            </w:pPr>
            <w:r>
              <w:rPr>
                <w:rFonts w:ascii="Arial" w:cs="Arial" w:eastAsia="Arial" w:hAnsi="Arial"/>
                <w:sz w:val="16"/>
                <w:szCs w:val="16"/>
                <w:i w:val="1"/>
                <w:iCs w:val="1"/>
                <w:color w:val="auto"/>
              </w:rPr>
              <w:t>2016</w:t>
            </w:r>
          </w:p>
        </w:tc>
      </w:tr>
      <w:tr>
        <w:trPr>
          <w:trHeight w:val="309"/>
        </w:trPr>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income</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1,194</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1,131</w:t>
            </w: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3,434</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3,089</w:t>
            </w:r>
          </w:p>
        </w:tc>
      </w:tr>
      <w:tr>
        <w:trPr>
          <w:trHeight w:val="200"/>
        </w:trPr>
        <w:tc>
          <w:tcPr>
            <w:tcW w:w="5040" w:type="dxa"/>
            <w:vAlign w:val="bottom"/>
            <w:tcBorders>
              <w:top w:val="single" w:sz="8" w:color="7F7F7F"/>
            </w:tcBorders>
          </w:tcPr>
          <w:p>
            <w:pPr>
              <w:spacing w:after="0"/>
              <w:rPr>
                <w:sz w:val="20"/>
                <w:szCs w:val="20"/>
                <w:color w:val="auto"/>
              </w:rPr>
            </w:pPr>
            <w:r>
              <w:rPr>
                <w:rFonts w:ascii="Arial" w:cs="Arial" w:eastAsia="Arial" w:hAnsi="Arial"/>
                <w:sz w:val="16"/>
                <w:szCs w:val="16"/>
                <w:color w:val="auto"/>
              </w:rPr>
              <w:t>Weighted-average number of shares outstanding:</w:t>
            </w:r>
          </w:p>
        </w:tc>
        <w:tc>
          <w:tcPr>
            <w:tcW w:w="320" w:type="dxa"/>
            <w:vAlign w:val="bottom"/>
            <w:tcBorders>
              <w:top w:val="single" w:sz="8" w:color="7F7F7F"/>
            </w:tcBorders>
          </w:tcPr>
          <w:p>
            <w:pPr>
              <w:spacing w:after="0"/>
              <w:rPr>
                <w:sz w:val="17"/>
                <w:szCs w:val="17"/>
                <w:color w:val="auto"/>
              </w:rPr>
            </w:pPr>
          </w:p>
        </w:tc>
        <w:tc>
          <w:tcPr>
            <w:tcW w:w="660" w:type="dxa"/>
            <w:vAlign w:val="bottom"/>
            <w:tcBorders>
              <w:top w:val="single" w:sz="8" w:color="7F7F7F"/>
            </w:tcBorders>
          </w:tcPr>
          <w:p>
            <w:pPr>
              <w:spacing w:after="0"/>
              <w:rPr>
                <w:sz w:val="17"/>
                <w:szCs w:val="17"/>
                <w:color w:val="auto"/>
              </w:rPr>
            </w:pPr>
          </w:p>
        </w:tc>
        <w:tc>
          <w:tcPr>
            <w:tcW w:w="300" w:type="dxa"/>
            <w:vAlign w:val="bottom"/>
            <w:tcBorders>
              <w:top w:val="single" w:sz="8" w:color="7F7F7F"/>
            </w:tcBorders>
          </w:tcPr>
          <w:p>
            <w:pPr>
              <w:spacing w:after="0"/>
              <w:rPr>
                <w:sz w:val="17"/>
                <w:szCs w:val="17"/>
                <w:color w:val="auto"/>
              </w:rPr>
            </w:pPr>
          </w:p>
        </w:tc>
        <w:tc>
          <w:tcPr>
            <w:tcW w:w="580" w:type="dxa"/>
            <w:vAlign w:val="bottom"/>
            <w:tcBorders>
              <w:top w:val="single" w:sz="8" w:color="7F7F7F"/>
            </w:tcBorders>
          </w:tcPr>
          <w:p>
            <w:pPr>
              <w:spacing w:after="0"/>
              <w:rPr>
                <w:sz w:val="17"/>
                <w:szCs w:val="17"/>
                <w:color w:val="auto"/>
              </w:rPr>
            </w:pPr>
          </w:p>
        </w:tc>
        <w:tc>
          <w:tcPr>
            <w:tcW w:w="180" w:type="dxa"/>
            <w:vAlign w:val="bottom"/>
            <w:tcBorders>
              <w:top w:val="single" w:sz="8" w:color="808080"/>
            </w:tcBorders>
          </w:tcPr>
          <w:p>
            <w:pPr>
              <w:spacing w:after="0"/>
              <w:rPr>
                <w:sz w:val="17"/>
                <w:szCs w:val="17"/>
                <w:color w:val="auto"/>
              </w:rPr>
            </w:pPr>
          </w:p>
        </w:tc>
        <w:tc>
          <w:tcPr>
            <w:tcW w:w="260" w:type="dxa"/>
            <w:vAlign w:val="bottom"/>
            <w:tcBorders>
              <w:top w:val="single" w:sz="8" w:color="808080"/>
            </w:tcBorders>
          </w:tcPr>
          <w:p>
            <w:pPr>
              <w:spacing w:after="0"/>
              <w:rPr>
                <w:sz w:val="17"/>
                <w:szCs w:val="17"/>
                <w:color w:val="auto"/>
              </w:rPr>
            </w:pPr>
          </w:p>
        </w:tc>
        <w:tc>
          <w:tcPr>
            <w:tcW w:w="620" w:type="dxa"/>
            <w:vAlign w:val="bottom"/>
            <w:tcBorders>
              <w:top w:val="single" w:sz="8" w:color="808080"/>
            </w:tcBorders>
          </w:tcPr>
          <w:p>
            <w:pPr>
              <w:spacing w:after="0"/>
              <w:rPr>
                <w:sz w:val="17"/>
                <w:szCs w:val="17"/>
                <w:color w:val="auto"/>
              </w:rPr>
            </w:pPr>
          </w:p>
        </w:tc>
        <w:tc>
          <w:tcPr>
            <w:tcW w:w="300" w:type="dxa"/>
            <w:vAlign w:val="bottom"/>
            <w:tcBorders>
              <w:top w:val="single" w:sz="8" w:color="808080"/>
            </w:tcBorders>
          </w:tcPr>
          <w:p>
            <w:pPr>
              <w:spacing w:after="0"/>
              <w:rPr>
                <w:sz w:val="17"/>
                <w:szCs w:val="17"/>
                <w:color w:val="auto"/>
              </w:rPr>
            </w:pPr>
          </w:p>
        </w:tc>
        <w:tc>
          <w:tcPr>
            <w:tcW w:w="560" w:type="dxa"/>
            <w:vAlign w:val="bottom"/>
            <w:tcBorders>
              <w:top w:val="single" w:sz="8" w:color="808080"/>
            </w:tcBorders>
          </w:tcPr>
          <w:p>
            <w:pPr>
              <w:spacing w:after="0"/>
              <w:rPr>
                <w:sz w:val="17"/>
                <w:szCs w:val="17"/>
                <w:color w:val="auto"/>
              </w:rPr>
            </w:pPr>
          </w:p>
        </w:tc>
      </w:tr>
      <w:tr>
        <w:trPr>
          <w:trHeight w:val="219"/>
        </w:trPr>
        <w:tc>
          <w:tcPr>
            <w:tcW w:w="5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794.5</w:t>
            </w:r>
          </w:p>
        </w:tc>
        <w:tc>
          <w:tcPr>
            <w:tcW w:w="3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829.0</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803.4</w:t>
            </w:r>
          </w:p>
        </w:tc>
        <w:tc>
          <w:tcPr>
            <w:tcW w:w="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836.8</w:t>
            </w:r>
          </w:p>
        </w:tc>
      </w:tr>
      <w:tr>
        <w:trPr>
          <w:trHeight w:val="215"/>
        </w:trPr>
        <w:tc>
          <w:tcPr>
            <w:tcW w:w="5040" w:type="dxa"/>
            <w:vAlign w:val="bottom"/>
          </w:tcPr>
          <w:p>
            <w:pPr>
              <w:ind w:left="180"/>
              <w:spacing w:after="0"/>
              <w:rPr>
                <w:sz w:val="20"/>
                <w:szCs w:val="20"/>
                <w:color w:val="auto"/>
              </w:rPr>
            </w:pPr>
            <w:r>
              <w:rPr>
                <w:rFonts w:ascii="Arial" w:cs="Arial" w:eastAsia="Arial" w:hAnsi="Arial"/>
                <w:sz w:val="16"/>
                <w:szCs w:val="16"/>
                <w:color w:val="auto"/>
              </w:rPr>
              <w:t>Dilutive effect of stock options</w:t>
            </w:r>
          </w:p>
        </w:tc>
        <w:tc>
          <w:tcPr>
            <w:tcW w:w="320" w:type="dxa"/>
            <w:vAlign w:val="bottom"/>
          </w:tcPr>
          <w:p>
            <w:pPr>
              <w:spacing w:after="0"/>
              <w:rPr>
                <w:sz w:val="18"/>
                <w:szCs w:val="18"/>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b w:val="1"/>
                <w:bCs w:val="1"/>
                <w:color w:val="auto"/>
              </w:rPr>
              <w:t>1.7</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1.7</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0"/>
        </w:trPr>
        <w:tc>
          <w:tcPr>
            <w:tcW w:w="5040" w:type="dxa"/>
            <w:vAlign w:val="bottom"/>
            <w:tcBorders>
              <w:bottom w:val="single" w:sz="8" w:color="7F7F7F"/>
            </w:tcBorders>
            <w:shd w:val="clear" w:color="auto" w:fill="CCEEFF"/>
          </w:tcPr>
          <w:p>
            <w:pPr>
              <w:ind w:left="180"/>
              <w:spacing w:after="0"/>
              <w:rPr>
                <w:sz w:val="20"/>
                <w:szCs w:val="20"/>
                <w:color w:val="auto"/>
              </w:rPr>
            </w:pPr>
            <w:r>
              <w:rPr>
                <w:rFonts w:ascii="Arial" w:cs="Arial" w:eastAsia="Arial" w:hAnsi="Arial"/>
                <w:sz w:val="16"/>
                <w:szCs w:val="16"/>
                <w:color w:val="auto"/>
              </w:rPr>
              <w:t>Dilutive effect of retention shares and units</w:t>
            </w:r>
          </w:p>
        </w:tc>
        <w:tc>
          <w:tcPr>
            <w:tcW w:w="320" w:type="dxa"/>
            <w:vAlign w:val="bottom"/>
            <w:tcBorders>
              <w:bottom w:val="single" w:sz="8" w:color="7F7F7F"/>
            </w:tcBorders>
            <w:shd w:val="clear" w:color="auto" w:fill="CCEEFF"/>
          </w:tcPr>
          <w:p>
            <w:pPr>
              <w:spacing w:after="0"/>
              <w:rPr>
                <w:sz w:val="18"/>
                <w:szCs w:val="18"/>
                <w:color w:val="auto"/>
              </w:rPr>
            </w:pPr>
          </w:p>
        </w:tc>
        <w:tc>
          <w:tcPr>
            <w:tcW w:w="660" w:type="dxa"/>
            <w:vAlign w:val="bottom"/>
            <w:tcBorders>
              <w:bottom w:val="single" w:sz="8" w:color="7F7F7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1.4</w:t>
            </w:r>
          </w:p>
        </w:tc>
        <w:tc>
          <w:tcPr>
            <w:tcW w:w="300" w:type="dxa"/>
            <w:vAlign w:val="bottom"/>
            <w:tcBorders>
              <w:bottom w:val="single" w:sz="8" w:color="7F7F7F"/>
            </w:tcBorders>
            <w:shd w:val="clear" w:color="auto" w:fill="CCEEFF"/>
          </w:tcPr>
          <w:p>
            <w:pPr>
              <w:spacing w:after="0"/>
              <w:rPr>
                <w:sz w:val="18"/>
                <w:szCs w:val="18"/>
                <w:color w:val="auto"/>
              </w:rPr>
            </w:pPr>
          </w:p>
        </w:tc>
        <w:tc>
          <w:tcPr>
            <w:tcW w:w="58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80" w:type="dxa"/>
            <w:vAlign w:val="bottom"/>
            <w:tcBorders>
              <w:bottom w:val="single" w:sz="8" w:color="808080"/>
            </w:tcBorders>
            <w:shd w:val="clear" w:color="auto" w:fill="CCEEFF"/>
          </w:tcPr>
          <w:p>
            <w:pPr>
              <w:spacing w:after="0"/>
              <w:rPr>
                <w:sz w:val="18"/>
                <w:szCs w:val="18"/>
                <w:color w:val="auto"/>
              </w:rPr>
            </w:pPr>
          </w:p>
        </w:tc>
        <w:tc>
          <w:tcPr>
            <w:tcW w:w="260" w:type="dxa"/>
            <w:vAlign w:val="bottom"/>
            <w:tcBorders>
              <w:bottom w:val="single" w:sz="8" w:color="808080"/>
            </w:tcBorders>
            <w:shd w:val="clear" w:color="auto" w:fill="CCEEFF"/>
          </w:tcPr>
          <w:p>
            <w:pPr>
              <w:spacing w:after="0"/>
              <w:rPr>
                <w:sz w:val="18"/>
                <w:szCs w:val="18"/>
                <w:color w:val="auto"/>
              </w:rPr>
            </w:pPr>
          </w:p>
        </w:tc>
        <w:tc>
          <w:tcPr>
            <w:tcW w:w="620" w:type="dxa"/>
            <w:vAlign w:val="bottom"/>
            <w:tcBorders>
              <w:bottom w:val="single" w:sz="8" w:color="808080"/>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w:t>
            </w:r>
          </w:p>
        </w:tc>
        <w:tc>
          <w:tcPr>
            <w:tcW w:w="300" w:type="dxa"/>
            <w:vAlign w:val="bottom"/>
            <w:tcBorders>
              <w:bottom w:val="single" w:sz="8" w:color="808080"/>
            </w:tcBorders>
            <w:shd w:val="clear" w:color="auto" w:fill="CCEEFF"/>
          </w:tcPr>
          <w:p>
            <w:pPr>
              <w:spacing w:after="0"/>
              <w:rPr>
                <w:sz w:val="18"/>
                <w:szCs w:val="18"/>
                <w:color w:val="auto"/>
              </w:rPr>
            </w:pPr>
          </w:p>
        </w:tc>
        <w:tc>
          <w:tcPr>
            <w:tcW w:w="560" w:type="dxa"/>
            <w:vAlign w:val="bottom"/>
            <w:tcBorders>
              <w:bottom w:val="single" w:sz="8" w:color="808080"/>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51"/>
        </w:trPr>
        <w:tc>
          <w:tcPr>
            <w:tcW w:w="5040" w:type="dxa"/>
            <w:vAlign w:val="bottom"/>
          </w:tcPr>
          <w:p>
            <w:pPr>
              <w:spacing w:after="0"/>
              <w:rPr>
                <w:sz w:val="20"/>
                <w:szCs w:val="20"/>
                <w:color w:val="auto"/>
              </w:rPr>
            </w:pPr>
            <w:r>
              <w:rPr>
                <w:rFonts w:ascii="Arial" w:cs="Arial" w:eastAsia="Arial" w:hAnsi="Arial"/>
                <w:sz w:val="16"/>
                <w:szCs w:val="16"/>
                <w:color w:val="auto"/>
              </w:rPr>
              <w:t>Diluted</w:t>
            </w:r>
          </w:p>
        </w:tc>
        <w:tc>
          <w:tcPr>
            <w:tcW w:w="320" w:type="dxa"/>
            <w:vAlign w:val="bottom"/>
          </w:tcPr>
          <w:p>
            <w:pPr>
              <w:spacing w:after="0"/>
              <w:rPr>
                <w:sz w:val="21"/>
                <w:szCs w:val="21"/>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b w:val="1"/>
                <w:bCs w:val="1"/>
                <w:color w:val="auto"/>
              </w:rPr>
              <w:t>797.6</w:t>
            </w:r>
          </w:p>
        </w:tc>
        <w:tc>
          <w:tcPr>
            <w:tcW w:w="3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832.2</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806.5</w:t>
            </w:r>
          </w:p>
        </w:tc>
        <w:tc>
          <w:tcPr>
            <w:tcW w:w="3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839.6</w:t>
            </w:r>
          </w:p>
        </w:tc>
      </w:tr>
      <w:tr>
        <w:trPr>
          <w:trHeight w:val="54"/>
        </w:trPr>
        <w:tc>
          <w:tcPr>
            <w:tcW w:w="5040" w:type="dxa"/>
            <w:vAlign w:val="bottom"/>
            <w:tcBorders>
              <w:bottom w:val="single" w:sz="8" w:color="7F7F7F"/>
            </w:tcBorders>
          </w:tcPr>
          <w:p>
            <w:pPr>
              <w:spacing w:after="0"/>
              <w:rPr>
                <w:sz w:val="4"/>
                <w:szCs w:val="4"/>
                <w:color w:val="auto"/>
              </w:rPr>
            </w:pPr>
          </w:p>
        </w:tc>
        <w:tc>
          <w:tcPr>
            <w:tcW w:w="320" w:type="dxa"/>
            <w:vAlign w:val="bottom"/>
            <w:tcBorders>
              <w:bottom w:val="single" w:sz="8" w:color="7F7F7F"/>
            </w:tcBorders>
          </w:tcPr>
          <w:p>
            <w:pPr>
              <w:spacing w:after="0"/>
              <w:rPr>
                <w:sz w:val="4"/>
                <w:szCs w:val="4"/>
                <w:color w:val="auto"/>
              </w:rPr>
            </w:pPr>
          </w:p>
        </w:tc>
        <w:tc>
          <w:tcPr>
            <w:tcW w:w="660" w:type="dxa"/>
            <w:vAlign w:val="bottom"/>
            <w:tcBorders>
              <w:bottom w:val="single" w:sz="8" w:color="7F7F7F"/>
            </w:tcBorders>
          </w:tcPr>
          <w:p>
            <w:pPr>
              <w:spacing w:after="0"/>
              <w:rPr>
                <w:sz w:val="4"/>
                <w:szCs w:val="4"/>
                <w:color w:val="auto"/>
              </w:rPr>
            </w:pPr>
          </w:p>
        </w:tc>
        <w:tc>
          <w:tcPr>
            <w:tcW w:w="300" w:type="dxa"/>
            <w:vAlign w:val="bottom"/>
            <w:tcBorders>
              <w:bottom w:val="single" w:sz="8" w:color="7F7F7F"/>
            </w:tcBorders>
          </w:tcPr>
          <w:p>
            <w:pPr>
              <w:spacing w:after="0"/>
              <w:rPr>
                <w:sz w:val="4"/>
                <w:szCs w:val="4"/>
                <w:color w:val="auto"/>
              </w:rPr>
            </w:pPr>
          </w:p>
        </w:tc>
        <w:tc>
          <w:tcPr>
            <w:tcW w:w="580" w:type="dxa"/>
            <w:vAlign w:val="bottom"/>
            <w:tcBorders>
              <w:bottom w:val="single" w:sz="8" w:color="7F7F7F"/>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r>
      <w:tr>
        <w:trPr>
          <w:trHeight w:val="203"/>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Earnings per share – basic</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1.50</w:t>
            </w:r>
          </w:p>
        </w:tc>
        <w:tc>
          <w:tcPr>
            <w:tcW w:w="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4.27</w:t>
            </w:r>
          </w:p>
        </w:tc>
        <w:tc>
          <w:tcPr>
            <w:tcW w:w="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w:t>
            </w:r>
          </w:p>
        </w:tc>
      </w:tr>
      <w:tr>
        <w:trPr>
          <w:trHeight w:val="215"/>
        </w:trPr>
        <w:tc>
          <w:tcPr>
            <w:tcW w:w="5040" w:type="dxa"/>
            <w:vAlign w:val="bottom"/>
          </w:tcPr>
          <w:p>
            <w:pPr>
              <w:spacing w:after="0"/>
              <w:rPr>
                <w:sz w:val="20"/>
                <w:szCs w:val="20"/>
                <w:color w:val="auto"/>
              </w:rPr>
            </w:pPr>
            <w:r>
              <w:rPr>
                <w:rFonts w:ascii="Arial" w:cs="Arial" w:eastAsia="Arial" w:hAnsi="Arial"/>
                <w:sz w:val="16"/>
                <w:szCs w:val="16"/>
                <w:color w:val="auto"/>
              </w:rPr>
              <w:t>Earnings per share – diluted</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b w:val="1"/>
                <w:bCs w:val="1"/>
                <w:color w:val="auto"/>
              </w:rPr>
              <w:t>1.50</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1.36</w:t>
            </w:r>
          </w:p>
        </w:tc>
        <w:tc>
          <w:tcPr>
            <w:tcW w:w="4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4.26</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3.68</w:t>
            </w:r>
          </w:p>
        </w:tc>
      </w:tr>
      <w:tr>
        <w:trPr>
          <w:trHeight w:val="224"/>
        </w:trPr>
        <w:tc>
          <w:tcPr>
            <w:tcW w:w="5040" w:type="dxa"/>
            <w:vAlign w:val="bottom"/>
            <w:tcBorders>
              <w:bottom w:val="single" w:sz="8" w:color="808080"/>
            </w:tcBorders>
            <w:shd w:val="clear" w:color="auto" w:fill="CCEEFF"/>
          </w:tcPr>
          <w:p>
            <w:pPr>
              <w:spacing w:after="0"/>
              <w:rPr>
                <w:sz w:val="20"/>
                <w:szCs w:val="20"/>
                <w:color w:val="auto"/>
              </w:rPr>
            </w:pPr>
            <w:r>
              <w:rPr>
                <w:rFonts w:ascii="Arial" w:cs="Arial" w:eastAsia="Arial" w:hAnsi="Arial"/>
                <w:sz w:val="16"/>
                <w:szCs w:val="16"/>
                <w:color w:val="auto"/>
              </w:rPr>
              <w:t>Stock options excluded as their inclusion would be anti-dilutive</w:t>
            </w:r>
          </w:p>
        </w:tc>
        <w:tc>
          <w:tcPr>
            <w:tcW w:w="320" w:type="dxa"/>
            <w:vAlign w:val="bottom"/>
            <w:tcBorders>
              <w:bottom w:val="single" w:sz="8" w:color="808080"/>
            </w:tcBorders>
            <w:shd w:val="clear" w:color="auto" w:fill="CCEEFF"/>
          </w:tcPr>
          <w:p>
            <w:pPr>
              <w:spacing w:after="0"/>
              <w:rPr>
                <w:sz w:val="19"/>
                <w:szCs w:val="19"/>
                <w:color w:val="auto"/>
              </w:rPr>
            </w:pPr>
          </w:p>
        </w:tc>
        <w:tc>
          <w:tcPr>
            <w:tcW w:w="660" w:type="dxa"/>
            <w:vAlign w:val="bottom"/>
            <w:tcBorders>
              <w:bottom w:val="single" w:sz="8" w:color="808080"/>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1.9</w:t>
            </w:r>
          </w:p>
        </w:tc>
        <w:tc>
          <w:tcPr>
            <w:tcW w:w="300" w:type="dxa"/>
            <w:vAlign w:val="bottom"/>
            <w:tcBorders>
              <w:bottom w:val="single" w:sz="8" w:color="808080"/>
            </w:tcBorders>
            <w:shd w:val="clear" w:color="auto" w:fill="CCEEFF"/>
          </w:tcPr>
          <w:p>
            <w:pPr>
              <w:spacing w:after="0"/>
              <w:rPr>
                <w:sz w:val="19"/>
                <w:szCs w:val="19"/>
                <w:color w:val="auto"/>
              </w:rPr>
            </w:pPr>
          </w:p>
        </w:tc>
        <w:tc>
          <w:tcPr>
            <w:tcW w:w="580" w:type="dxa"/>
            <w:vAlign w:val="bottom"/>
            <w:tcBorders>
              <w:bottom w:val="single" w:sz="8" w:color="808080"/>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80" w:type="dxa"/>
            <w:vAlign w:val="bottom"/>
            <w:tcBorders>
              <w:bottom w:val="single" w:sz="8" w:color="808080"/>
            </w:tcBorders>
            <w:shd w:val="clear" w:color="auto" w:fill="CCEEFF"/>
          </w:tcPr>
          <w:p>
            <w:pPr>
              <w:spacing w:after="0"/>
              <w:rPr>
                <w:sz w:val="19"/>
                <w:szCs w:val="19"/>
                <w:color w:val="auto"/>
              </w:rPr>
            </w:pPr>
          </w:p>
        </w:tc>
        <w:tc>
          <w:tcPr>
            <w:tcW w:w="260" w:type="dxa"/>
            <w:vAlign w:val="bottom"/>
            <w:tcBorders>
              <w:bottom w:val="single" w:sz="8" w:color="808080"/>
            </w:tcBorders>
            <w:shd w:val="clear" w:color="auto" w:fill="CCEEFF"/>
          </w:tcPr>
          <w:p>
            <w:pPr>
              <w:spacing w:after="0"/>
              <w:rPr>
                <w:sz w:val="19"/>
                <w:szCs w:val="19"/>
                <w:color w:val="auto"/>
              </w:rPr>
            </w:pPr>
          </w:p>
        </w:tc>
        <w:tc>
          <w:tcPr>
            <w:tcW w:w="620" w:type="dxa"/>
            <w:vAlign w:val="bottom"/>
            <w:tcBorders>
              <w:bottom w:val="single" w:sz="8" w:color="808080"/>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w:t>
            </w:r>
          </w:p>
        </w:tc>
        <w:tc>
          <w:tcPr>
            <w:tcW w:w="300" w:type="dxa"/>
            <w:vAlign w:val="bottom"/>
            <w:tcBorders>
              <w:bottom w:val="single" w:sz="8" w:color="808080"/>
            </w:tcBorders>
            <w:shd w:val="clear" w:color="auto" w:fill="CCEEFF"/>
          </w:tcPr>
          <w:p>
            <w:pPr>
              <w:spacing w:after="0"/>
              <w:rPr>
                <w:sz w:val="19"/>
                <w:szCs w:val="19"/>
                <w:color w:val="auto"/>
              </w:rPr>
            </w:pPr>
          </w:p>
        </w:tc>
        <w:tc>
          <w:tcPr>
            <w:tcW w:w="560" w:type="dxa"/>
            <w:vAlign w:val="bottom"/>
            <w:tcBorders>
              <w:bottom w:val="single" w:sz="8" w:color="808080"/>
            </w:tcBorders>
            <w:shd w:val="clear" w:color="auto" w:fill="CCEEFF"/>
          </w:tcPr>
          <w:p>
            <w:pPr>
              <w:jc w:val="right"/>
              <w:spacing w:after="0"/>
              <w:rPr>
                <w:sz w:val="20"/>
                <w:szCs w:val="20"/>
                <w:color w:val="auto"/>
              </w:rPr>
            </w:pPr>
            <w:r>
              <w:rPr>
                <w:rFonts w:ascii="Arial" w:cs="Arial" w:eastAsia="Arial" w:hAnsi="Arial"/>
                <w:sz w:val="16"/>
                <w:szCs w:val="16"/>
                <w:color w:val="auto"/>
              </w:rPr>
              <w:t>2.4</w:t>
            </w: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45085</wp:posOffset>
            </wp:positionV>
            <wp:extent cx="5642610"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4" w:name="page15"/>
    <w:bookmarkEnd w:id="14"/>
    <w:p>
      <w:pPr>
        <w:ind w:left="10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10. Accumulated Other Comprehensive Income/(Loss)</w:t>
      </w:r>
    </w:p>
    <w:p>
      <w:pPr>
        <w:spacing w:after="0" w:line="12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Reclassifications out of accumulated other comprehensive income/(loss) for the three and nine months ended</w:t>
      </w:r>
    </w:p>
    <w:p>
      <w:pPr>
        <w:ind w:left="100"/>
        <w:spacing w:after="0"/>
        <w:rPr>
          <w:sz w:val="20"/>
          <w:szCs w:val="20"/>
          <w:color w:val="auto"/>
        </w:rPr>
      </w:pPr>
      <w:r>
        <w:rPr>
          <w:rFonts w:ascii="Arial" w:cs="Arial" w:eastAsia="Arial" w:hAnsi="Arial"/>
          <w:sz w:val="18"/>
          <w:szCs w:val="18"/>
          <w:color w:val="auto"/>
        </w:rPr>
        <w:t>September 30, 2017, and 2016, were as follows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126365</wp:posOffset>
            </wp:positionV>
            <wp:extent cx="5600065"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00065" cy="34290"/>
                    </a:xfrm>
                    <a:prstGeom prst="rect">
                      <a:avLst/>
                    </a:prstGeom>
                    <a:noFill/>
                  </pic:spPr>
                </pic:pic>
              </a:graphicData>
            </a:graphic>
          </wp:anchor>
        </w:drawing>
      </w:r>
    </w:p>
    <w:p>
      <w:pPr>
        <w:spacing w:after="0" w:line="306"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5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i w:val="1"/>
                <w:iCs w:val="1"/>
                <w:color w:val="auto"/>
              </w:rPr>
              <w:t>Defined</w:t>
            </w:r>
          </w:p>
        </w:tc>
        <w:tc>
          <w:tcPr>
            <w:tcW w:w="220" w:type="dxa"/>
            <w:vAlign w:val="bottom"/>
          </w:tcPr>
          <w:p>
            <w:pPr>
              <w:spacing w:after="0"/>
              <w:rPr>
                <w:sz w:val="16"/>
                <w:szCs w:val="16"/>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i w:val="1"/>
                <w:iCs w:val="1"/>
                <w:color w:val="auto"/>
              </w:rPr>
              <w:t>Foreign</w:t>
            </w: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520" w:type="dxa"/>
            <w:vAlign w:val="bottom"/>
            <w:vMerge w:val="restart"/>
          </w:tcPr>
          <w:p>
            <w:pPr>
              <w:spacing w:after="0"/>
              <w:rPr>
                <w:sz w:val="20"/>
                <w:szCs w:val="20"/>
                <w:color w:val="auto"/>
              </w:rPr>
            </w:pPr>
            <w:r>
              <w:rPr>
                <w:rFonts w:ascii="Arial" w:cs="Arial" w:eastAsia="Arial" w:hAnsi="Arial"/>
                <w:sz w:val="16"/>
                <w:szCs w:val="16"/>
                <w:i w:val="1"/>
                <w:iCs w:val="1"/>
                <w:color w:val="auto"/>
              </w:rPr>
              <w:t>Millions</w:t>
            </w:r>
          </w:p>
        </w:tc>
        <w:tc>
          <w:tcPr>
            <w:tcW w:w="36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Arial" w:cs="Arial" w:eastAsia="Arial" w:hAnsi="Arial"/>
                <w:sz w:val="16"/>
                <w:szCs w:val="16"/>
                <w:i w:val="1"/>
                <w:iCs w:val="1"/>
                <w:color w:val="auto"/>
              </w:rPr>
              <w:t>benefit</w:t>
            </w:r>
          </w:p>
        </w:tc>
        <w:tc>
          <w:tcPr>
            <w:tcW w:w="220" w:type="dxa"/>
            <w:vAlign w:val="bottom"/>
          </w:tcPr>
          <w:p>
            <w:pPr>
              <w:spacing w:after="0"/>
              <w:rPr>
                <w:sz w:val="14"/>
                <w:szCs w:val="14"/>
                <w:color w:val="auto"/>
              </w:rPr>
            </w:pPr>
          </w:p>
        </w:tc>
        <w:tc>
          <w:tcPr>
            <w:tcW w:w="900" w:type="dxa"/>
            <w:vAlign w:val="bottom"/>
          </w:tcPr>
          <w:p>
            <w:pPr>
              <w:jc w:val="right"/>
              <w:ind w:right="19"/>
              <w:spacing w:after="0" w:line="162" w:lineRule="exact"/>
              <w:rPr>
                <w:sz w:val="20"/>
                <w:szCs w:val="20"/>
                <w:color w:val="auto"/>
              </w:rPr>
            </w:pPr>
            <w:r>
              <w:rPr>
                <w:rFonts w:ascii="Arial" w:cs="Arial" w:eastAsia="Arial" w:hAnsi="Arial"/>
                <w:sz w:val="16"/>
                <w:szCs w:val="16"/>
                <w:i w:val="1"/>
                <w:iCs w:val="1"/>
                <w:color w:val="auto"/>
              </w:rPr>
              <w:t>currency</w:t>
            </w:r>
          </w:p>
        </w:tc>
        <w:tc>
          <w:tcPr>
            <w:tcW w:w="3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i w:val="1"/>
                <w:iCs w:val="1"/>
                <w:color w:val="auto"/>
              </w:rPr>
              <w:t>Total</w:t>
            </w:r>
          </w:p>
        </w:tc>
        <w:tc>
          <w:tcPr>
            <w:tcW w:w="0" w:type="dxa"/>
            <w:vAlign w:val="bottom"/>
          </w:tcPr>
          <w:p>
            <w:pPr>
              <w:spacing w:after="0"/>
              <w:rPr>
                <w:sz w:val="1"/>
                <w:szCs w:val="1"/>
                <w:color w:val="auto"/>
              </w:rPr>
            </w:pPr>
          </w:p>
        </w:tc>
      </w:tr>
      <w:tr>
        <w:trPr>
          <w:trHeight w:val="196"/>
        </w:trPr>
        <w:tc>
          <w:tcPr>
            <w:tcW w:w="5520" w:type="dxa"/>
            <w:vAlign w:val="bottom"/>
            <w:tcBorders>
              <w:bottom w:val="single" w:sz="8" w:color="7F7F7F"/>
            </w:tcBorders>
            <w:vMerge w:val="continue"/>
          </w:tcPr>
          <w:p>
            <w:pPr>
              <w:spacing w:after="0"/>
              <w:rPr>
                <w:sz w:val="17"/>
                <w:szCs w:val="17"/>
                <w:color w:val="auto"/>
              </w:rPr>
            </w:pPr>
          </w:p>
        </w:tc>
        <w:tc>
          <w:tcPr>
            <w:tcW w:w="360" w:type="dxa"/>
            <w:vAlign w:val="bottom"/>
            <w:tcBorders>
              <w:bottom w:val="single" w:sz="8" w:color="7F7F7F"/>
            </w:tcBorders>
          </w:tcPr>
          <w:p>
            <w:pPr>
              <w:spacing w:after="0"/>
              <w:rPr>
                <w:sz w:val="17"/>
                <w:szCs w:val="17"/>
                <w:color w:val="auto"/>
              </w:rPr>
            </w:pPr>
          </w:p>
        </w:tc>
        <w:tc>
          <w:tcPr>
            <w:tcW w:w="78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plans</w:t>
            </w:r>
          </w:p>
        </w:tc>
        <w:tc>
          <w:tcPr>
            <w:tcW w:w="220" w:type="dxa"/>
            <w:vAlign w:val="bottom"/>
            <w:tcBorders>
              <w:bottom w:val="single" w:sz="8" w:color="7F7F7F"/>
            </w:tcBorders>
          </w:tcPr>
          <w:p>
            <w:pPr>
              <w:spacing w:after="0"/>
              <w:rPr>
                <w:sz w:val="17"/>
                <w:szCs w:val="17"/>
                <w:color w:val="auto"/>
              </w:rPr>
            </w:pPr>
          </w:p>
        </w:tc>
        <w:tc>
          <w:tcPr>
            <w:tcW w:w="900" w:type="dxa"/>
            <w:vAlign w:val="bottom"/>
            <w:tcBorders>
              <w:bottom w:val="single" w:sz="8" w:color="7F7F7F"/>
            </w:tcBorders>
          </w:tcPr>
          <w:p>
            <w:pPr>
              <w:jc w:val="right"/>
              <w:ind w:right="19"/>
              <w:spacing w:after="0"/>
              <w:rPr>
                <w:sz w:val="20"/>
                <w:szCs w:val="20"/>
                <w:color w:val="auto"/>
              </w:rPr>
            </w:pPr>
            <w:r>
              <w:rPr>
                <w:rFonts w:ascii="Arial" w:cs="Arial" w:eastAsia="Arial" w:hAnsi="Arial"/>
                <w:sz w:val="16"/>
                <w:szCs w:val="16"/>
                <w:i w:val="1"/>
                <w:iCs w:val="1"/>
                <w:color w:val="auto"/>
              </w:rPr>
              <w:t>translation</w:t>
            </w:r>
          </w:p>
        </w:tc>
        <w:tc>
          <w:tcPr>
            <w:tcW w:w="340" w:type="dxa"/>
            <w:vAlign w:val="bottom"/>
            <w:tcBorders>
              <w:bottom w:val="single" w:sz="8" w:color="7F7F7F"/>
            </w:tcBorders>
          </w:tcPr>
          <w:p>
            <w:pPr>
              <w:spacing w:after="0"/>
              <w:rPr>
                <w:sz w:val="17"/>
                <w:szCs w:val="17"/>
                <w:color w:val="auto"/>
              </w:rPr>
            </w:pPr>
          </w:p>
        </w:tc>
        <w:tc>
          <w:tcPr>
            <w:tcW w:w="700" w:type="dxa"/>
            <w:vAlign w:val="bottom"/>
            <w:tcBorders>
              <w:bottom w:val="single" w:sz="8" w:color="7F7F7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2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Balance at July 1, 2017</w:t>
            </w:r>
          </w:p>
        </w:tc>
        <w:tc>
          <w:tcPr>
            <w:tcW w:w="360" w:type="dxa"/>
            <w:vAlign w:val="bottom"/>
            <w:tcBorders>
              <w:bottom w:val="single" w:sz="8" w:color="7F7F7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(1,106)</w:t>
            </w:r>
          </w:p>
        </w:tc>
        <w:tc>
          <w:tcPr>
            <w:tcW w:w="2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7F7F7F"/>
            </w:tcBorders>
            <w:shd w:val="clear" w:color="auto" w:fill="CCEEFF"/>
          </w:tcPr>
          <w:p>
            <w:pPr>
              <w:jc w:val="right"/>
              <w:ind w:right="19"/>
              <w:spacing w:after="0"/>
              <w:rPr>
                <w:sz w:val="20"/>
                <w:szCs w:val="20"/>
                <w:color w:val="auto"/>
              </w:rPr>
            </w:pPr>
            <w:r>
              <w:rPr>
                <w:rFonts w:ascii="Arial" w:cs="Arial" w:eastAsia="Arial" w:hAnsi="Arial"/>
                <w:sz w:val="16"/>
                <w:szCs w:val="16"/>
                <w:color w:val="auto"/>
              </w:rPr>
              <w:t>(115)</w:t>
            </w:r>
          </w:p>
        </w:tc>
        <w:tc>
          <w:tcPr>
            <w:tcW w:w="340" w:type="dxa"/>
            <w:vAlign w:val="bottom"/>
            <w:tcBorders>
              <w:bottom w:val="single" w:sz="8" w:color="7F7F7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(1,221)</w:t>
            </w:r>
          </w:p>
        </w:tc>
        <w:tc>
          <w:tcPr>
            <w:tcW w:w="0" w:type="dxa"/>
            <w:vAlign w:val="bottom"/>
          </w:tcPr>
          <w:p>
            <w:pPr>
              <w:spacing w:after="0"/>
              <w:rPr>
                <w:sz w:val="1"/>
                <w:szCs w:val="1"/>
                <w:color w:val="auto"/>
              </w:rPr>
            </w:pPr>
          </w:p>
        </w:tc>
      </w:tr>
      <w:tr>
        <w:trPr>
          <w:trHeight w:val="318"/>
        </w:trPr>
        <w:tc>
          <w:tcPr>
            <w:tcW w:w="5520" w:type="dxa"/>
            <w:vAlign w:val="bottom"/>
          </w:tcPr>
          <w:p>
            <w:pPr>
              <w:spacing w:after="0"/>
              <w:rPr>
                <w:sz w:val="20"/>
                <w:szCs w:val="20"/>
                <w:color w:val="auto"/>
              </w:rPr>
            </w:pPr>
            <w:r>
              <w:rPr>
                <w:rFonts w:ascii="Arial" w:cs="Arial" w:eastAsia="Arial" w:hAnsi="Arial"/>
                <w:sz w:val="16"/>
                <w:szCs w:val="16"/>
                <w:color w:val="auto"/>
              </w:rPr>
              <w:t>Other comprehensive income/(loss) before reclassifications</w:t>
            </w:r>
          </w:p>
        </w:tc>
        <w:tc>
          <w:tcPr>
            <w:tcW w:w="360" w:type="dxa"/>
            <w:vAlign w:val="bottom"/>
          </w:tcPr>
          <w:p>
            <w:pPr>
              <w:spacing w:after="0"/>
              <w:rPr>
                <w:sz w:val="24"/>
                <w:szCs w:val="24"/>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24"/>
                <w:szCs w:val="24"/>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9</w:t>
            </w:r>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14"/>
        </w:trPr>
        <w:tc>
          <w:tcPr>
            <w:tcW w:w="5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Amounts reclassified from accumulated other comprehensive income/(loss)</w:t>
            </w:r>
          </w:p>
        </w:tc>
        <w:tc>
          <w:tcPr>
            <w:tcW w:w="36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37</w:t>
            </w:r>
          </w:p>
        </w:tc>
        <w:tc>
          <w:tcPr>
            <w:tcW w:w="2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14"/>
        </w:trPr>
        <w:tc>
          <w:tcPr>
            <w:tcW w:w="552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[a]</w:t>
            </w:r>
          </w:p>
        </w:tc>
        <w:tc>
          <w:tcPr>
            <w:tcW w:w="360" w:type="dxa"/>
            <w:vAlign w:val="bottom"/>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5520" w:type="dxa"/>
            <w:vAlign w:val="bottom"/>
            <w:tcBorders>
              <w:bottom w:val="single" w:sz="8" w:color="CCEEFF"/>
            </w:tcBorders>
            <w:vMerge w:val="continue"/>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shd w:val="clear" w:color="auto" w:fill="CCEEFF"/>
          </w:tcPr>
          <w:p>
            <w:pPr>
              <w:spacing w:after="0"/>
              <w:rPr>
                <w:sz w:val="10"/>
                <w:szCs w:val="10"/>
                <w:color w:val="auto"/>
              </w:rPr>
            </w:pPr>
          </w:p>
        </w:tc>
        <w:tc>
          <w:tcPr>
            <w:tcW w:w="34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5520" w:type="dxa"/>
            <w:vAlign w:val="bottom"/>
            <w:tcBorders>
              <w:top w:val="single" w:sz="8" w:color="7F7F7F"/>
            </w:tcBorders>
          </w:tcPr>
          <w:p>
            <w:pPr>
              <w:spacing w:after="0"/>
              <w:rPr>
                <w:sz w:val="20"/>
                <w:szCs w:val="20"/>
                <w:color w:val="auto"/>
              </w:rPr>
            </w:pPr>
            <w:r>
              <w:rPr>
                <w:rFonts w:ascii="Arial" w:cs="Arial" w:eastAsia="Arial" w:hAnsi="Arial"/>
                <w:sz w:val="16"/>
                <w:szCs w:val="16"/>
                <w:color w:val="auto"/>
              </w:rPr>
              <w:t>Net quarter-to-date other comprehensive income/(loss),</w:t>
            </w:r>
          </w:p>
        </w:tc>
        <w:tc>
          <w:tcPr>
            <w:tcW w:w="360" w:type="dxa"/>
            <w:vAlign w:val="bottom"/>
            <w:tcBorders>
              <w:top w:val="single" w:sz="8" w:color="7F7F7F"/>
            </w:tcBorders>
          </w:tcPr>
          <w:p>
            <w:pPr>
              <w:spacing w:after="0"/>
              <w:rPr>
                <w:sz w:val="16"/>
                <w:szCs w:val="16"/>
                <w:color w:val="auto"/>
              </w:rPr>
            </w:pPr>
          </w:p>
        </w:tc>
        <w:tc>
          <w:tcPr>
            <w:tcW w:w="780" w:type="dxa"/>
            <w:vAlign w:val="bottom"/>
            <w:tcBorders>
              <w:top w:val="single" w:sz="8" w:color="7F7F7F"/>
            </w:tcBorders>
            <w:vMerge w:val="restart"/>
          </w:tcPr>
          <w:p>
            <w:pPr>
              <w:jc w:val="right"/>
              <w:ind w:right="39"/>
              <w:spacing w:after="0"/>
              <w:rPr>
                <w:sz w:val="20"/>
                <w:szCs w:val="20"/>
                <w:color w:val="auto"/>
              </w:rPr>
            </w:pPr>
            <w:r>
              <w:rPr>
                <w:rFonts w:ascii="Arial" w:cs="Arial" w:eastAsia="Arial" w:hAnsi="Arial"/>
                <w:sz w:val="16"/>
                <w:szCs w:val="16"/>
                <w:color w:val="auto"/>
              </w:rPr>
              <w:t>40</w:t>
            </w:r>
          </w:p>
        </w:tc>
        <w:tc>
          <w:tcPr>
            <w:tcW w:w="220" w:type="dxa"/>
            <w:vAlign w:val="bottom"/>
            <w:tcBorders>
              <w:top w:val="single" w:sz="8" w:color="7F7F7F"/>
            </w:tcBorders>
          </w:tcPr>
          <w:p>
            <w:pPr>
              <w:spacing w:after="0"/>
              <w:rPr>
                <w:sz w:val="16"/>
                <w:szCs w:val="16"/>
                <w:color w:val="auto"/>
              </w:rPr>
            </w:pPr>
          </w:p>
        </w:tc>
        <w:tc>
          <w:tcPr>
            <w:tcW w:w="900" w:type="dxa"/>
            <w:vAlign w:val="bottom"/>
            <w:tcBorders>
              <w:top w:val="single" w:sz="8" w:color="7F7F7F"/>
            </w:tcBorders>
            <w:vMerge w:val="restart"/>
          </w:tcPr>
          <w:p>
            <w:pPr>
              <w:jc w:val="right"/>
              <w:ind w:right="59"/>
              <w:spacing w:after="0"/>
              <w:rPr>
                <w:sz w:val="20"/>
                <w:szCs w:val="20"/>
                <w:color w:val="auto"/>
              </w:rPr>
            </w:pPr>
            <w:r>
              <w:rPr>
                <w:rFonts w:ascii="Arial" w:cs="Arial" w:eastAsia="Arial" w:hAnsi="Arial"/>
                <w:sz w:val="16"/>
                <w:szCs w:val="16"/>
                <w:color w:val="auto"/>
              </w:rPr>
              <w:t>9</w:t>
            </w:r>
          </w:p>
        </w:tc>
        <w:tc>
          <w:tcPr>
            <w:tcW w:w="340" w:type="dxa"/>
            <w:vAlign w:val="bottom"/>
            <w:tcBorders>
              <w:top w:val="single" w:sz="8" w:color="7F7F7F"/>
            </w:tcBorders>
          </w:tcPr>
          <w:p>
            <w:pPr>
              <w:spacing w:after="0"/>
              <w:rPr>
                <w:sz w:val="16"/>
                <w:szCs w:val="16"/>
                <w:color w:val="auto"/>
              </w:rPr>
            </w:pPr>
          </w:p>
        </w:tc>
        <w:tc>
          <w:tcPr>
            <w:tcW w:w="700" w:type="dxa"/>
            <w:vAlign w:val="bottom"/>
            <w:tcBorders>
              <w:top w:val="single" w:sz="8" w:color="7F7F7F"/>
            </w:tcBorders>
            <w:vMerge w:val="restart"/>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14"/>
        </w:trPr>
        <w:tc>
          <w:tcPr>
            <w:tcW w:w="5520" w:type="dxa"/>
            <w:vAlign w:val="bottom"/>
            <w:vMerge w:val="restart"/>
          </w:tcPr>
          <w:p>
            <w:pPr>
              <w:spacing w:after="0"/>
              <w:rPr>
                <w:sz w:val="20"/>
                <w:szCs w:val="20"/>
                <w:color w:val="auto"/>
              </w:rPr>
            </w:pPr>
            <w:r>
              <w:rPr>
                <w:rFonts w:ascii="Arial" w:cs="Arial" w:eastAsia="Arial" w:hAnsi="Arial"/>
                <w:sz w:val="16"/>
                <w:szCs w:val="16"/>
                <w:color w:val="auto"/>
              </w:rPr>
              <w:t>net of taxes of $(27) million</w:t>
            </w:r>
          </w:p>
        </w:tc>
        <w:tc>
          <w:tcPr>
            <w:tcW w:w="3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52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34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5520" w:type="dxa"/>
            <w:vAlign w:val="bottom"/>
            <w:tcBorders>
              <w:bottom w:val="single" w:sz="8" w:color="7F7F7F"/>
            </w:tcBorders>
          </w:tcPr>
          <w:p>
            <w:pPr>
              <w:spacing w:after="0"/>
              <w:rPr>
                <w:sz w:val="3"/>
                <w:szCs w:val="3"/>
                <w:color w:val="auto"/>
              </w:rPr>
            </w:pPr>
          </w:p>
        </w:tc>
        <w:tc>
          <w:tcPr>
            <w:tcW w:w="360" w:type="dxa"/>
            <w:vAlign w:val="bottom"/>
            <w:tcBorders>
              <w:bottom w:val="single" w:sz="8" w:color="7F7F7F"/>
            </w:tcBorders>
          </w:tcPr>
          <w:p>
            <w:pPr>
              <w:spacing w:after="0"/>
              <w:rPr>
                <w:sz w:val="3"/>
                <w:szCs w:val="3"/>
                <w:color w:val="auto"/>
              </w:rPr>
            </w:pPr>
          </w:p>
        </w:tc>
        <w:tc>
          <w:tcPr>
            <w:tcW w:w="780" w:type="dxa"/>
            <w:vAlign w:val="bottom"/>
            <w:tcBorders>
              <w:bottom w:val="single" w:sz="8" w:color="7F7F7F"/>
            </w:tcBorders>
          </w:tcPr>
          <w:p>
            <w:pPr>
              <w:spacing w:after="0"/>
              <w:rPr>
                <w:sz w:val="3"/>
                <w:szCs w:val="3"/>
                <w:color w:val="auto"/>
              </w:rPr>
            </w:pPr>
          </w:p>
        </w:tc>
        <w:tc>
          <w:tcPr>
            <w:tcW w:w="220" w:type="dxa"/>
            <w:vAlign w:val="bottom"/>
            <w:tcBorders>
              <w:bottom w:val="single" w:sz="8" w:color="7F7F7F"/>
            </w:tcBorders>
          </w:tcPr>
          <w:p>
            <w:pPr>
              <w:spacing w:after="0"/>
              <w:rPr>
                <w:sz w:val="3"/>
                <w:szCs w:val="3"/>
                <w:color w:val="auto"/>
              </w:rPr>
            </w:pPr>
          </w:p>
        </w:tc>
        <w:tc>
          <w:tcPr>
            <w:tcW w:w="900" w:type="dxa"/>
            <w:vAlign w:val="bottom"/>
            <w:tcBorders>
              <w:bottom w:val="single" w:sz="8" w:color="7F7F7F"/>
            </w:tcBorders>
          </w:tcPr>
          <w:p>
            <w:pPr>
              <w:spacing w:after="0"/>
              <w:rPr>
                <w:sz w:val="3"/>
                <w:szCs w:val="3"/>
                <w:color w:val="auto"/>
              </w:rPr>
            </w:pPr>
          </w:p>
        </w:tc>
        <w:tc>
          <w:tcPr>
            <w:tcW w:w="340" w:type="dxa"/>
            <w:vAlign w:val="bottom"/>
            <w:tcBorders>
              <w:bottom w:val="single" w:sz="8" w:color="7F7F7F"/>
            </w:tcBorders>
          </w:tcPr>
          <w:p>
            <w:pPr>
              <w:spacing w:after="0"/>
              <w:rPr>
                <w:sz w:val="3"/>
                <w:szCs w:val="3"/>
                <w:color w:val="auto"/>
              </w:rPr>
            </w:pPr>
          </w:p>
        </w:tc>
        <w:tc>
          <w:tcPr>
            <w:tcW w:w="70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552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Balance at September 30, 2017</w:t>
            </w:r>
          </w:p>
        </w:tc>
        <w:tc>
          <w:tcPr>
            <w:tcW w:w="360" w:type="dxa"/>
            <w:vAlign w:val="bottom"/>
            <w:tcBorders>
              <w:bottom w:val="single" w:sz="8" w:color="7F7F7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(1,066)</w:t>
            </w:r>
          </w:p>
        </w:tc>
        <w:tc>
          <w:tcPr>
            <w:tcW w:w="2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7F7F7F"/>
            </w:tcBorders>
            <w:shd w:val="clear" w:color="auto" w:fill="CCEEFF"/>
          </w:tcPr>
          <w:p>
            <w:pPr>
              <w:jc w:val="right"/>
              <w:ind w:right="19"/>
              <w:spacing w:after="0"/>
              <w:rPr>
                <w:sz w:val="20"/>
                <w:szCs w:val="20"/>
                <w:color w:val="auto"/>
              </w:rPr>
            </w:pPr>
            <w:r>
              <w:rPr>
                <w:rFonts w:ascii="Arial" w:cs="Arial" w:eastAsia="Arial" w:hAnsi="Arial"/>
                <w:sz w:val="16"/>
                <w:szCs w:val="16"/>
                <w:color w:val="auto"/>
              </w:rPr>
              <w:t>(106)</w:t>
            </w:r>
          </w:p>
        </w:tc>
        <w:tc>
          <w:tcPr>
            <w:tcW w:w="340" w:type="dxa"/>
            <w:vAlign w:val="bottom"/>
            <w:tcBorders>
              <w:bottom w:val="single" w:sz="8" w:color="7F7F7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(1,172)</w:t>
            </w:r>
          </w:p>
        </w:tc>
        <w:tc>
          <w:tcPr>
            <w:tcW w:w="0" w:type="dxa"/>
            <w:vAlign w:val="bottom"/>
          </w:tcPr>
          <w:p>
            <w:pPr>
              <w:spacing w:after="0"/>
              <w:rPr>
                <w:sz w:val="1"/>
                <w:szCs w:val="1"/>
                <w:color w:val="auto"/>
              </w:rPr>
            </w:pPr>
          </w:p>
        </w:tc>
      </w:tr>
      <w:tr>
        <w:trPr>
          <w:trHeight w:val="196"/>
        </w:trPr>
        <w:tc>
          <w:tcPr>
            <w:tcW w:w="5520" w:type="dxa"/>
            <w:vAlign w:val="bottom"/>
            <w:tcBorders>
              <w:bottom w:val="single" w:sz="8" w:color="7F7F7F"/>
            </w:tcBorders>
          </w:tcPr>
          <w:p>
            <w:pPr>
              <w:spacing w:after="0"/>
              <w:rPr>
                <w:sz w:val="17"/>
                <w:szCs w:val="17"/>
                <w:color w:val="auto"/>
              </w:rPr>
            </w:pPr>
          </w:p>
        </w:tc>
        <w:tc>
          <w:tcPr>
            <w:tcW w:w="360" w:type="dxa"/>
            <w:vAlign w:val="bottom"/>
            <w:tcBorders>
              <w:bottom w:val="single" w:sz="8" w:color="7F7F7F"/>
            </w:tcBorders>
          </w:tcPr>
          <w:p>
            <w:pPr>
              <w:spacing w:after="0"/>
              <w:rPr>
                <w:sz w:val="17"/>
                <w:szCs w:val="17"/>
                <w:color w:val="auto"/>
              </w:rPr>
            </w:pPr>
          </w:p>
        </w:tc>
        <w:tc>
          <w:tcPr>
            <w:tcW w:w="780" w:type="dxa"/>
            <w:vAlign w:val="bottom"/>
            <w:tcBorders>
              <w:bottom w:val="single" w:sz="8" w:color="7F7F7F"/>
            </w:tcBorders>
          </w:tcPr>
          <w:p>
            <w:pPr>
              <w:spacing w:after="0"/>
              <w:rPr>
                <w:sz w:val="17"/>
                <w:szCs w:val="17"/>
                <w:color w:val="auto"/>
              </w:rPr>
            </w:pPr>
          </w:p>
        </w:tc>
        <w:tc>
          <w:tcPr>
            <w:tcW w:w="220" w:type="dxa"/>
            <w:vAlign w:val="bottom"/>
            <w:tcBorders>
              <w:bottom w:val="single" w:sz="8" w:color="7F7F7F"/>
            </w:tcBorders>
          </w:tcPr>
          <w:p>
            <w:pPr>
              <w:spacing w:after="0"/>
              <w:rPr>
                <w:sz w:val="17"/>
                <w:szCs w:val="17"/>
                <w:color w:val="auto"/>
              </w:rPr>
            </w:pPr>
          </w:p>
        </w:tc>
        <w:tc>
          <w:tcPr>
            <w:tcW w:w="900" w:type="dxa"/>
            <w:vAlign w:val="bottom"/>
            <w:tcBorders>
              <w:bottom w:val="single" w:sz="8" w:color="7F7F7F"/>
            </w:tcBorders>
          </w:tcPr>
          <w:p>
            <w:pPr>
              <w:spacing w:after="0"/>
              <w:rPr>
                <w:sz w:val="17"/>
                <w:szCs w:val="17"/>
                <w:color w:val="auto"/>
              </w:rPr>
            </w:pPr>
          </w:p>
        </w:tc>
        <w:tc>
          <w:tcPr>
            <w:tcW w:w="340" w:type="dxa"/>
            <w:vAlign w:val="bottom"/>
            <w:tcBorders>
              <w:bottom w:val="single" w:sz="8" w:color="7F7F7F"/>
            </w:tcBorders>
          </w:tcPr>
          <w:p>
            <w:pPr>
              <w:spacing w:after="0"/>
              <w:rPr>
                <w:sz w:val="17"/>
                <w:szCs w:val="17"/>
                <w:color w:val="auto"/>
              </w:rPr>
            </w:pPr>
          </w:p>
        </w:tc>
        <w:tc>
          <w:tcPr>
            <w:tcW w:w="700" w:type="dxa"/>
            <w:vAlign w:val="bottom"/>
            <w:tcBorders>
              <w:bottom w:val="single" w:sz="8" w:color="7F7F7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2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Balance at July 1, 2016</w:t>
            </w:r>
          </w:p>
        </w:tc>
        <w:tc>
          <w:tcPr>
            <w:tcW w:w="360" w:type="dxa"/>
            <w:vAlign w:val="bottom"/>
            <w:tcBorders>
              <w:bottom w:val="single" w:sz="8" w:color="7F7F7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(1,082)</w:t>
            </w:r>
          </w:p>
        </w:tc>
        <w:tc>
          <w:tcPr>
            <w:tcW w:w="2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7F7F7F"/>
            </w:tcBorders>
            <w:shd w:val="clear" w:color="auto" w:fill="CCEEFF"/>
          </w:tcPr>
          <w:p>
            <w:pPr>
              <w:jc w:val="right"/>
              <w:ind w:right="19"/>
              <w:spacing w:after="0"/>
              <w:rPr>
                <w:sz w:val="20"/>
                <w:szCs w:val="20"/>
                <w:color w:val="auto"/>
              </w:rPr>
            </w:pPr>
            <w:r>
              <w:rPr>
                <w:rFonts w:ascii="Arial" w:cs="Arial" w:eastAsia="Arial" w:hAnsi="Arial"/>
                <w:sz w:val="16"/>
                <w:szCs w:val="16"/>
                <w:color w:val="auto"/>
              </w:rPr>
              <w:t>(116)</w:t>
            </w:r>
          </w:p>
        </w:tc>
        <w:tc>
          <w:tcPr>
            <w:tcW w:w="340" w:type="dxa"/>
            <w:vAlign w:val="bottom"/>
            <w:tcBorders>
              <w:bottom w:val="single" w:sz="8" w:color="7F7F7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(1,198)</w:t>
            </w:r>
          </w:p>
        </w:tc>
        <w:tc>
          <w:tcPr>
            <w:tcW w:w="0" w:type="dxa"/>
            <w:vAlign w:val="bottom"/>
          </w:tcPr>
          <w:p>
            <w:pPr>
              <w:spacing w:after="0"/>
              <w:rPr>
                <w:sz w:val="1"/>
                <w:szCs w:val="1"/>
                <w:color w:val="auto"/>
              </w:rPr>
            </w:pPr>
          </w:p>
        </w:tc>
      </w:tr>
      <w:tr>
        <w:trPr>
          <w:trHeight w:val="318"/>
        </w:trPr>
        <w:tc>
          <w:tcPr>
            <w:tcW w:w="5520" w:type="dxa"/>
            <w:vAlign w:val="bottom"/>
          </w:tcPr>
          <w:p>
            <w:pPr>
              <w:spacing w:after="0"/>
              <w:rPr>
                <w:sz w:val="20"/>
                <w:szCs w:val="20"/>
                <w:color w:val="auto"/>
              </w:rPr>
            </w:pPr>
            <w:r>
              <w:rPr>
                <w:rFonts w:ascii="Arial" w:cs="Arial" w:eastAsia="Arial" w:hAnsi="Arial"/>
                <w:sz w:val="16"/>
                <w:szCs w:val="16"/>
                <w:color w:val="auto"/>
              </w:rPr>
              <w:t>Other comprehensive income/(loss) before reclassifications</w:t>
            </w:r>
          </w:p>
        </w:tc>
        <w:tc>
          <w:tcPr>
            <w:tcW w:w="360" w:type="dxa"/>
            <w:vAlign w:val="bottom"/>
          </w:tcPr>
          <w:p>
            <w:pPr>
              <w:spacing w:after="0"/>
              <w:rPr>
                <w:sz w:val="24"/>
                <w:szCs w:val="24"/>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24"/>
                <w:szCs w:val="24"/>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14"/>
        </w:trPr>
        <w:tc>
          <w:tcPr>
            <w:tcW w:w="5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Amounts reclassified from accumulated other comprehensive income/(loss)</w:t>
            </w:r>
          </w:p>
        </w:tc>
        <w:tc>
          <w:tcPr>
            <w:tcW w:w="36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2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14"/>
        </w:trPr>
        <w:tc>
          <w:tcPr>
            <w:tcW w:w="552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[a]</w:t>
            </w:r>
          </w:p>
        </w:tc>
        <w:tc>
          <w:tcPr>
            <w:tcW w:w="360" w:type="dxa"/>
            <w:vAlign w:val="bottom"/>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5520" w:type="dxa"/>
            <w:vAlign w:val="bottom"/>
            <w:tcBorders>
              <w:bottom w:val="single" w:sz="8" w:color="CCEEFF"/>
            </w:tcBorders>
            <w:vMerge w:val="continue"/>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shd w:val="clear" w:color="auto" w:fill="CCEEFF"/>
          </w:tcPr>
          <w:p>
            <w:pPr>
              <w:spacing w:after="0"/>
              <w:rPr>
                <w:sz w:val="10"/>
                <w:szCs w:val="10"/>
                <w:color w:val="auto"/>
              </w:rPr>
            </w:pPr>
          </w:p>
        </w:tc>
        <w:tc>
          <w:tcPr>
            <w:tcW w:w="34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5520" w:type="dxa"/>
            <w:vAlign w:val="bottom"/>
            <w:tcBorders>
              <w:top w:val="single" w:sz="8" w:color="7F7F7F"/>
            </w:tcBorders>
          </w:tcPr>
          <w:p>
            <w:pPr>
              <w:spacing w:after="0"/>
              <w:rPr>
                <w:sz w:val="20"/>
                <w:szCs w:val="20"/>
                <w:color w:val="auto"/>
              </w:rPr>
            </w:pPr>
            <w:r>
              <w:rPr>
                <w:rFonts w:ascii="Arial" w:cs="Arial" w:eastAsia="Arial" w:hAnsi="Arial"/>
                <w:sz w:val="16"/>
                <w:szCs w:val="16"/>
                <w:color w:val="auto"/>
              </w:rPr>
              <w:t>Net quarter-to-date other comprehensive income/(loss),</w:t>
            </w:r>
          </w:p>
        </w:tc>
        <w:tc>
          <w:tcPr>
            <w:tcW w:w="360" w:type="dxa"/>
            <w:vAlign w:val="bottom"/>
            <w:tcBorders>
              <w:top w:val="single" w:sz="8" w:color="7F7F7F"/>
            </w:tcBorders>
          </w:tcPr>
          <w:p>
            <w:pPr>
              <w:spacing w:after="0"/>
              <w:rPr>
                <w:sz w:val="16"/>
                <w:szCs w:val="16"/>
                <w:color w:val="auto"/>
              </w:rPr>
            </w:pPr>
          </w:p>
        </w:tc>
        <w:tc>
          <w:tcPr>
            <w:tcW w:w="780" w:type="dxa"/>
            <w:vAlign w:val="bottom"/>
            <w:tcBorders>
              <w:top w:val="single" w:sz="8" w:color="7F7F7F"/>
            </w:tcBorders>
            <w:vMerge w:val="restart"/>
          </w:tcPr>
          <w:p>
            <w:pPr>
              <w:jc w:val="right"/>
              <w:ind w:right="39"/>
              <w:spacing w:after="0"/>
              <w:rPr>
                <w:sz w:val="20"/>
                <w:szCs w:val="20"/>
                <w:color w:val="auto"/>
              </w:rPr>
            </w:pPr>
            <w:r>
              <w:rPr>
                <w:rFonts w:ascii="Arial" w:cs="Arial" w:eastAsia="Arial" w:hAnsi="Arial"/>
                <w:sz w:val="16"/>
                <w:szCs w:val="16"/>
                <w:color w:val="auto"/>
              </w:rPr>
              <w:t>14</w:t>
            </w:r>
          </w:p>
        </w:tc>
        <w:tc>
          <w:tcPr>
            <w:tcW w:w="220" w:type="dxa"/>
            <w:vAlign w:val="bottom"/>
            <w:tcBorders>
              <w:top w:val="single" w:sz="8" w:color="7F7F7F"/>
            </w:tcBorders>
          </w:tcPr>
          <w:p>
            <w:pPr>
              <w:spacing w:after="0"/>
              <w:rPr>
                <w:sz w:val="16"/>
                <w:szCs w:val="16"/>
                <w:color w:val="auto"/>
              </w:rPr>
            </w:pPr>
          </w:p>
        </w:tc>
        <w:tc>
          <w:tcPr>
            <w:tcW w:w="900" w:type="dxa"/>
            <w:vAlign w:val="bottom"/>
            <w:tcBorders>
              <w:top w:val="single" w:sz="8" w:color="7F7F7F"/>
            </w:tcBorders>
            <w:vMerge w:val="restart"/>
          </w:tcPr>
          <w:p>
            <w:pPr>
              <w:jc w:val="right"/>
              <w:ind w:right="19"/>
              <w:spacing w:after="0"/>
              <w:rPr>
                <w:sz w:val="20"/>
                <w:szCs w:val="20"/>
                <w:color w:val="auto"/>
              </w:rPr>
            </w:pPr>
            <w:r>
              <w:rPr>
                <w:rFonts w:ascii="Arial" w:cs="Arial" w:eastAsia="Arial" w:hAnsi="Arial"/>
                <w:sz w:val="16"/>
                <w:szCs w:val="16"/>
                <w:color w:val="auto"/>
              </w:rPr>
              <w:t>(1)</w:t>
            </w:r>
          </w:p>
        </w:tc>
        <w:tc>
          <w:tcPr>
            <w:tcW w:w="340" w:type="dxa"/>
            <w:vAlign w:val="bottom"/>
            <w:tcBorders>
              <w:top w:val="single" w:sz="8" w:color="7F7F7F"/>
            </w:tcBorders>
          </w:tcPr>
          <w:p>
            <w:pPr>
              <w:spacing w:after="0"/>
              <w:rPr>
                <w:sz w:val="16"/>
                <w:szCs w:val="16"/>
                <w:color w:val="auto"/>
              </w:rPr>
            </w:pPr>
          </w:p>
        </w:tc>
        <w:tc>
          <w:tcPr>
            <w:tcW w:w="700" w:type="dxa"/>
            <w:vAlign w:val="bottom"/>
            <w:tcBorders>
              <w:top w:val="single" w:sz="8" w:color="7F7F7F"/>
            </w:tcBorders>
            <w:vMerge w:val="restart"/>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14"/>
        </w:trPr>
        <w:tc>
          <w:tcPr>
            <w:tcW w:w="5520" w:type="dxa"/>
            <w:vAlign w:val="bottom"/>
            <w:vMerge w:val="restart"/>
          </w:tcPr>
          <w:p>
            <w:pPr>
              <w:spacing w:after="0"/>
              <w:rPr>
                <w:sz w:val="20"/>
                <w:szCs w:val="20"/>
                <w:color w:val="auto"/>
              </w:rPr>
            </w:pPr>
            <w:r>
              <w:rPr>
                <w:rFonts w:ascii="Arial" w:cs="Arial" w:eastAsia="Arial" w:hAnsi="Arial"/>
                <w:sz w:val="16"/>
                <w:szCs w:val="16"/>
                <w:color w:val="auto"/>
              </w:rPr>
              <w:t>net of taxes of $(7) million</w:t>
            </w:r>
          </w:p>
        </w:tc>
        <w:tc>
          <w:tcPr>
            <w:tcW w:w="3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52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34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5520" w:type="dxa"/>
            <w:vAlign w:val="bottom"/>
            <w:tcBorders>
              <w:bottom w:val="single" w:sz="8" w:color="7F7F7F"/>
            </w:tcBorders>
          </w:tcPr>
          <w:p>
            <w:pPr>
              <w:spacing w:after="0"/>
              <w:rPr>
                <w:sz w:val="3"/>
                <w:szCs w:val="3"/>
                <w:color w:val="auto"/>
              </w:rPr>
            </w:pPr>
          </w:p>
        </w:tc>
        <w:tc>
          <w:tcPr>
            <w:tcW w:w="360" w:type="dxa"/>
            <w:vAlign w:val="bottom"/>
            <w:tcBorders>
              <w:bottom w:val="single" w:sz="8" w:color="7F7F7F"/>
            </w:tcBorders>
          </w:tcPr>
          <w:p>
            <w:pPr>
              <w:spacing w:after="0"/>
              <w:rPr>
                <w:sz w:val="3"/>
                <w:szCs w:val="3"/>
                <w:color w:val="auto"/>
              </w:rPr>
            </w:pPr>
          </w:p>
        </w:tc>
        <w:tc>
          <w:tcPr>
            <w:tcW w:w="780" w:type="dxa"/>
            <w:vAlign w:val="bottom"/>
            <w:tcBorders>
              <w:bottom w:val="single" w:sz="8" w:color="7F7F7F"/>
            </w:tcBorders>
          </w:tcPr>
          <w:p>
            <w:pPr>
              <w:spacing w:after="0"/>
              <w:rPr>
                <w:sz w:val="3"/>
                <w:szCs w:val="3"/>
                <w:color w:val="auto"/>
              </w:rPr>
            </w:pPr>
          </w:p>
        </w:tc>
        <w:tc>
          <w:tcPr>
            <w:tcW w:w="220" w:type="dxa"/>
            <w:vAlign w:val="bottom"/>
            <w:tcBorders>
              <w:bottom w:val="single" w:sz="8" w:color="7F7F7F"/>
            </w:tcBorders>
          </w:tcPr>
          <w:p>
            <w:pPr>
              <w:spacing w:after="0"/>
              <w:rPr>
                <w:sz w:val="3"/>
                <w:szCs w:val="3"/>
                <w:color w:val="auto"/>
              </w:rPr>
            </w:pPr>
          </w:p>
        </w:tc>
        <w:tc>
          <w:tcPr>
            <w:tcW w:w="900" w:type="dxa"/>
            <w:vAlign w:val="bottom"/>
            <w:tcBorders>
              <w:bottom w:val="single" w:sz="8" w:color="7F7F7F"/>
            </w:tcBorders>
          </w:tcPr>
          <w:p>
            <w:pPr>
              <w:spacing w:after="0"/>
              <w:rPr>
                <w:sz w:val="3"/>
                <w:szCs w:val="3"/>
                <w:color w:val="auto"/>
              </w:rPr>
            </w:pPr>
          </w:p>
        </w:tc>
        <w:tc>
          <w:tcPr>
            <w:tcW w:w="340" w:type="dxa"/>
            <w:vAlign w:val="bottom"/>
            <w:tcBorders>
              <w:bottom w:val="single" w:sz="8" w:color="7F7F7F"/>
            </w:tcBorders>
          </w:tcPr>
          <w:p>
            <w:pPr>
              <w:spacing w:after="0"/>
              <w:rPr>
                <w:sz w:val="3"/>
                <w:szCs w:val="3"/>
                <w:color w:val="auto"/>
              </w:rPr>
            </w:pPr>
          </w:p>
        </w:tc>
        <w:tc>
          <w:tcPr>
            <w:tcW w:w="70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52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Balance at September 30, 2016</w:t>
            </w:r>
          </w:p>
        </w:tc>
        <w:tc>
          <w:tcPr>
            <w:tcW w:w="360" w:type="dxa"/>
            <w:vAlign w:val="bottom"/>
            <w:tcBorders>
              <w:bottom w:val="single" w:sz="8" w:color="7F7F7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(1,068)</w:t>
            </w:r>
          </w:p>
        </w:tc>
        <w:tc>
          <w:tcPr>
            <w:tcW w:w="2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7F7F7F"/>
            </w:tcBorders>
            <w:shd w:val="clear" w:color="auto" w:fill="CCEEFF"/>
          </w:tcPr>
          <w:p>
            <w:pPr>
              <w:jc w:val="right"/>
              <w:ind w:right="19"/>
              <w:spacing w:after="0"/>
              <w:rPr>
                <w:sz w:val="20"/>
                <w:szCs w:val="20"/>
                <w:color w:val="auto"/>
              </w:rPr>
            </w:pPr>
            <w:r>
              <w:rPr>
                <w:rFonts w:ascii="Arial" w:cs="Arial" w:eastAsia="Arial" w:hAnsi="Arial"/>
                <w:sz w:val="16"/>
                <w:szCs w:val="16"/>
                <w:color w:val="auto"/>
              </w:rPr>
              <w:t>(117)</w:t>
            </w:r>
          </w:p>
        </w:tc>
        <w:tc>
          <w:tcPr>
            <w:tcW w:w="340" w:type="dxa"/>
            <w:vAlign w:val="bottom"/>
            <w:tcBorders>
              <w:bottom w:val="single" w:sz="8" w:color="7F7F7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(1,185)</w:t>
            </w:r>
          </w:p>
        </w:tc>
        <w:tc>
          <w:tcPr>
            <w:tcW w:w="0" w:type="dxa"/>
            <w:vAlign w:val="bottom"/>
          </w:tcPr>
          <w:p>
            <w:pPr>
              <w:spacing w:after="0"/>
              <w:rPr>
                <w:sz w:val="1"/>
                <w:szCs w:val="1"/>
                <w:color w:val="auto"/>
              </w:rPr>
            </w:pPr>
          </w:p>
        </w:tc>
      </w:tr>
      <w:tr>
        <w:trPr>
          <w:trHeight w:val="439"/>
        </w:trPr>
        <w:tc>
          <w:tcPr>
            <w:tcW w:w="5520" w:type="dxa"/>
            <w:vAlign w:val="bottom"/>
            <w:tcBorders>
              <w:bottom w:val="single" w:sz="8" w:color="7F7F7F"/>
            </w:tcBorders>
          </w:tcPr>
          <w:p>
            <w:pPr>
              <w:spacing w:after="0"/>
              <w:rPr>
                <w:sz w:val="24"/>
                <w:szCs w:val="24"/>
                <w:color w:val="auto"/>
              </w:rPr>
            </w:pPr>
          </w:p>
        </w:tc>
        <w:tc>
          <w:tcPr>
            <w:tcW w:w="360" w:type="dxa"/>
            <w:vAlign w:val="bottom"/>
            <w:tcBorders>
              <w:bottom w:val="single" w:sz="8" w:color="7F7F7F"/>
            </w:tcBorders>
          </w:tcPr>
          <w:p>
            <w:pPr>
              <w:spacing w:after="0"/>
              <w:rPr>
                <w:sz w:val="24"/>
                <w:szCs w:val="24"/>
                <w:color w:val="auto"/>
              </w:rPr>
            </w:pPr>
          </w:p>
        </w:tc>
        <w:tc>
          <w:tcPr>
            <w:tcW w:w="780" w:type="dxa"/>
            <w:vAlign w:val="bottom"/>
            <w:tcBorders>
              <w:bottom w:val="single" w:sz="8" w:color="7F7F7F"/>
            </w:tcBorders>
          </w:tcPr>
          <w:p>
            <w:pPr>
              <w:spacing w:after="0"/>
              <w:rPr>
                <w:sz w:val="24"/>
                <w:szCs w:val="24"/>
                <w:color w:val="auto"/>
              </w:rPr>
            </w:pPr>
          </w:p>
        </w:tc>
        <w:tc>
          <w:tcPr>
            <w:tcW w:w="220" w:type="dxa"/>
            <w:vAlign w:val="bottom"/>
            <w:tcBorders>
              <w:bottom w:val="single" w:sz="8" w:color="7F7F7F"/>
            </w:tcBorders>
          </w:tcPr>
          <w:p>
            <w:pPr>
              <w:spacing w:after="0"/>
              <w:rPr>
                <w:sz w:val="24"/>
                <w:szCs w:val="24"/>
                <w:color w:val="auto"/>
              </w:rPr>
            </w:pPr>
          </w:p>
        </w:tc>
        <w:tc>
          <w:tcPr>
            <w:tcW w:w="900" w:type="dxa"/>
            <w:vAlign w:val="bottom"/>
            <w:tcBorders>
              <w:bottom w:val="single" w:sz="8" w:color="7F7F7F"/>
            </w:tcBorders>
          </w:tcPr>
          <w:p>
            <w:pPr>
              <w:spacing w:after="0"/>
              <w:rPr>
                <w:sz w:val="24"/>
                <w:szCs w:val="24"/>
                <w:color w:val="auto"/>
              </w:rPr>
            </w:pPr>
          </w:p>
        </w:tc>
        <w:tc>
          <w:tcPr>
            <w:tcW w:w="340" w:type="dxa"/>
            <w:vAlign w:val="bottom"/>
            <w:tcBorders>
              <w:bottom w:val="single" w:sz="8" w:color="7F7F7F"/>
            </w:tcBorders>
          </w:tcPr>
          <w:p>
            <w:pPr>
              <w:spacing w:after="0"/>
              <w:rPr>
                <w:sz w:val="24"/>
                <w:szCs w:val="24"/>
                <w:color w:val="auto"/>
              </w:rPr>
            </w:pPr>
          </w:p>
        </w:tc>
        <w:tc>
          <w:tcPr>
            <w:tcW w:w="700" w:type="dxa"/>
            <w:vAlign w:val="bottom"/>
            <w:tcBorders>
              <w:bottom w:val="single" w:sz="8" w:color="7F7F7F"/>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5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i w:val="1"/>
                <w:iCs w:val="1"/>
                <w:color w:val="auto"/>
              </w:rPr>
              <w:t>Defined</w:t>
            </w:r>
          </w:p>
        </w:tc>
        <w:tc>
          <w:tcPr>
            <w:tcW w:w="22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i w:val="1"/>
                <w:iCs w:val="1"/>
                <w:color w:val="auto"/>
              </w:rPr>
              <w:t>Foreign</w:t>
            </w:r>
          </w:p>
        </w:tc>
        <w:tc>
          <w:tcPr>
            <w:tcW w:w="3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5520" w:type="dxa"/>
            <w:vAlign w:val="bottom"/>
            <w:vMerge w:val="restart"/>
          </w:tcPr>
          <w:p>
            <w:pPr>
              <w:spacing w:after="0"/>
              <w:rPr>
                <w:sz w:val="20"/>
                <w:szCs w:val="20"/>
                <w:color w:val="auto"/>
              </w:rPr>
            </w:pPr>
            <w:r>
              <w:rPr>
                <w:rFonts w:ascii="Arial" w:cs="Arial" w:eastAsia="Arial" w:hAnsi="Arial"/>
                <w:sz w:val="16"/>
                <w:szCs w:val="16"/>
                <w:i w:val="1"/>
                <w:iCs w:val="1"/>
                <w:color w:val="auto"/>
              </w:rPr>
              <w:t>Millions</w:t>
            </w:r>
          </w:p>
        </w:tc>
        <w:tc>
          <w:tcPr>
            <w:tcW w:w="36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Arial" w:cs="Arial" w:eastAsia="Arial" w:hAnsi="Arial"/>
                <w:sz w:val="16"/>
                <w:szCs w:val="16"/>
                <w:i w:val="1"/>
                <w:iCs w:val="1"/>
                <w:color w:val="auto"/>
              </w:rPr>
              <w:t>benefit</w:t>
            </w:r>
          </w:p>
        </w:tc>
        <w:tc>
          <w:tcPr>
            <w:tcW w:w="220" w:type="dxa"/>
            <w:vAlign w:val="bottom"/>
          </w:tcPr>
          <w:p>
            <w:pPr>
              <w:spacing w:after="0"/>
              <w:rPr>
                <w:sz w:val="14"/>
                <w:szCs w:val="14"/>
                <w:color w:val="auto"/>
              </w:rPr>
            </w:pPr>
          </w:p>
        </w:tc>
        <w:tc>
          <w:tcPr>
            <w:tcW w:w="900" w:type="dxa"/>
            <w:vAlign w:val="bottom"/>
          </w:tcPr>
          <w:p>
            <w:pPr>
              <w:jc w:val="right"/>
              <w:ind w:right="19"/>
              <w:spacing w:after="0" w:line="162" w:lineRule="exact"/>
              <w:rPr>
                <w:sz w:val="20"/>
                <w:szCs w:val="20"/>
                <w:color w:val="auto"/>
              </w:rPr>
            </w:pPr>
            <w:r>
              <w:rPr>
                <w:rFonts w:ascii="Arial" w:cs="Arial" w:eastAsia="Arial" w:hAnsi="Arial"/>
                <w:sz w:val="16"/>
                <w:szCs w:val="16"/>
                <w:i w:val="1"/>
                <w:iCs w:val="1"/>
                <w:color w:val="auto"/>
              </w:rPr>
              <w:t>currency</w:t>
            </w:r>
          </w:p>
        </w:tc>
        <w:tc>
          <w:tcPr>
            <w:tcW w:w="3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i w:val="1"/>
                <w:iCs w:val="1"/>
                <w:color w:val="auto"/>
              </w:rPr>
              <w:t>Total</w:t>
            </w:r>
          </w:p>
        </w:tc>
        <w:tc>
          <w:tcPr>
            <w:tcW w:w="0" w:type="dxa"/>
            <w:vAlign w:val="bottom"/>
          </w:tcPr>
          <w:p>
            <w:pPr>
              <w:spacing w:after="0"/>
              <w:rPr>
                <w:sz w:val="1"/>
                <w:szCs w:val="1"/>
                <w:color w:val="auto"/>
              </w:rPr>
            </w:pPr>
          </w:p>
        </w:tc>
      </w:tr>
      <w:tr>
        <w:trPr>
          <w:trHeight w:val="196"/>
        </w:trPr>
        <w:tc>
          <w:tcPr>
            <w:tcW w:w="5520" w:type="dxa"/>
            <w:vAlign w:val="bottom"/>
            <w:tcBorders>
              <w:bottom w:val="single" w:sz="8" w:color="7F7F7F"/>
            </w:tcBorders>
            <w:vMerge w:val="continue"/>
          </w:tcPr>
          <w:p>
            <w:pPr>
              <w:spacing w:after="0"/>
              <w:rPr>
                <w:sz w:val="17"/>
                <w:szCs w:val="17"/>
                <w:color w:val="auto"/>
              </w:rPr>
            </w:pPr>
          </w:p>
        </w:tc>
        <w:tc>
          <w:tcPr>
            <w:tcW w:w="360" w:type="dxa"/>
            <w:vAlign w:val="bottom"/>
            <w:tcBorders>
              <w:bottom w:val="single" w:sz="8" w:color="7F7F7F"/>
            </w:tcBorders>
          </w:tcPr>
          <w:p>
            <w:pPr>
              <w:spacing w:after="0"/>
              <w:rPr>
                <w:sz w:val="17"/>
                <w:szCs w:val="17"/>
                <w:color w:val="auto"/>
              </w:rPr>
            </w:pPr>
          </w:p>
        </w:tc>
        <w:tc>
          <w:tcPr>
            <w:tcW w:w="78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plans</w:t>
            </w:r>
          </w:p>
        </w:tc>
        <w:tc>
          <w:tcPr>
            <w:tcW w:w="220" w:type="dxa"/>
            <w:vAlign w:val="bottom"/>
            <w:tcBorders>
              <w:bottom w:val="single" w:sz="8" w:color="7F7F7F"/>
            </w:tcBorders>
          </w:tcPr>
          <w:p>
            <w:pPr>
              <w:spacing w:after="0"/>
              <w:rPr>
                <w:sz w:val="17"/>
                <w:szCs w:val="17"/>
                <w:color w:val="auto"/>
              </w:rPr>
            </w:pPr>
          </w:p>
        </w:tc>
        <w:tc>
          <w:tcPr>
            <w:tcW w:w="900" w:type="dxa"/>
            <w:vAlign w:val="bottom"/>
            <w:tcBorders>
              <w:bottom w:val="single" w:sz="8" w:color="7F7F7F"/>
            </w:tcBorders>
          </w:tcPr>
          <w:p>
            <w:pPr>
              <w:jc w:val="right"/>
              <w:ind w:right="19"/>
              <w:spacing w:after="0"/>
              <w:rPr>
                <w:sz w:val="20"/>
                <w:szCs w:val="20"/>
                <w:color w:val="auto"/>
              </w:rPr>
            </w:pPr>
            <w:r>
              <w:rPr>
                <w:rFonts w:ascii="Arial" w:cs="Arial" w:eastAsia="Arial" w:hAnsi="Arial"/>
                <w:sz w:val="16"/>
                <w:szCs w:val="16"/>
                <w:i w:val="1"/>
                <w:iCs w:val="1"/>
                <w:color w:val="auto"/>
              </w:rPr>
              <w:t>translation</w:t>
            </w:r>
          </w:p>
        </w:tc>
        <w:tc>
          <w:tcPr>
            <w:tcW w:w="340" w:type="dxa"/>
            <w:vAlign w:val="bottom"/>
            <w:tcBorders>
              <w:bottom w:val="single" w:sz="8" w:color="7F7F7F"/>
            </w:tcBorders>
          </w:tcPr>
          <w:p>
            <w:pPr>
              <w:spacing w:after="0"/>
              <w:rPr>
                <w:sz w:val="17"/>
                <w:szCs w:val="17"/>
                <w:color w:val="auto"/>
              </w:rPr>
            </w:pPr>
          </w:p>
        </w:tc>
        <w:tc>
          <w:tcPr>
            <w:tcW w:w="700" w:type="dxa"/>
            <w:vAlign w:val="bottom"/>
            <w:tcBorders>
              <w:bottom w:val="single" w:sz="8" w:color="7F7F7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2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Balance at January 1, 2017</w:t>
            </w:r>
          </w:p>
        </w:tc>
        <w:tc>
          <w:tcPr>
            <w:tcW w:w="360" w:type="dxa"/>
            <w:vAlign w:val="bottom"/>
            <w:tcBorders>
              <w:bottom w:val="single" w:sz="8" w:color="7F7F7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(1,132)</w:t>
            </w:r>
          </w:p>
        </w:tc>
        <w:tc>
          <w:tcPr>
            <w:tcW w:w="2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7F7F7F"/>
            </w:tcBorders>
            <w:shd w:val="clear" w:color="auto" w:fill="CCEEFF"/>
          </w:tcPr>
          <w:p>
            <w:pPr>
              <w:jc w:val="right"/>
              <w:ind w:right="19"/>
              <w:spacing w:after="0"/>
              <w:rPr>
                <w:sz w:val="20"/>
                <w:szCs w:val="20"/>
                <w:color w:val="auto"/>
              </w:rPr>
            </w:pPr>
            <w:r>
              <w:rPr>
                <w:rFonts w:ascii="Arial" w:cs="Arial" w:eastAsia="Arial" w:hAnsi="Arial"/>
                <w:sz w:val="16"/>
                <w:szCs w:val="16"/>
                <w:color w:val="auto"/>
              </w:rPr>
              <w:t>(140)</w:t>
            </w:r>
          </w:p>
        </w:tc>
        <w:tc>
          <w:tcPr>
            <w:tcW w:w="340" w:type="dxa"/>
            <w:vAlign w:val="bottom"/>
            <w:tcBorders>
              <w:bottom w:val="single" w:sz="8" w:color="7F7F7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(1,272)</w:t>
            </w:r>
          </w:p>
        </w:tc>
        <w:tc>
          <w:tcPr>
            <w:tcW w:w="0" w:type="dxa"/>
            <w:vAlign w:val="bottom"/>
          </w:tcPr>
          <w:p>
            <w:pPr>
              <w:spacing w:after="0"/>
              <w:rPr>
                <w:sz w:val="1"/>
                <w:szCs w:val="1"/>
                <w:color w:val="auto"/>
              </w:rPr>
            </w:pPr>
          </w:p>
        </w:tc>
      </w:tr>
      <w:tr>
        <w:trPr>
          <w:trHeight w:val="318"/>
        </w:trPr>
        <w:tc>
          <w:tcPr>
            <w:tcW w:w="5520" w:type="dxa"/>
            <w:vAlign w:val="bottom"/>
          </w:tcPr>
          <w:p>
            <w:pPr>
              <w:spacing w:after="0"/>
              <w:rPr>
                <w:sz w:val="20"/>
                <w:szCs w:val="20"/>
                <w:color w:val="auto"/>
              </w:rPr>
            </w:pPr>
            <w:r>
              <w:rPr>
                <w:rFonts w:ascii="Arial" w:cs="Arial" w:eastAsia="Arial" w:hAnsi="Arial"/>
                <w:sz w:val="16"/>
                <w:szCs w:val="16"/>
                <w:color w:val="auto"/>
              </w:rPr>
              <w:t>Other comprehensive income/(loss) before reclassifications</w:t>
            </w:r>
          </w:p>
        </w:tc>
        <w:tc>
          <w:tcPr>
            <w:tcW w:w="360" w:type="dxa"/>
            <w:vAlign w:val="bottom"/>
          </w:tcPr>
          <w:p>
            <w:pPr>
              <w:spacing w:after="0"/>
              <w:rPr>
                <w:sz w:val="24"/>
                <w:szCs w:val="24"/>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24"/>
                <w:szCs w:val="24"/>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34</w:t>
            </w:r>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14"/>
        </w:trPr>
        <w:tc>
          <w:tcPr>
            <w:tcW w:w="5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Amounts reclassified from accumulated other comprehensive income/(loss)</w:t>
            </w:r>
          </w:p>
        </w:tc>
        <w:tc>
          <w:tcPr>
            <w:tcW w:w="36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65</w:t>
            </w:r>
          </w:p>
        </w:tc>
        <w:tc>
          <w:tcPr>
            <w:tcW w:w="2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114"/>
        </w:trPr>
        <w:tc>
          <w:tcPr>
            <w:tcW w:w="552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[a]</w:t>
            </w:r>
          </w:p>
        </w:tc>
        <w:tc>
          <w:tcPr>
            <w:tcW w:w="360" w:type="dxa"/>
            <w:vAlign w:val="bottom"/>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5520" w:type="dxa"/>
            <w:vAlign w:val="bottom"/>
            <w:tcBorders>
              <w:bottom w:val="single" w:sz="8" w:color="CCEEFF"/>
            </w:tcBorders>
            <w:vMerge w:val="continue"/>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shd w:val="clear" w:color="auto" w:fill="CCEEFF"/>
          </w:tcPr>
          <w:p>
            <w:pPr>
              <w:spacing w:after="0"/>
              <w:rPr>
                <w:sz w:val="10"/>
                <w:szCs w:val="10"/>
                <w:color w:val="auto"/>
              </w:rPr>
            </w:pPr>
          </w:p>
        </w:tc>
        <w:tc>
          <w:tcPr>
            <w:tcW w:w="34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5520" w:type="dxa"/>
            <w:vAlign w:val="bottom"/>
            <w:tcBorders>
              <w:top w:val="single" w:sz="8" w:color="7F7F7F"/>
            </w:tcBorders>
          </w:tcPr>
          <w:p>
            <w:pPr>
              <w:spacing w:after="0"/>
              <w:rPr>
                <w:sz w:val="20"/>
                <w:szCs w:val="20"/>
                <w:color w:val="auto"/>
              </w:rPr>
            </w:pPr>
            <w:r>
              <w:rPr>
                <w:rFonts w:ascii="Arial" w:cs="Arial" w:eastAsia="Arial" w:hAnsi="Arial"/>
                <w:sz w:val="16"/>
                <w:szCs w:val="16"/>
                <w:color w:val="auto"/>
              </w:rPr>
              <w:t>Net year-to-date other comprehensive income/(loss),</w:t>
            </w:r>
          </w:p>
        </w:tc>
        <w:tc>
          <w:tcPr>
            <w:tcW w:w="360" w:type="dxa"/>
            <w:vAlign w:val="bottom"/>
            <w:tcBorders>
              <w:top w:val="single" w:sz="8" w:color="7F7F7F"/>
            </w:tcBorders>
          </w:tcPr>
          <w:p>
            <w:pPr>
              <w:spacing w:after="0"/>
              <w:rPr>
                <w:sz w:val="16"/>
                <w:szCs w:val="16"/>
                <w:color w:val="auto"/>
              </w:rPr>
            </w:pPr>
          </w:p>
        </w:tc>
        <w:tc>
          <w:tcPr>
            <w:tcW w:w="780" w:type="dxa"/>
            <w:vAlign w:val="bottom"/>
            <w:tcBorders>
              <w:top w:val="single" w:sz="8" w:color="7F7F7F"/>
            </w:tcBorders>
            <w:vMerge w:val="restart"/>
          </w:tcPr>
          <w:p>
            <w:pPr>
              <w:jc w:val="right"/>
              <w:ind w:right="39"/>
              <w:spacing w:after="0"/>
              <w:rPr>
                <w:sz w:val="20"/>
                <w:szCs w:val="20"/>
                <w:color w:val="auto"/>
              </w:rPr>
            </w:pPr>
            <w:r>
              <w:rPr>
                <w:rFonts w:ascii="Arial" w:cs="Arial" w:eastAsia="Arial" w:hAnsi="Arial"/>
                <w:sz w:val="16"/>
                <w:szCs w:val="16"/>
                <w:color w:val="auto"/>
              </w:rPr>
              <w:t>66</w:t>
            </w:r>
          </w:p>
        </w:tc>
        <w:tc>
          <w:tcPr>
            <w:tcW w:w="220" w:type="dxa"/>
            <w:vAlign w:val="bottom"/>
            <w:tcBorders>
              <w:top w:val="single" w:sz="8" w:color="7F7F7F"/>
            </w:tcBorders>
          </w:tcPr>
          <w:p>
            <w:pPr>
              <w:spacing w:after="0"/>
              <w:rPr>
                <w:sz w:val="16"/>
                <w:szCs w:val="16"/>
                <w:color w:val="auto"/>
              </w:rPr>
            </w:pPr>
          </w:p>
        </w:tc>
        <w:tc>
          <w:tcPr>
            <w:tcW w:w="900" w:type="dxa"/>
            <w:vAlign w:val="bottom"/>
            <w:tcBorders>
              <w:top w:val="single" w:sz="8" w:color="7F7F7F"/>
            </w:tcBorders>
            <w:vMerge w:val="restart"/>
          </w:tcPr>
          <w:p>
            <w:pPr>
              <w:jc w:val="right"/>
              <w:ind w:right="59"/>
              <w:spacing w:after="0"/>
              <w:rPr>
                <w:sz w:val="20"/>
                <w:szCs w:val="20"/>
                <w:color w:val="auto"/>
              </w:rPr>
            </w:pPr>
            <w:r>
              <w:rPr>
                <w:rFonts w:ascii="Arial" w:cs="Arial" w:eastAsia="Arial" w:hAnsi="Arial"/>
                <w:sz w:val="16"/>
                <w:szCs w:val="16"/>
                <w:color w:val="auto"/>
              </w:rPr>
              <w:t>34</w:t>
            </w:r>
          </w:p>
        </w:tc>
        <w:tc>
          <w:tcPr>
            <w:tcW w:w="340" w:type="dxa"/>
            <w:vAlign w:val="bottom"/>
            <w:tcBorders>
              <w:top w:val="single" w:sz="8" w:color="7F7F7F"/>
            </w:tcBorders>
          </w:tcPr>
          <w:p>
            <w:pPr>
              <w:spacing w:after="0"/>
              <w:rPr>
                <w:sz w:val="16"/>
                <w:szCs w:val="16"/>
                <w:color w:val="auto"/>
              </w:rPr>
            </w:pPr>
          </w:p>
        </w:tc>
        <w:tc>
          <w:tcPr>
            <w:tcW w:w="700" w:type="dxa"/>
            <w:vAlign w:val="bottom"/>
            <w:tcBorders>
              <w:top w:val="single" w:sz="8" w:color="7F7F7F"/>
            </w:tcBorders>
            <w:vMerge w:val="restart"/>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14"/>
        </w:trPr>
        <w:tc>
          <w:tcPr>
            <w:tcW w:w="5520" w:type="dxa"/>
            <w:vAlign w:val="bottom"/>
            <w:vMerge w:val="restart"/>
          </w:tcPr>
          <w:p>
            <w:pPr>
              <w:spacing w:after="0"/>
              <w:rPr>
                <w:sz w:val="20"/>
                <w:szCs w:val="20"/>
                <w:color w:val="auto"/>
              </w:rPr>
            </w:pPr>
            <w:r>
              <w:rPr>
                <w:rFonts w:ascii="Arial" w:cs="Arial" w:eastAsia="Arial" w:hAnsi="Arial"/>
                <w:sz w:val="16"/>
                <w:szCs w:val="16"/>
                <w:color w:val="auto"/>
              </w:rPr>
              <w:t>net of taxes of $(59) million</w:t>
            </w:r>
          </w:p>
        </w:tc>
        <w:tc>
          <w:tcPr>
            <w:tcW w:w="3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52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34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5520" w:type="dxa"/>
            <w:vAlign w:val="bottom"/>
            <w:tcBorders>
              <w:bottom w:val="single" w:sz="8" w:color="7F7F7F"/>
            </w:tcBorders>
          </w:tcPr>
          <w:p>
            <w:pPr>
              <w:spacing w:after="0"/>
              <w:rPr>
                <w:sz w:val="3"/>
                <w:szCs w:val="3"/>
                <w:color w:val="auto"/>
              </w:rPr>
            </w:pPr>
          </w:p>
        </w:tc>
        <w:tc>
          <w:tcPr>
            <w:tcW w:w="360" w:type="dxa"/>
            <w:vAlign w:val="bottom"/>
            <w:tcBorders>
              <w:bottom w:val="single" w:sz="8" w:color="7F7F7F"/>
            </w:tcBorders>
          </w:tcPr>
          <w:p>
            <w:pPr>
              <w:spacing w:after="0"/>
              <w:rPr>
                <w:sz w:val="3"/>
                <w:szCs w:val="3"/>
                <w:color w:val="auto"/>
              </w:rPr>
            </w:pPr>
          </w:p>
        </w:tc>
        <w:tc>
          <w:tcPr>
            <w:tcW w:w="780" w:type="dxa"/>
            <w:vAlign w:val="bottom"/>
            <w:tcBorders>
              <w:bottom w:val="single" w:sz="8" w:color="7F7F7F"/>
            </w:tcBorders>
          </w:tcPr>
          <w:p>
            <w:pPr>
              <w:spacing w:after="0"/>
              <w:rPr>
                <w:sz w:val="3"/>
                <w:szCs w:val="3"/>
                <w:color w:val="auto"/>
              </w:rPr>
            </w:pPr>
          </w:p>
        </w:tc>
        <w:tc>
          <w:tcPr>
            <w:tcW w:w="220" w:type="dxa"/>
            <w:vAlign w:val="bottom"/>
            <w:tcBorders>
              <w:bottom w:val="single" w:sz="8" w:color="7F7F7F"/>
            </w:tcBorders>
          </w:tcPr>
          <w:p>
            <w:pPr>
              <w:spacing w:after="0"/>
              <w:rPr>
                <w:sz w:val="3"/>
                <w:szCs w:val="3"/>
                <w:color w:val="auto"/>
              </w:rPr>
            </w:pPr>
          </w:p>
        </w:tc>
        <w:tc>
          <w:tcPr>
            <w:tcW w:w="900" w:type="dxa"/>
            <w:vAlign w:val="bottom"/>
            <w:tcBorders>
              <w:bottom w:val="single" w:sz="8" w:color="7F7F7F"/>
            </w:tcBorders>
          </w:tcPr>
          <w:p>
            <w:pPr>
              <w:spacing w:after="0"/>
              <w:rPr>
                <w:sz w:val="3"/>
                <w:szCs w:val="3"/>
                <w:color w:val="auto"/>
              </w:rPr>
            </w:pPr>
          </w:p>
        </w:tc>
        <w:tc>
          <w:tcPr>
            <w:tcW w:w="340" w:type="dxa"/>
            <w:vAlign w:val="bottom"/>
            <w:tcBorders>
              <w:bottom w:val="single" w:sz="8" w:color="7F7F7F"/>
            </w:tcBorders>
          </w:tcPr>
          <w:p>
            <w:pPr>
              <w:spacing w:after="0"/>
              <w:rPr>
                <w:sz w:val="3"/>
                <w:szCs w:val="3"/>
                <w:color w:val="auto"/>
              </w:rPr>
            </w:pPr>
          </w:p>
        </w:tc>
        <w:tc>
          <w:tcPr>
            <w:tcW w:w="70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552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Balance at September 30, 2017</w:t>
            </w:r>
          </w:p>
        </w:tc>
        <w:tc>
          <w:tcPr>
            <w:tcW w:w="360" w:type="dxa"/>
            <w:vAlign w:val="bottom"/>
            <w:tcBorders>
              <w:bottom w:val="single" w:sz="8" w:color="7F7F7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(1,066)</w:t>
            </w:r>
          </w:p>
        </w:tc>
        <w:tc>
          <w:tcPr>
            <w:tcW w:w="2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7F7F7F"/>
            </w:tcBorders>
            <w:shd w:val="clear" w:color="auto" w:fill="CCEEFF"/>
          </w:tcPr>
          <w:p>
            <w:pPr>
              <w:jc w:val="right"/>
              <w:ind w:right="19"/>
              <w:spacing w:after="0"/>
              <w:rPr>
                <w:sz w:val="20"/>
                <w:szCs w:val="20"/>
                <w:color w:val="auto"/>
              </w:rPr>
            </w:pPr>
            <w:r>
              <w:rPr>
                <w:rFonts w:ascii="Arial" w:cs="Arial" w:eastAsia="Arial" w:hAnsi="Arial"/>
                <w:sz w:val="16"/>
                <w:szCs w:val="16"/>
                <w:color w:val="auto"/>
              </w:rPr>
              <w:t>(106)</w:t>
            </w:r>
          </w:p>
        </w:tc>
        <w:tc>
          <w:tcPr>
            <w:tcW w:w="340" w:type="dxa"/>
            <w:vAlign w:val="bottom"/>
            <w:tcBorders>
              <w:bottom w:val="single" w:sz="8" w:color="7F7F7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(1,172)</w:t>
            </w:r>
          </w:p>
        </w:tc>
        <w:tc>
          <w:tcPr>
            <w:tcW w:w="0" w:type="dxa"/>
            <w:vAlign w:val="bottom"/>
          </w:tcPr>
          <w:p>
            <w:pPr>
              <w:spacing w:after="0"/>
              <w:rPr>
                <w:sz w:val="1"/>
                <w:szCs w:val="1"/>
                <w:color w:val="auto"/>
              </w:rPr>
            </w:pPr>
          </w:p>
        </w:tc>
      </w:tr>
      <w:tr>
        <w:trPr>
          <w:trHeight w:val="196"/>
        </w:trPr>
        <w:tc>
          <w:tcPr>
            <w:tcW w:w="5520" w:type="dxa"/>
            <w:vAlign w:val="bottom"/>
            <w:tcBorders>
              <w:bottom w:val="single" w:sz="8" w:color="7F7F7F"/>
            </w:tcBorders>
          </w:tcPr>
          <w:p>
            <w:pPr>
              <w:spacing w:after="0"/>
              <w:rPr>
                <w:sz w:val="17"/>
                <w:szCs w:val="17"/>
                <w:color w:val="auto"/>
              </w:rPr>
            </w:pPr>
          </w:p>
        </w:tc>
        <w:tc>
          <w:tcPr>
            <w:tcW w:w="360" w:type="dxa"/>
            <w:vAlign w:val="bottom"/>
            <w:tcBorders>
              <w:bottom w:val="single" w:sz="8" w:color="7F7F7F"/>
            </w:tcBorders>
          </w:tcPr>
          <w:p>
            <w:pPr>
              <w:spacing w:after="0"/>
              <w:rPr>
                <w:sz w:val="17"/>
                <w:szCs w:val="17"/>
                <w:color w:val="auto"/>
              </w:rPr>
            </w:pPr>
          </w:p>
        </w:tc>
        <w:tc>
          <w:tcPr>
            <w:tcW w:w="780" w:type="dxa"/>
            <w:vAlign w:val="bottom"/>
            <w:tcBorders>
              <w:bottom w:val="single" w:sz="8" w:color="7F7F7F"/>
            </w:tcBorders>
          </w:tcPr>
          <w:p>
            <w:pPr>
              <w:spacing w:after="0"/>
              <w:rPr>
                <w:sz w:val="17"/>
                <w:szCs w:val="17"/>
                <w:color w:val="auto"/>
              </w:rPr>
            </w:pPr>
          </w:p>
        </w:tc>
        <w:tc>
          <w:tcPr>
            <w:tcW w:w="220" w:type="dxa"/>
            <w:vAlign w:val="bottom"/>
            <w:tcBorders>
              <w:bottom w:val="single" w:sz="8" w:color="7F7F7F"/>
            </w:tcBorders>
          </w:tcPr>
          <w:p>
            <w:pPr>
              <w:spacing w:after="0"/>
              <w:rPr>
                <w:sz w:val="17"/>
                <w:szCs w:val="17"/>
                <w:color w:val="auto"/>
              </w:rPr>
            </w:pPr>
          </w:p>
        </w:tc>
        <w:tc>
          <w:tcPr>
            <w:tcW w:w="900" w:type="dxa"/>
            <w:vAlign w:val="bottom"/>
            <w:tcBorders>
              <w:bottom w:val="single" w:sz="8" w:color="7F7F7F"/>
            </w:tcBorders>
          </w:tcPr>
          <w:p>
            <w:pPr>
              <w:spacing w:after="0"/>
              <w:rPr>
                <w:sz w:val="17"/>
                <w:szCs w:val="17"/>
                <w:color w:val="auto"/>
              </w:rPr>
            </w:pPr>
          </w:p>
        </w:tc>
        <w:tc>
          <w:tcPr>
            <w:tcW w:w="340" w:type="dxa"/>
            <w:vAlign w:val="bottom"/>
            <w:tcBorders>
              <w:bottom w:val="single" w:sz="8" w:color="7F7F7F"/>
            </w:tcBorders>
          </w:tcPr>
          <w:p>
            <w:pPr>
              <w:spacing w:after="0"/>
              <w:rPr>
                <w:sz w:val="17"/>
                <w:szCs w:val="17"/>
                <w:color w:val="auto"/>
              </w:rPr>
            </w:pPr>
          </w:p>
        </w:tc>
        <w:tc>
          <w:tcPr>
            <w:tcW w:w="700" w:type="dxa"/>
            <w:vAlign w:val="bottom"/>
            <w:tcBorders>
              <w:bottom w:val="single" w:sz="8" w:color="7F7F7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2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Balance at January 1, 2016</w:t>
            </w:r>
          </w:p>
        </w:tc>
        <w:tc>
          <w:tcPr>
            <w:tcW w:w="360" w:type="dxa"/>
            <w:vAlign w:val="bottom"/>
            <w:tcBorders>
              <w:bottom w:val="single" w:sz="8" w:color="7F7F7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(1,103)</w:t>
            </w:r>
          </w:p>
        </w:tc>
        <w:tc>
          <w:tcPr>
            <w:tcW w:w="2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7F7F7F"/>
            </w:tcBorders>
            <w:shd w:val="clear" w:color="auto" w:fill="CCEEFF"/>
          </w:tcPr>
          <w:p>
            <w:pPr>
              <w:jc w:val="right"/>
              <w:ind w:right="19"/>
              <w:spacing w:after="0"/>
              <w:rPr>
                <w:sz w:val="20"/>
                <w:szCs w:val="20"/>
                <w:color w:val="auto"/>
              </w:rPr>
            </w:pPr>
            <w:r>
              <w:rPr>
                <w:rFonts w:ascii="Arial" w:cs="Arial" w:eastAsia="Arial" w:hAnsi="Arial"/>
                <w:sz w:val="16"/>
                <w:szCs w:val="16"/>
                <w:color w:val="auto"/>
              </w:rPr>
              <w:t>(92)</w:t>
            </w:r>
          </w:p>
        </w:tc>
        <w:tc>
          <w:tcPr>
            <w:tcW w:w="340" w:type="dxa"/>
            <w:vAlign w:val="bottom"/>
            <w:tcBorders>
              <w:bottom w:val="single" w:sz="8" w:color="7F7F7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(1,195)</w:t>
            </w:r>
          </w:p>
        </w:tc>
        <w:tc>
          <w:tcPr>
            <w:tcW w:w="0" w:type="dxa"/>
            <w:vAlign w:val="bottom"/>
          </w:tcPr>
          <w:p>
            <w:pPr>
              <w:spacing w:after="0"/>
              <w:rPr>
                <w:sz w:val="1"/>
                <w:szCs w:val="1"/>
                <w:color w:val="auto"/>
              </w:rPr>
            </w:pPr>
          </w:p>
        </w:tc>
      </w:tr>
      <w:tr>
        <w:trPr>
          <w:trHeight w:val="318"/>
        </w:trPr>
        <w:tc>
          <w:tcPr>
            <w:tcW w:w="5520" w:type="dxa"/>
            <w:vAlign w:val="bottom"/>
          </w:tcPr>
          <w:p>
            <w:pPr>
              <w:spacing w:after="0"/>
              <w:rPr>
                <w:sz w:val="20"/>
                <w:szCs w:val="20"/>
                <w:color w:val="auto"/>
              </w:rPr>
            </w:pPr>
            <w:r>
              <w:rPr>
                <w:rFonts w:ascii="Arial" w:cs="Arial" w:eastAsia="Arial" w:hAnsi="Arial"/>
                <w:sz w:val="16"/>
                <w:szCs w:val="16"/>
                <w:color w:val="auto"/>
              </w:rPr>
              <w:t>Other comprehensive income/(loss) before reclassifications</w:t>
            </w: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24"/>
                <w:szCs w:val="24"/>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14"/>
        </w:trPr>
        <w:tc>
          <w:tcPr>
            <w:tcW w:w="5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Amounts reclassified from accumulated other comprehensive income/(loss)</w:t>
            </w:r>
          </w:p>
        </w:tc>
        <w:tc>
          <w:tcPr>
            <w:tcW w:w="36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39</w:t>
            </w:r>
          </w:p>
        </w:tc>
        <w:tc>
          <w:tcPr>
            <w:tcW w:w="2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14"/>
        </w:trPr>
        <w:tc>
          <w:tcPr>
            <w:tcW w:w="552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[a]</w:t>
            </w:r>
          </w:p>
        </w:tc>
        <w:tc>
          <w:tcPr>
            <w:tcW w:w="360" w:type="dxa"/>
            <w:vAlign w:val="bottom"/>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5520" w:type="dxa"/>
            <w:vAlign w:val="bottom"/>
            <w:tcBorders>
              <w:bottom w:val="single" w:sz="8" w:color="CCEEFF"/>
            </w:tcBorders>
            <w:vMerge w:val="continue"/>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shd w:val="clear" w:color="auto" w:fill="CCEEFF"/>
          </w:tcPr>
          <w:p>
            <w:pPr>
              <w:spacing w:after="0"/>
              <w:rPr>
                <w:sz w:val="10"/>
                <w:szCs w:val="10"/>
                <w:color w:val="auto"/>
              </w:rPr>
            </w:pPr>
          </w:p>
        </w:tc>
        <w:tc>
          <w:tcPr>
            <w:tcW w:w="34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5520" w:type="dxa"/>
            <w:vAlign w:val="bottom"/>
            <w:tcBorders>
              <w:top w:val="single" w:sz="8" w:color="7F7F7F"/>
            </w:tcBorders>
          </w:tcPr>
          <w:p>
            <w:pPr>
              <w:spacing w:after="0"/>
              <w:rPr>
                <w:sz w:val="20"/>
                <w:szCs w:val="20"/>
                <w:color w:val="auto"/>
              </w:rPr>
            </w:pPr>
            <w:r>
              <w:rPr>
                <w:rFonts w:ascii="Arial" w:cs="Arial" w:eastAsia="Arial" w:hAnsi="Arial"/>
                <w:sz w:val="16"/>
                <w:szCs w:val="16"/>
                <w:color w:val="auto"/>
              </w:rPr>
              <w:t>Net year-to-date other comprehensive income/(loss),</w:t>
            </w:r>
          </w:p>
        </w:tc>
        <w:tc>
          <w:tcPr>
            <w:tcW w:w="360" w:type="dxa"/>
            <w:vAlign w:val="bottom"/>
            <w:tcBorders>
              <w:top w:val="single" w:sz="8" w:color="7F7F7F"/>
            </w:tcBorders>
          </w:tcPr>
          <w:p>
            <w:pPr>
              <w:spacing w:after="0"/>
              <w:rPr>
                <w:sz w:val="16"/>
                <w:szCs w:val="16"/>
                <w:color w:val="auto"/>
              </w:rPr>
            </w:pPr>
          </w:p>
        </w:tc>
        <w:tc>
          <w:tcPr>
            <w:tcW w:w="780" w:type="dxa"/>
            <w:vAlign w:val="bottom"/>
            <w:tcBorders>
              <w:top w:val="single" w:sz="8" w:color="7F7F7F"/>
            </w:tcBorders>
            <w:vMerge w:val="restart"/>
          </w:tcPr>
          <w:p>
            <w:pPr>
              <w:jc w:val="right"/>
              <w:ind w:right="39"/>
              <w:spacing w:after="0"/>
              <w:rPr>
                <w:sz w:val="20"/>
                <w:szCs w:val="20"/>
                <w:color w:val="auto"/>
              </w:rPr>
            </w:pPr>
            <w:r>
              <w:rPr>
                <w:rFonts w:ascii="Arial" w:cs="Arial" w:eastAsia="Arial" w:hAnsi="Arial"/>
                <w:sz w:val="16"/>
                <w:szCs w:val="16"/>
                <w:color w:val="auto"/>
              </w:rPr>
              <w:t>35</w:t>
            </w:r>
          </w:p>
        </w:tc>
        <w:tc>
          <w:tcPr>
            <w:tcW w:w="220" w:type="dxa"/>
            <w:vAlign w:val="bottom"/>
            <w:tcBorders>
              <w:top w:val="single" w:sz="8" w:color="7F7F7F"/>
            </w:tcBorders>
          </w:tcPr>
          <w:p>
            <w:pPr>
              <w:spacing w:after="0"/>
              <w:rPr>
                <w:sz w:val="16"/>
                <w:szCs w:val="16"/>
                <w:color w:val="auto"/>
              </w:rPr>
            </w:pPr>
          </w:p>
        </w:tc>
        <w:tc>
          <w:tcPr>
            <w:tcW w:w="900" w:type="dxa"/>
            <w:vAlign w:val="bottom"/>
            <w:tcBorders>
              <w:top w:val="single" w:sz="8" w:color="7F7F7F"/>
            </w:tcBorders>
            <w:vMerge w:val="restart"/>
          </w:tcPr>
          <w:p>
            <w:pPr>
              <w:jc w:val="right"/>
              <w:ind w:right="19"/>
              <w:spacing w:after="0"/>
              <w:rPr>
                <w:sz w:val="20"/>
                <w:szCs w:val="20"/>
                <w:color w:val="auto"/>
              </w:rPr>
            </w:pPr>
            <w:r>
              <w:rPr>
                <w:rFonts w:ascii="Arial" w:cs="Arial" w:eastAsia="Arial" w:hAnsi="Arial"/>
                <w:sz w:val="16"/>
                <w:szCs w:val="16"/>
                <w:color w:val="auto"/>
              </w:rPr>
              <w:t>(25)</w:t>
            </w:r>
          </w:p>
        </w:tc>
        <w:tc>
          <w:tcPr>
            <w:tcW w:w="340" w:type="dxa"/>
            <w:vAlign w:val="bottom"/>
            <w:tcBorders>
              <w:top w:val="single" w:sz="8" w:color="7F7F7F"/>
            </w:tcBorders>
          </w:tcPr>
          <w:p>
            <w:pPr>
              <w:spacing w:after="0"/>
              <w:rPr>
                <w:sz w:val="16"/>
                <w:szCs w:val="16"/>
                <w:color w:val="auto"/>
              </w:rPr>
            </w:pPr>
          </w:p>
        </w:tc>
        <w:tc>
          <w:tcPr>
            <w:tcW w:w="700" w:type="dxa"/>
            <w:vAlign w:val="bottom"/>
            <w:tcBorders>
              <w:top w:val="single" w:sz="8" w:color="7F7F7F"/>
            </w:tcBorders>
            <w:vMerge w:val="restart"/>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14"/>
        </w:trPr>
        <w:tc>
          <w:tcPr>
            <w:tcW w:w="5520" w:type="dxa"/>
            <w:vAlign w:val="bottom"/>
            <w:vMerge w:val="restart"/>
          </w:tcPr>
          <w:p>
            <w:pPr>
              <w:spacing w:after="0"/>
              <w:rPr>
                <w:sz w:val="20"/>
                <w:szCs w:val="20"/>
                <w:color w:val="auto"/>
              </w:rPr>
            </w:pPr>
            <w:r>
              <w:rPr>
                <w:rFonts w:ascii="Arial" w:cs="Arial" w:eastAsia="Arial" w:hAnsi="Arial"/>
                <w:sz w:val="16"/>
                <w:szCs w:val="16"/>
                <w:color w:val="auto"/>
              </w:rPr>
              <w:t>net of taxes of $(8) million</w:t>
            </w:r>
          </w:p>
        </w:tc>
        <w:tc>
          <w:tcPr>
            <w:tcW w:w="3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52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34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5520" w:type="dxa"/>
            <w:vAlign w:val="bottom"/>
            <w:tcBorders>
              <w:bottom w:val="single" w:sz="8" w:color="7F7F7F"/>
            </w:tcBorders>
          </w:tcPr>
          <w:p>
            <w:pPr>
              <w:spacing w:after="0"/>
              <w:rPr>
                <w:sz w:val="3"/>
                <w:szCs w:val="3"/>
                <w:color w:val="auto"/>
              </w:rPr>
            </w:pPr>
          </w:p>
        </w:tc>
        <w:tc>
          <w:tcPr>
            <w:tcW w:w="360" w:type="dxa"/>
            <w:vAlign w:val="bottom"/>
            <w:tcBorders>
              <w:bottom w:val="single" w:sz="8" w:color="7F7F7F"/>
            </w:tcBorders>
          </w:tcPr>
          <w:p>
            <w:pPr>
              <w:spacing w:after="0"/>
              <w:rPr>
                <w:sz w:val="3"/>
                <w:szCs w:val="3"/>
                <w:color w:val="auto"/>
              </w:rPr>
            </w:pPr>
          </w:p>
        </w:tc>
        <w:tc>
          <w:tcPr>
            <w:tcW w:w="780" w:type="dxa"/>
            <w:vAlign w:val="bottom"/>
            <w:tcBorders>
              <w:bottom w:val="single" w:sz="8" w:color="7F7F7F"/>
            </w:tcBorders>
          </w:tcPr>
          <w:p>
            <w:pPr>
              <w:spacing w:after="0"/>
              <w:rPr>
                <w:sz w:val="3"/>
                <w:szCs w:val="3"/>
                <w:color w:val="auto"/>
              </w:rPr>
            </w:pPr>
          </w:p>
        </w:tc>
        <w:tc>
          <w:tcPr>
            <w:tcW w:w="220" w:type="dxa"/>
            <w:vAlign w:val="bottom"/>
            <w:tcBorders>
              <w:bottom w:val="single" w:sz="8" w:color="7F7F7F"/>
            </w:tcBorders>
          </w:tcPr>
          <w:p>
            <w:pPr>
              <w:spacing w:after="0"/>
              <w:rPr>
                <w:sz w:val="3"/>
                <w:szCs w:val="3"/>
                <w:color w:val="auto"/>
              </w:rPr>
            </w:pPr>
          </w:p>
        </w:tc>
        <w:tc>
          <w:tcPr>
            <w:tcW w:w="900" w:type="dxa"/>
            <w:vAlign w:val="bottom"/>
            <w:tcBorders>
              <w:bottom w:val="single" w:sz="8" w:color="7F7F7F"/>
            </w:tcBorders>
          </w:tcPr>
          <w:p>
            <w:pPr>
              <w:spacing w:after="0"/>
              <w:rPr>
                <w:sz w:val="3"/>
                <w:szCs w:val="3"/>
                <w:color w:val="auto"/>
              </w:rPr>
            </w:pPr>
          </w:p>
        </w:tc>
        <w:tc>
          <w:tcPr>
            <w:tcW w:w="340" w:type="dxa"/>
            <w:vAlign w:val="bottom"/>
            <w:tcBorders>
              <w:bottom w:val="single" w:sz="8" w:color="7F7F7F"/>
            </w:tcBorders>
          </w:tcPr>
          <w:p>
            <w:pPr>
              <w:spacing w:after="0"/>
              <w:rPr>
                <w:sz w:val="3"/>
                <w:szCs w:val="3"/>
                <w:color w:val="auto"/>
              </w:rPr>
            </w:pPr>
          </w:p>
        </w:tc>
        <w:tc>
          <w:tcPr>
            <w:tcW w:w="70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52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Balance at September 30, 2016</w:t>
            </w:r>
          </w:p>
        </w:tc>
        <w:tc>
          <w:tcPr>
            <w:tcW w:w="360" w:type="dxa"/>
            <w:vAlign w:val="bottom"/>
            <w:tcBorders>
              <w:bottom w:val="single" w:sz="8" w:color="7F7F7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(1,068)</w:t>
            </w:r>
          </w:p>
        </w:tc>
        <w:tc>
          <w:tcPr>
            <w:tcW w:w="2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7F7F7F"/>
            </w:tcBorders>
            <w:shd w:val="clear" w:color="auto" w:fill="CCEEFF"/>
          </w:tcPr>
          <w:p>
            <w:pPr>
              <w:jc w:val="right"/>
              <w:ind w:right="19"/>
              <w:spacing w:after="0"/>
              <w:rPr>
                <w:sz w:val="20"/>
                <w:szCs w:val="20"/>
                <w:color w:val="auto"/>
              </w:rPr>
            </w:pPr>
            <w:r>
              <w:rPr>
                <w:rFonts w:ascii="Arial" w:cs="Arial" w:eastAsia="Arial" w:hAnsi="Arial"/>
                <w:sz w:val="16"/>
                <w:szCs w:val="16"/>
                <w:color w:val="auto"/>
              </w:rPr>
              <w:t>(117)</w:t>
            </w:r>
          </w:p>
        </w:tc>
        <w:tc>
          <w:tcPr>
            <w:tcW w:w="340" w:type="dxa"/>
            <w:vAlign w:val="bottom"/>
            <w:tcBorders>
              <w:bottom w:val="single" w:sz="8" w:color="7F7F7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(1,185)</w:t>
            </w: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ind w:left="420" w:right="99" w:hanging="315"/>
        <w:spacing w:after="0"/>
        <w:tabs>
          <w:tab w:leader="none" w:pos="445"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The accumulated other comprehensive income/(loss) reclassification components are 1) prior service cost/(credit) and 2) net actuarial loss which are both included in the computation of net periodic pension cost. See Note 6 Retirement Plans for additional details.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45085</wp:posOffset>
            </wp:positionV>
            <wp:extent cx="5642610"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5" w:name="page16"/>
    <w:bookmarkEnd w:id="15"/>
    <w:p>
      <w:pPr>
        <w:ind w:left="10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11. Accounts Receivable</w:t>
      </w:r>
    </w:p>
    <w:p>
      <w:pPr>
        <w:spacing w:after="0" w:line="166" w:lineRule="exact"/>
        <w:rPr>
          <w:sz w:val="20"/>
          <w:szCs w:val="20"/>
          <w:color w:val="auto"/>
        </w:rPr>
      </w:pPr>
    </w:p>
    <w:p>
      <w:pPr>
        <w:jc w:val="both"/>
        <w:ind w:left="100" w:right="99"/>
        <w:spacing w:after="0" w:line="210" w:lineRule="auto"/>
        <w:rPr>
          <w:sz w:val="20"/>
          <w:szCs w:val="20"/>
          <w:color w:val="auto"/>
        </w:rPr>
      </w:pPr>
      <w:r>
        <w:rPr>
          <w:rFonts w:ascii="Arial" w:cs="Arial" w:eastAsia="Arial" w:hAnsi="Arial"/>
          <w:sz w:val="18"/>
          <w:szCs w:val="18"/>
          <w:color w:val="auto"/>
        </w:rPr>
        <w:t>Accounts receivable includes freight and other receivables reduced by an allowance for doubtful accounts. The allowance is based upon historical losses, credit worthiness of customers, and current economic conditions. At September 30, 2017, and December 31, 2016, our accounts receivable were reduced by $2 million and $5 million, respectively. Receivables not expected to be collected in one year and the associated allowances are classified as other assets in our Condensed Consolidated Statements of Financial Position. At both September 30, 2017, and December 31, 2016, receivables classified as other assets were reduced by allowances of $17 million.</w:t>
      </w:r>
    </w:p>
    <w:p>
      <w:pPr>
        <w:spacing w:after="0" w:line="115" w:lineRule="exact"/>
        <w:rPr>
          <w:sz w:val="20"/>
          <w:szCs w:val="20"/>
          <w:color w:val="auto"/>
        </w:rPr>
      </w:pPr>
    </w:p>
    <w:p>
      <w:pPr>
        <w:jc w:val="both"/>
        <w:ind w:left="100" w:right="99"/>
        <w:spacing w:after="0" w:line="214" w:lineRule="auto"/>
        <w:rPr>
          <w:sz w:val="20"/>
          <w:szCs w:val="20"/>
          <w:color w:val="auto"/>
        </w:rPr>
      </w:pPr>
      <w:r>
        <w:rPr>
          <w:rFonts w:ascii="Arial" w:cs="Arial" w:eastAsia="Arial" w:hAnsi="Arial"/>
          <w:sz w:val="18"/>
          <w:szCs w:val="18"/>
          <w:b w:val="1"/>
          <w:bCs w:val="1"/>
          <w:color w:val="auto"/>
        </w:rPr>
        <w:t xml:space="preserve">Receivables Securitization Facility </w:t>
      </w:r>
      <w:r>
        <w:rPr>
          <w:rFonts w:ascii="Arial" w:cs="Arial" w:eastAsia="Arial" w:hAnsi="Arial"/>
          <w:sz w:val="18"/>
          <w:szCs w:val="18"/>
          <w:color w:val="auto"/>
        </w:rPr>
        <w:t>– The Railroad maintains a $650 million, 3-year receivables</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securitization facility (the Receivables Facility) maturing in July 2019. Under the Receivables Facility, the Railroad sells most of its eligible third-party receivables to Union Pacific Receivables, Inc. (UPRI), a consolidated, wholly-owned, bankruptcy-remote subsidiary that may subsequently transfer, without recourse, an undivided interest in accounts receivable to investors. The investors have no recourse to the Railroad’s other assets except for customary warranty and indemnity claims. Creditors of the Railroad do not have recourse to the assets of UPRI.</w:t>
      </w:r>
    </w:p>
    <w:p>
      <w:pPr>
        <w:spacing w:after="0" w:line="135" w:lineRule="exact"/>
        <w:rPr>
          <w:sz w:val="20"/>
          <w:szCs w:val="20"/>
          <w:color w:val="auto"/>
        </w:rPr>
      </w:pPr>
    </w:p>
    <w:p>
      <w:pPr>
        <w:jc w:val="both"/>
        <w:ind w:left="100" w:right="99"/>
        <w:spacing w:after="0" w:line="213" w:lineRule="auto"/>
        <w:rPr>
          <w:sz w:val="20"/>
          <w:szCs w:val="20"/>
          <w:color w:val="auto"/>
        </w:rPr>
      </w:pPr>
      <w:r>
        <w:rPr>
          <w:rFonts w:ascii="Arial" w:cs="Arial" w:eastAsia="Arial" w:hAnsi="Arial"/>
          <w:sz w:val="18"/>
          <w:szCs w:val="18"/>
          <w:color w:val="auto"/>
        </w:rPr>
        <w:t>The amount outstanding under the Receivables Facility was $200 million and $0 at September 30, 2017, and December 31, 2016, respectively. The Receivables Facility was supported by $1.1 billion and $ 1.0 billion of accounts receivable as collateral at September 30, 2017, and December 31, 2016, respectively, which, as a retained interest, is included in accounts receivable, net in our Condensed Consolidated Statements of Financial Position.</w:t>
      </w:r>
    </w:p>
    <w:p>
      <w:pPr>
        <w:spacing w:after="0" w:line="135" w:lineRule="exact"/>
        <w:rPr>
          <w:sz w:val="20"/>
          <w:szCs w:val="20"/>
          <w:color w:val="auto"/>
        </w:rPr>
      </w:pPr>
    </w:p>
    <w:p>
      <w:pPr>
        <w:jc w:val="both"/>
        <w:ind w:left="100" w:right="99"/>
        <w:spacing w:after="0" w:line="213" w:lineRule="auto"/>
        <w:rPr>
          <w:sz w:val="20"/>
          <w:szCs w:val="20"/>
          <w:color w:val="auto"/>
        </w:rPr>
      </w:pPr>
      <w:r>
        <w:rPr>
          <w:rFonts w:ascii="Arial" w:cs="Arial" w:eastAsia="Arial" w:hAnsi="Arial"/>
          <w:sz w:val="18"/>
          <w:szCs w:val="18"/>
          <w:color w:val="auto"/>
        </w:rPr>
        <w:t>The outstanding amount the Railroad is allowed to maintain under the Receivables Facility, with a maximum of $650 million, may fluctuate based on the availability of eligible receivables and is directly affected by business volumes and credit risks, including receivables payment quality measures such as default and dilution ratios. If default or dilution ratios increase one percent, the allowable outstanding amount under the Receivables Facility would not materially change.</w:t>
      </w:r>
    </w:p>
    <w:p>
      <w:pPr>
        <w:spacing w:after="0" w:line="135" w:lineRule="exact"/>
        <w:rPr>
          <w:sz w:val="20"/>
          <w:szCs w:val="20"/>
          <w:color w:val="auto"/>
        </w:rPr>
      </w:pPr>
    </w:p>
    <w:p>
      <w:pPr>
        <w:jc w:val="both"/>
        <w:ind w:left="100" w:right="99"/>
        <w:spacing w:after="0" w:line="211" w:lineRule="auto"/>
        <w:rPr>
          <w:sz w:val="20"/>
          <w:szCs w:val="20"/>
          <w:color w:val="auto"/>
        </w:rPr>
      </w:pPr>
      <w:r>
        <w:rPr>
          <w:rFonts w:ascii="Arial" w:cs="Arial" w:eastAsia="Arial" w:hAnsi="Arial"/>
          <w:sz w:val="18"/>
          <w:szCs w:val="18"/>
          <w:color w:val="auto"/>
        </w:rPr>
        <w:t>The costs of the Receivables Facility include interest, which will vary based on prevailing benchmark and commercial paper rates, program fees paid to participating banks, commercial paper issuance costs, and fees of participating banks for unused commitment availability. The costs of the Receivables Facility are included in interest expense and were $1 million and $2 million for the three months ended September 30, 2017, and 2016, respectively, and $4 million and $5 million for the nine months ended September 30, 2017, and 2016, respectively.</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45085</wp:posOffset>
            </wp:positionV>
            <wp:extent cx="5642610"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6" w:name="page17"/>
    <w:bookmarkEnd w:id="16"/>
    <w:p>
      <w:pPr>
        <w:ind w:left="10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12. Properties</w:t>
      </w:r>
    </w:p>
    <w:p>
      <w:pPr>
        <w:spacing w:after="0" w:line="166" w:lineRule="exact"/>
        <w:rPr>
          <w:sz w:val="20"/>
          <w:szCs w:val="20"/>
          <w:color w:val="auto"/>
        </w:rPr>
      </w:pPr>
    </w:p>
    <w:p>
      <w:pPr>
        <w:ind w:left="100" w:right="99"/>
        <w:spacing w:after="0" w:line="227" w:lineRule="auto"/>
        <w:rPr>
          <w:sz w:val="20"/>
          <w:szCs w:val="20"/>
          <w:color w:val="auto"/>
        </w:rPr>
      </w:pPr>
      <w:r>
        <w:rPr>
          <w:rFonts w:ascii="Arial" w:cs="Arial" w:eastAsia="Arial" w:hAnsi="Arial"/>
          <w:sz w:val="18"/>
          <w:szCs w:val="18"/>
          <w:color w:val="auto"/>
        </w:rPr>
        <w:t>The following tables list the major categories of property and equipment, as well as the weighted-average estimated useful life for each category (in years):</w:t>
      </w:r>
    </w:p>
    <w:p>
      <w:pPr>
        <w:spacing w:after="0" w:line="170" w:lineRule="exact"/>
        <w:rPr>
          <w:sz w:val="20"/>
          <w:szCs w:val="20"/>
          <w:color w:val="auto"/>
        </w:rPr>
      </w:pPr>
    </w:p>
    <w:tbl>
      <w:tblPr>
        <w:tblLayout w:type="fixed"/>
        <w:tblInd w:w="100" w:type="dxa"/>
        <w:tblCellMar>
          <w:top w:w="0" w:type="dxa"/>
          <w:left w:w="0" w:type="dxa"/>
          <w:bottom w:w="0" w:type="dxa"/>
          <w:right w:w="0" w:type="dxa"/>
        </w:tblCellMar>
      </w:tblPr>
      <w:tr>
        <w:trPr>
          <w:trHeight w:val="256"/>
        </w:trPr>
        <w:tc>
          <w:tcPr>
            <w:tcW w:w="3360" w:type="dxa"/>
            <w:vAlign w:val="bottom"/>
            <w:tcBorders>
              <w:top w:val="single" w:sz="8" w:color="7F7F7F"/>
            </w:tcBorders>
          </w:tcPr>
          <w:p>
            <w:pPr>
              <w:spacing w:after="0"/>
              <w:rPr>
                <w:sz w:val="20"/>
                <w:szCs w:val="20"/>
                <w:color w:val="auto"/>
              </w:rPr>
            </w:pPr>
            <w:r>
              <w:rPr>
                <w:rFonts w:ascii="Arial" w:cs="Arial" w:eastAsia="Arial" w:hAnsi="Arial"/>
                <w:sz w:val="16"/>
                <w:szCs w:val="16"/>
                <w:i w:val="1"/>
                <w:iCs w:val="1"/>
                <w:color w:val="auto"/>
              </w:rPr>
              <w:t>Millions, Except Estimated Useful Life</w:t>
            </w:r>
          </w:p>
        </w:tc>
        <w:tc>
          <w:tcPr>
            <w:tcW w:w="860" w:type="dxa"/>
            <w:vAlign w:val="bottom"/>
            <w:tcBorders>
              <w:top w:val="single" w:sz="8" w:color="7F7F7F"/>
            </w:tcBorders>
          </w:tcPr>
          <w:p>
            <w:pPr>
              <w:spacing w:after="0"/>
              <w:rPr>
                <w:sz w:val="22"/>
                <w:szCs w:val="22"/>
                <w:color w:val="auto"/>
              </w:rPr>
            </w:pPr>
          </w:p>
        </w:tc>
        <w:tc>
          <w:tcPr>
            <w:tcW w:w="900" w:type="dxa"/>
            <w:vAlign w:val="bottom"/>
            <w:tcBorders>
              <w:top w:val="single" w:sz="8" w:color="7F7F7F"/>
            </w:tcBorders>
          </w:tcPr>
          <w:p>
            <w:pPr>
              <w:spacing w:after="0"/>
              <w:rPr>
                <w:sz w:val="22"/>
                <w:szCs w:val="22"/>
                <w:color w:val="auto"/>
              </w:rPr>
            </w:pPr>
          </w:p>
        </w:tc>
        <w:tc>
          <w:tcPr>
            <w:tcW w:w="1400" w:type="dxa"/>
            <w:vAlign w:val="bottom"/>
            <w:tcBorders>
              <w:top w:val="single" w:sz="8" w:color="7F7F7F"/>
            </w:tcBorders>
            <w:gridSpan w:val="2"/>
          </w:tcPr>
          <w:p>
            <w:pPr>
              <w:jc w:val="right"/>
              <w:ind w:right="99"/>
              <w:spacing w:after="0"/>
              <w:rPr>
                <w:sz w:val="20"/>
                <w:szCs w:val="20"/>
                <w:color w:val="auto"/>
              </w:rPr>
            </w:pPr>
            <w:r>
              <w:rPr>
                <w:rFonts w:ascii="Arial" w:cs="Arial" w:eastAsia="Arial" w:hAnsi="Arial"/>
                <w:sz w:val="16"/>
                <w:szCs w:val="16"/>
                <w:i w:val="1"/>
                <w:iCs w:val="1"/>
                <w:color w:val="auto"/>
              </w:rPr>
              <w:t>Accumulated</w:t>
            </w:r>
          </w:p>
        </w:tc>
        <w:tc>
          <w:tcPr>
            <w:tcW w:w="340" w:type="dxa"/>
            <w:vAlign w:val="bottom"/>
            <w:tcBorders>
              <w:top w:val="single" w:sz="8" w:color="7F7F7F"/>
            </w:tcBorders>
          </w:tcPr>
          <w:p>
            <w:pPr>
              <w:spacing w:after="0"/>
              <w:rPr>
                <w:sz w:val="22"/>
                <w:szCs w:val="22"/>
                <w:color w:val="auto"/>
              </w:rPr>
            </w:pPr>
          </w:p>
        </w:tc>
        <w:tc>
          <w:tcPr>
            <w:tcW w:w="960" w:type="dxa"/>
            <w:vAlign w:val="bottom"/>
            <w:tcBorders>
              <w:top w:val="single" w:sz="8" w:color="7F7F7F"/>
            </w:tcBorders>
          </w:tcPr>
          <w:p>
            <w:pPr>
              <w:jc w:val="right"/>
              <w:ind w:right="159"/>
              <w:spacing w:after="0"/>
              <w:rPr>
                <w:sz w:val="20"/>
                <w:szCs w:val="20"/>
                <w:color w:val="auto"/>
              </w:rPr>
            </w:pPr>
            <w:r>
              <w:rPr>
                <w:rFonts w:ascii="Arial" w:cs="Arial" w:eastAsia="Arial" w:hAnsi="Arial"/>
                <w:sz w:val="16"/>
                <w:szCs w:val="16"/>
                <w:i w:val="1"/>
                <w:iCs w:val="1"/>
                <w:color w:val="auto"/>
              </w:rPr>
              <w:t>Net Book</w:t>
            </w:r>
          </w:p>
        </w:tc>
        <w:tc>
          <w:tcPr>
            <w:tcW w:w="1020" w:type="dxa"/>
            <w:vAlign w:val="bottom"/>
            <w:tcBorders>
              <w:top w:val="single" w:sz="8" w:color="7F7F7F"/>
            </w:tcBorders>
            <w:gridSpan w:val="2"/>
          </w:tcPr>
          <w:p>
            <w:pPr>
              <w:jc w:val="right"/>
              <w:ind w:right="20"/>
              <w:spacing w:after="0"/>
              <w:rPr>
                <w:sz w:val="20"/>
                <w:szCs w:val="20"/>
                <w:color w:val="auto"/>
              </w:rPr>
            </w:pPr>
            <w:r>
              <w:rPr>
                <w:rFonts w:ascii="Arial" w:cs="Arial" w:eastAsia="Arial" w:hAnsi="Arial"/>
                <w:sz w:val="16"/>
                <w:szCs w:val="16"/>
                <w:i w:val="1"/>
                <w:iCs w:val="1"/>
                <w:color w:val="auto"/>
              </w:rPr>
              <w:t>Estimated</w:t>
            </w:r>
          </w:p>
        </w:tc>
      </w:tr>
      <w:tr>
        <w:trPr>
          <w:trHeight w:val="197"/>
        </w:trPr>
        <w:tc>
          <w:tcPr>
            <w:tcW w:w="3360" w:type="dxa"/>
            <w:vAlign w:val="bottom"/>
          </w:tcPr>
          <w:p>
            <w:pPr>
              <w:spacing w:after="0"/>
              <w:rPr>
                <w:sz w:val="20"/>
                <w:szCs w:val="20"/>
                <w:color w:val="auto"/>
              </w:rPr>
            </w:pPr>
            <w:r>
              <w:rPr>
                <w:rFonts w:ascii="Arial" w:cs="Arial" w:eastAsia="Arial" w:hAnsi="Arial"/>
                <w:sz w:val="16"/>
                <w:szCs w:val="16"/>
                <w:i w:val="1"/>
                <w:iCs w:val="1"/>
                <w:color w:val="auto"/>
              </w:rPr>
              <w:t>As of September 30, 2017</w:t>
            </w:r>
          </w:p>
        </w:tc>
        <w:tc>
          <w:tcPr>
            <w:tcW w:w="860" w:type="dxa"/>
            <w:vAlign w:val="bottom"/>
          </w:tcPr>
          <w:p>
            <w:pPr>
              <w:spacing w:after="0"/>
              <w:rPr>
                <w:sz w:val="17"/>
                <w:szCs w:val="17"/>
                <w:color w:val="auto"/>
              </w:rPr>
            </w:pPr>
          </w:p>
        </w:tc>
        <w:tc>
          <w:tcPr>
            <w:tcW w:w="900" w:type="dxa"/>
            <w:vAlign w:val="bottom"/>
          </w:tcPr>
          <w:p>
            <w:pPr>
              <w:jc w:val="right"/>
              <w:ind w:right="159"/>
              <w:spacing w:after="0"/>
              <w:rPr>
                <w:sz w:val="20"/>
                <w:szCs w:val="20"/>
                <w:color w:val="auto"/>
              </w:rPr>
            </w:pPr>
            <w:r>
              <w:rPr>
                <w:rFonts w:ascii="Arial" w:cs="Arial" w:eastAsia="Arial" w:hAnsi="Arial"/>
                <w:sz w:val="16"/>
                <w:szCs w:val="16"/>
                <w:i w:val="1"/>
                <w:iCs w:val="1"/>
                <w:color w:val="auto"/>
              </w:rPr>
              <w:t>Cost</w:t>
            </w:r>
          </w:p>
        </w:tc>
        <w:tc>
          <w:tcPr>
            <w:tcW w:w="1400" w:type="dxa"/>
            <w:vAlign w:val="bottom"/>
            <w:gridSpan w:val="2"/>
          </w:tcPr>
          <w:p>
            <w:pPr>
              <w:jc w:val="right"/>
              <w:ind w:right="99"/>
              <w:spacing w:after="0"/>
              <w:rPr>
                <w:sz w:val="20"/>
                <w:szCs w:val="20"/>
                <w:color w:val="auto"/>
              </w:rPr>
            </w:pPr>
            <w:r>
              <w:rPr>
                <w:rFonts w:ascii="Arial" w:cs="Arial" w:eastAsia="Arial" w:hAnsi="Arial"/>
                <w:sz w:val="16"/>
                <w:szCs w:val="16"/>
                <w:i w:val="1"/>
                <w:iCs w:val="1"/>
                <w:color w:val="auto"/>
              </w:rPr>
              <w:t>Depreciation</w:t>
            </w:r>
          </w:p>
        </w:tc>
        <w:tc>
          <w:tcPr>
            <w:tcW w:w="340" w:type="dxa"/>
            <w:vAlign w:val="bottom"/>
          </w:tcPr>
          <w:p>
            <w:pPr>
              <w:spacing w:after="0"/>
              <w:rPr>
                <w:sz w:val="17"/>
                <w:szCs w:val="17"/>
                <w:color w:val="auto"/>
              </w:rPr>
            </w:pPr>
          </w:p>
        </w:tc>
        <w:tc>
          <w:tcPr>
            <w:tcW w:w="960" w:type="dxa"/>
            <w:vAlign w:val="bottom"/>
          </w:tcPr>
          <w:p>
            <w:pPr>
              <w:jc w:val="right"/>
              <w:ind w:right="159"/>
              <w:spacing w:after="0"/>
              <w:rPr>
                <w:sz w:val="20"/>
                <w:szCs w:val="20"/>
                <w:color w:val="auto"/>
              </w:rPr>
            </w:pPr>
            <w:r>
              <w:rPr>
                <w:rFonts w:ascii="Arial" w:cs="Arial" w:eastAsia="Arial" w:hAnsi="Arial"/>
                <w:sz w:val="16"/>
                <w:szCs w:val="16"/>
                <w:i w:val="1"/>
                <w:iCs w:val="1"/>
                <w:color w:val="auto"/>
              </w:rPr>
              <w:t>Value</w:t>
            </w:r>
          </w:p>
        </w:tc>
        <w:tc>
          <w:tcPr>
            <w:tcW w:w="1020" w:type="dxa"/>
            <w:vAlign w:val="bottom"/>
            <w:gridSpan w:val="2"/>
          </w:tcPr>
          <w:p>
            <w:pPr>
              <w:jc w:val="right"/>
              <w:ind w:right="20"/>
              <w:spacing w:after="0"/>
              <w:rPr>
                <w:sz w:val="20"/>
                <w:szCs w:val="20"/>
                <w:color w:val="auto"/>
              </w:rPr>
            </w:pPr>
            <w:r>
              <w:rPr>
                <w:rFonts w:ascii="Arial" w:cs="Arial" w:eastAsia="Arial" w:hAnsi="Arial"/>
                <w:sz w:val="16"/>
                <w:szCs w:val="16"/>
                <w:i w:val="1"/>
                <w:iCs w:val="1"/>
                <w:color w:val="auto"/>
              </w:rPr>
              <w:t>Useful Life</w:t>
            </w:r>
          </w:p>
        </w:tc>
      </w:tr>
      <w:tr>
        <w:trPr>
          <w:trHeight w:val="309"/>
        </w:trPr>
        <w:tc>
          <w:tcPr>
            <w:tcW w:w="3360" w:type="dxa"/>
            <w:vAlign w:val="bottom"/>
            <w:tcBorders>
              <w:top w:val="single" w:sz="8" w:color="7F7F7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Land</w:t>
            </w:r>
          </w:p>
        </w:tc>
        <w:tc>
          <w:tcPr>
            <w:tcW w:w="860" w:type="dxa"/>
            <w:vAlign w:val="bottom"/>
            <w:tcBorders>
              <w:top w:val="single" w:sz="8" w:color="7F7F7F"/>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7F7F7F"/>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5,228</w:t>
            </w:r>
          </w:p>
        </w:tc>
        <w:tc>
          <w:tcPr>
            <w:tcW w:w="500" w:type="dxa"/>
            <w:vAlign w:val="bottom"/>
            <w:tcBorders>
              <w:top w:val="single" w:sz="8" w:color="7F7F7F"/>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7F7F7F"/>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N/A</w:t>
            </w:r>
          </w:p>
        </w:tc>
        <w:tc>
          <w:tcPr>
            <w:tcW w:w="340" w:type="dxa"/>
            <w:vAlign w:val="bottom"/>
            <w:tcBorders>
              <w:top w:val="single" w:sz="8" w:color="7F7F7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7F7F7F"/>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5,228</w:t>
            </w:r>
          </w:p>
        </w:tc>
        <w:tc>
          <w:tcPr>
            <w:tcW w:w="1000" w:type="dxa"/>
            <w:vAlign w:val="bottom"/>
            <w:tcBorders>
              <w:top w:val="single" w:sz="8" w:color="7F7F7F"/>
              <w:bottom w:val="single" w:sz="8" w:color="CCEEFF"/>
            </w:tcBorders>
            <w:shd w:val="clear" w:color="auto" w:fill="CCEEFF"/>
          </w:tcPr>
          <w:p>
            <w:pPr>
              <w:jc w:val="center"/>
              <w:ind w:left="659"/>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24"/>
                <w:szCs w:val="24"/>
                <w:color w:val="auto"/>
              </w:rPr>
            </w:pPr>
          </w:p>
        </w:tc>
      </w:tr>
      <w:tr>
        <w:trPr>
          <w:trHeight w:val="200"/>
        </w:trPr>
        <w:tc>
          <w:tcPr>
            <w:tcW w:w="3360" w:type="dxa"/>
            <w:vAlign w:val="bottom"/>
            <w:tcBorders>
              <w:top w:val="single" w:sz="8" w:color="7F7F7F"/>
            </w:tcBorders>
          </w:tcPr>
          <w:p>
            <w:pPr>
              <w:spacing w:after="0"/>
              <w:rPr>
                <w:sz w:val="20"/>
                <w:szCs w:val="20"/>
                <w:color w:val="auto"/>
              </w:rPr>
            </w:pPr>
            <w:r>
              <w:rPr>
                <w:rFonts w:ascii="Arial" w:cs="Arial" w:eastAsia="Arial" w:hAnsi="Arial"/>
                <w:sz w:val="16"/>
                <w:szCs w:val="16"/>
                <w:color w:val="auto"/>
              </w:rPr>
              <w:t>Road:</w:t>
            </w:r>
          </w:p>
        </w:tc>
        <w:tc>
          <w:tcPr>
            <w:tcW w:w="860" w:type="dxa"/>
            <w:vAlign w:val="bottom"/>
            <w:tcBorders>
              <w:top w:val="single" w:sz="8" w:color="7F7F7F"/>
            </w:tcBorders>
          </w:tcPr>
          <w:p>
            <w:pPr>
              <w:spacing w:after="0"/>
              <w:rPr>
                <w:sz w:val="17"/>
                <w:szCs w:val="17"/>
                <w:color w:val="auto"/>
              </w:rPr>
            </w:pPr>
          </w:p>
        </w:tc>
        <w:tc>
          <w:tcPr>
            <w:tcW w:w="900" w:type="dxa"/>
            <w:vAlign w:val="bottom"/>
            <w:tcBorders>
              <w:top w:val="single" w:sz="8" w:color="7F7F7F"/>
            </w:tcBorders>
          </w:tcPr>
          <w:p>
            <w:pPr>
              <w:spacing w:after="0"/>
              <w:rPr>
                <w:sz w:val="17"/>
                <w:szCs w:val="17"/>
                <w:color w:val="auto"/>
              </w:rPr>
            </w:pPr>
          </w:p>
        </w:tc>
        <w:tc>
          <w:tcPr>
            <w:tcW w:w="500" w:type="dxa"/>
            <w:vAlign w:val="bottom"/>
            <w:tcBorders>
              <w:top w:val="single" w:sz="8" w:color="7F7F7F"/>
            </w:tcBorders>
          </w:tcPr>
          <w:p>
            <w:pPr>
              <w:spacing w:after="0"/>
              <w:rPr>
                <w:sz w:val="17"/>
                <w:szCs w:val="17"/>
                <w:color w:val="auto"/>
              </w:rPr>
            </w:pPr>
          </w:p>
        </w:tc>
        <w:tc>
          <w:tcPr>
            <w:tcW w:w="900" w:type="dxa"/>
            <w:vAlign w:val="bottom"/>
            <w:tcBorders>
              <w:top w:val="single" w:sz="8" w:color="7F7F7F"/>
            </w:tcBorders>
          </w:tcPr>
          <w:p>
            <w:pPr>
              <w:spacing w:after="0"/>
              <w:rPr>
                <w:sz w:val="17"/>
                <w:szCs w:val="17"/>
                <w:color w:val="auto"/>
              </w:rPr>
            </w:pPr>
          </w:p>
        </w:tc>
        <w:tc>
          <w:tcPr>
            <w:tcW w:w="340" w:type="dxa"/>
            <w:vAlign w:val="bottom"/>
            <w:tcBorders>
              <w:top w:val="single" w:sz="8" w:color="7F7F7F"/>
            </w:tcBorders>
          </w:tcPr>
          <w:p>
            <w:pPr>
              <w:spacing w:after="0"/>
              <w:rPr>
                <w:sz w:val="17"/>
                <w:szCs w:val="17"/>
                <w:color w:val="auto"/>
              </w:rPr>
            </w:pPr>
          </w:p>
        </w:tc>
        <w:tc>
          <w:tcPr>
            <w:tcW w:w="960" w:type="dxa"/>
            <w:vAlign w:val="bottom"/>
            <w:tcBorders>
              <w:top w:val="single" w:sz="8" w:color="7F7F7F"/>
            </w:tcBorders>
          </w:tcPr>
          <w:p>
            <w:pPr>
              <w:spacing w:after="0"/>
              <w:rPr>
                <w:sz w:val="17"/>
                <w:szCs w:val="17"/>
                <w:color w:val="auto"/>
              </w:rPr>
            </w:pPr>
          </w:p>
        </w:tc>
        <w:tc>
          <w:tcPr>
            <w:tcW w:w="1000" w:type="dxa"/>
            <w:vAlign w:val="bottom"/>
            <w:tcBorders>
              <w:top w:val="single" w:sz="8" w:color="7F7F7F"/>
            </w:tcBorders>
          </w:tcPr>
          <w:p>
            <w:pPr>
              <w:spacing w:after="0"/>
              <w:rPr>
                <w:sz w:val="17"/>
                <w:szCs w:val="17"/>
                <w:color w:val="auto"/>
              </w:rPr>
            </w:pPr>
          </w:p>
        </w:tc>
        <w:tc>
          <w:tcPr>
            <w:tcW w:w="20" w:type="dxa"/>
            <w:vAlign w:val="bottom"/>
          </w:tcPr>
          <w:p>
            <w:pPr>
              <w:spacing w:after="0"/>
              <w:rPr>
                <w:sz w:val="17"/>
                <w:szCs w:val="17"/>
                <w:color w:val="auto"/>
              </w:rPr>
            </w:pPr>
          </w:p>
        </w:tc>
      </w:tr>
      <w:tr>
        <w:trPr>
          <w:trHeight w:val="219"/>
        </w:trPr>
        <w:tc>
          <w:tcPr>
            <w:tcW w:w="33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Rail and other track material</w:t>
            </w:r>
          </w:p>
        </w:tc>
        <w:tc>
          <w:tcPr>
            <w:tcW w:w="8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16,226</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5,869</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10,357</w:t>
            </w:r>
          </w:p>
        </w:tc>
        <w:tc>
          <w:tcPr>
            <w:tcW w:w="1000" w:type="dxa"/>
            <w:vAlign w:val="bottom"/>
            <w:shd w:val="clear" w:color="auto" w:fill="CCEEFF"/>
          </w:tcPr>
          <w:p>
            <w:pPr>
              <w:jc w:val="center"/>
              <w:ind w:left="659"/>
              <w:spacing w:after="0"/>
              <w:rPr>
                <w:sz w:val="20"/>
                <w:szCs w:val="20"/>
                <w:color w:val="auto"/>
              </w:rPr>
            </w:pPr>
            <w:r>
              <w:rPr>
                <w:rFonts w:ascii="Arial" w:cs="Arial" w:eastAsia="Arial" w:hAnsi="Arial"/>
                <w:sz w:val="16"/>
                <w:szCs w:val="16"/>
                <w:color w:val="auto"/>
              </w:rPr>
              <w:t>43</w:t>
            </w:r>
          </w:p>
        </w:tc>
        <w:tc>
          <w:tcPr>
            <w:tcW w:w="20" w:type="dxa"/>
            <w:vAlign w:val="bottom"/>
          </w:tcPr>
          <w:p>
            <w:pPr>
              <w:spacing w:after="0"/>
              <w:rPr>
                <w:sz w:val="19"/>
                <w:szCs w:val="19"/>
                <w:color w:val="auto"/>
              </w:rPr>
            </w:pPr>
          </w:p>
        </w:tc>
      </w:tr>
      <w:tr>
        <w:trPr>
          <w:trHeight w:val="213"/>
        </w:trPr>
        <w:tc>
          <w:tcPr>
            <w:tcW w:w="3360" w:type="dxa"/>
            <w:vAlign w:val="bottom"/>
          </w:tcPr>
          <w:p>
            <w:pPr>
              <w:ind w:left="100"/>
              <w:spacing w:after="0"/>
              <w:rPr>
                <w:sz w:val="20"/>
                <w:szCs w:val="20"/>
                <w:color w:val="auto"/>
              </w:rPr>
            </w:pPr>
            <w:r>
              <w:rPr>
                <w:rFonts w:ascii="Arial" w:cs="Arial" w:eastAsia="Arial" w:hAnsi="Arial"/>
                <w:sz w:val="16"/>
                <w:szCs w:val="16"/>
                <w:color w:val="auto"/>
              </w:rPr>
              <w:t>Ties</w:t>
            </w:r>
          </w:p>
        </w:tc>
        <w:tc>
          <w:tcPr>
            <w:tcW w:w="860" w:type="dxa"/>
            <w:vAlign w:val="bottom"/>
          </w:tcPr>
          <w:p>
            <w:pPr>
              <w:spacing w:after="0"/>
              <w:rPr>
                <w:sz w:val="18"/>
                <w:szCs w:val="18"/>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10,084</w:t>
            </w:r>
          </w:p>
        </w:tc>
        <w:tc>
          <w:tcPr>
            <w:tcW w:w="500" w:type="dxa"/>
            <w:vAlign w:val="bottom"/>
          </w:tcPr>
          <w:p>
            <w:pPr>
              <w:spacing w:after="0"/>
              <w:rPr>
                <w:sz w:val="18"/>
                <w:szCs w:val="18"/>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2,863</w:t>
            </w:r>
          </w:p>
        </w:tc>
        <w:tc>
          <w:tcPr>
            <w:tcW w:w="34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7,221</w:t>
            </w:r>
          </w:p>
        </w:tc>
        <w:tc>
          <w:tcPr>
            <w:tcW w:w="1000" w:type="dxa"/>
            <w:vAlign w:val="bottom"/>
          </w:tcPr>
          <w:p>
            <w:pPr>
              <w:jc w:val="center"/>
              <w:ind w:left="659"/>
              <w:spacing w:after="0"/>
              <w:rPr>
                <w:sz w:val="20"/>
                <w:szCs w:val="20"/>
                <w:color w:val="auto"/>
              </w:rPr>
            </w:pPr>
            <w:r>
              <w:rPr>
                <w:rFonts w:ascii="Arial" w:cs="Arial" w:eastAsia="Arial" w:hAnsi="Arial"/>
                <w:sz w:val="16"/>
                <w:szCs w:val="16"/>
                <w:color w:val="auto"/>
              </w:rPr>
              <w:t>33</w:t>
            </w:r>
          </w:p>
        </w:tc>
        <w:tc>
          <w:tcPr>
            <w:tcW w:w="20" w:type="dxa"/>
            <w:vAlign w:val="bottom"/>
          </w:tcPr>
          <w:p>
            <w:pPr>
              <w:spacing w:after="0"/>
              <w:rPr>
                <w:sz w:val="18"/>
                <w:szCs w:val="18"/>
                <w:color w:val="auto"/>
              </w:rPr>
            </w:pPr>
          </w:p>
        </w:tc>
      </w:tr>
      <w:tr>
        <w:trPr>
          <w:trHeight w:val="219"/>
        </w:trPr>
        <w:tc>
          <w:tcPr>
            <w:tcW w:w="33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Ballast</w:t>
            </w:r>
          </w:p>
        </w:tc>
        <w:tc>
          <w:tcPr>
            <w:tcW w:w="8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5,376</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1,493</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3,883</w:t>
            </w:r>
          </w:p>
        </w:tc>
        <w:tc>
          <w:tcPr>
            <w:tcW w:w="1000" w:type="dxa"/>
            <w:vAlign w:val="bottom"/>
            <w:shd w:val="clear" w:color="auto" w:fill="CCEEFF"/>
          </w:tcPr>
          <w:p>
            <w:pPr>
              <w:jc w:val="center"/>
              <w:ind w:left="659"/>
              <w:spacing w:after="0"/>
              <w:rPr>
                <w:sz w:val="20"/>
                <w:szCs w:val="20"/>
                <w:color w:val="auto"/>
              </w:rPr>
            </w:pPr>
            <w:r>
              <w:rPr>
                <w:rFonts w:ascii="Arial" w:cs="Arial" w:eastAsia="Arial" w:hAnsi="Arial"/>
                <w:sz w:val="16"/>
                <w:szCs w:val="16"/>
                <w:color w:val="auto"/>
              </w:rPr>
              <w:t>34</w:t>
            </w:r>
          </w:p>
        </w:tc>
        <w:tc>
          <w:tcPr>
            <w:tcW w:w="20" w:type="dxa"/>
            <w:vAlign w:val="bottom"/>
          </w:tcPr>
          <w:p>
            <w:pPr>
              <w:spacing w:after="0"/>
              <w:rPr>
                <w:sz w:val="19"/>
                <w:szCs w:val="19"/>
                <w:color w:val="auto"/>
              </w:rPr>
            </w:pPr>
          </w:p>
        </w:tc>
      </w:tr>
      <w:tr>
        <w:trPr>
          <w:trHeight w:val="210"/>
        </w:trPr>
        <w:tc>
          <w:tcPr>
            <w:tcW w:w="3360" w:type="dxa"/>
            <w:vAlign w:val="bottom"/>
            <w:tcBorders>
              <w:bottom w:val="single" w:sz="8" w:color="7F7F7F"/>
            </w:tcBorders>
          </w:tcPr>
          <w:p>
            <w:pPr>
              <w:ind w:left="100"/>
              <w:spacing w:after="0"/>
              <w:rPr>
                <w:sz w:val="20"/>
                <w:szCs w:val="20"/>
                <w:color w:val="auto"/>
              </w:rPr>
            </w:pPr>
            <w:r>
              <w:rPr>
                <w:rFonts w:ascii="Arial" w:cs="Arial" w:eastAsia="Arial" w:hAnsi="Arial"/>
                <w:sz w:val="16"/>
                <w:szCs w:val="16"/>
                <w:color w:val="auto"/>
              </w:rPr>
              <w:t>Other roadway [a]</w:t>
            </w:r>
          </w:p>
        </w:tc>
        <w:tc>
          <w:tcPr>
            <w:tcW w:w="860" w:type="dxa"/>
            <w:vAlign w:val="bottom"/>
            <w:tcBorders>
              <w:bottom w:val="single" w:sz="8" w:color="7F7F7F"/>
            </w:tcBorders>
          </w:tcPr>
          <w:p>
            <w:pPr>
              <w:spacing w:after="0"/>
              <w:rPr>
                <w:sz w:val="18"/>
                <w:szCs w:val="18"/>
                <w:color w:val="auto"/>
              </w:rPr>
            </w:pPr>
          </w:p>
        </w:tc>
        <w:tc>
          <w:tcPr>
            <w:tcW w:w="900" w:type="dxa"/>
            <w:vAlign w:val="bottom"/>
            <w:tcBorders>
              <w:bottom w:val="single" w:sz="8" w:color="7F7F7F"/>
            </w:tcBorders>
          </w:tcPr>
          <w:p>
            <w:pPr>
              <w:jc w:val="right"/>
              <w:ind w:right="199"/>
              <w:spacing w:after="0"/>
              <w:rPr>
                <w:sz w:val="20"/>
                <w:szCs w:val="20"/>
                <w:color w:val="auto"/>
              </w:rPr>
            </w:pPr>
            <w:r>
              <w:rPr>
                <w:rFonts w:ascii="Arial" w:cs="Arial" w:eastAsia="Arial" w:hAnsi="Arial"/>
                <w:sz w:val="16"/>
                <w:szCs w:val="16"/>
                <w:color w:val="auto"/>
              </w:rPr>
              <w:t>18,732</w:t>
            </w:r>
          </w:p>
        </w:tc>
        <w:tc>
          <w:tcPr>
            <w:tcW w:w="500" w:type="dxa"/>
            <w:vAlign w:val="bottom"/>
            <w:tcBorders>
              <w:bottom w:val="single" w:sz="8" w:color="7F7F7F"/>
            </w:tcBorders>
          </w:tcPr>
          <w:p>
            <w:pPr>
              <w:spacing w:after="0"/>
              <w:rPr>
                <w:sz w:val="18"/>
                <w:szCs w:val="18"/>
                <w:color w:val="auto"/>
              </w:rPr>
            </w:pPr>
          </w:p>
        </w:tc>
        <w:tc>
          <w:tcPr>
            <w:tcW w:w="900" w:type="dxa"/>
            <w:vAlign w:val="bottom"/>
            <w:tcBorders>
              <w:bottom w:val="single" w:sz="8" w:color="7F7F7F"/>
            </w:tcBorders>
          </w:tcPr>
          <w:p>
            <w:pPr>
              <w:jc w:val="right"/>
              <w:ind w:right="139"/>
              <w:spacing w:after="0"/>
              <w:rPr>
                <w:sz w:val="20"/>
                <w:szCs w:val="20"/>
                <w:color w:val="auto"/>
              </w:rPr>
            </w:pPr>
            <w:r>
              <w:rPr>
                <w:rFonts w:ascii="Arial" w:cs="Arial" w:eastAsia="Arial" w:hAnsi="Arial"/>
                <w:sz w:val="16"/>
                <w:szCs w:val="16"/>
                <w:color w:val="auto"/>
              </w:rPr>
              <w:t>3,420</w:t>
            </w:r>
          </w:p>
        </w:tc>
        <w:tc>
          <w:tcPr>
            <w:tcW w:w="340" w:type="dxa"/>
            <w:vAlign w:val="bottom"/>
            <w:tcBorders>
              <w:bottom w:val="single" w:sz="8" w:color="7F7F7F"/>
            </w:tcBorders>
          </w:tcPr>
          <w:p>
            <w:pPr>
              <w:spacing w:after="0"/>
              <w:rPr>
                <w:sz w:val="18"/>
                <w:szCs w:val="18"/>
                <w:color w:val="auto"/>
              </w:rPr>
            </w:pPr>
          </w:p>
        </w:tc>
        <w:tc>
          <w:tcPr>
            <w:tcW w:w="960" w:type="dxa"/>
            <w:vAlign w:val="bottom"/>
            <w:tcBorders>
              <w:bottom w:val="single" w:sz="8" w:color="7F7F7F"/>
            </w:tcBorders>
          </w:tcPr>
          <w:p>
            <w:pPr>
              <w:jc w:val="right"/>
              <w:ind w:right="199"/>
              <w:spacing w:after="0"/>
              <w:rPr>
                <w:sz w:val="20"/>
                <w:szCs w:val="20"/>
                <w:color w:val="auto"/>
              </w:rPr>
            </w:pPr>
            <w:r>
              <w:rPr>
                <w:rFonts w:ascii="Arial" w:cs="Arial" w:eastAsia="Arial" w:hAnsi="Arial"/>
                <w:sz w:val="16"/>
                <w:szCs w:val="16"/>
                <w:color w:val="auto"/>
              </w:rPr>
              <w:t>15,312</w:t>
            </w:r>
          </w:p>
        </w:tc>
        <w:tc>
          <w:tcPr>
            <w:tcW w:w="1000" w:type="dxa"/>
            <w:vAlign w:val="bottom"/>
            <w:tcBorders>
              <w:bottom w:val="single" w:sz="8" w:color="7F7F7F"/>
            </w:tcBorders>
          </w:tcPr>
          <w:p>
            <w:pPr>
              <w:jc w:val="center"/>
              <w:ind w:left="659"/>
              <w:spacing w:after="0"/>
              <w:rPr>
                <w:sz w:val="20"/>
                <w:szCs w:val="20"/>
                <w:color w:val="auto"/>
              </w:rPr>
            </w:pPr>
            <w:r>
              <w:rPr>
                <w:rFonts w:ascii="Arial" w:cs="Arial" w:eastAsia="Arial" w:hAnsi="Arial"/>
                <w:sz w:val="16"/>
                <w:szCs w:val="16"/>
                <w:color w:val="auto"/>
              </w:rPr>
              <w:t>47</w:t>
            </w:r>
          </w:p>
        </w:tc>
        <w:tc>
          <w:tcPr>
            <w:tcW w:w="20" w:type="dxa"/>
            <w:vAlign w:val="bottom"/>
          </w:tcPr>
          <w:p>
            <w:pPr>
              <w:spacing w:after="0"/>
              <w:rPr>
                <w:sz w:val="18"/>
                <w:szCs w:val="18"/>
                <w:color w:val="auto"/>
              </w:rPr>
            </w:pPr>
          </w:p>
        </w:tc>
      </w:tr>
      <w:tr>
        <w:trPr>
          <w:trHeight w:val="309"/>
        </w:trPr>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road</w:t>
            </w:r>
          </w:p>
        </w:tc>
        <w:tc>
          <w:tcPr>
            <w:tcW w:w="8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50,418</w:t>
            </w:r>
          </w:p>
        </w:tc>
        <w:tc>
          <w:tcPr>
            <w:tcW w:w="5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13,645</w:t>
            </w:r>
          </w:p>
        </w:tc>
        <w:tc>
          <w:tcPr>
            <w:tcW w:w="3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36,773</w:t>
            </w:r>
          </w:p>
        </w:tc>
        <w:tc>
          <w:tcPr>
            <w:tcW w:w="1000" w:type="dxa"/>
            <w:vAlign w:val="bottom"/>
            <w:tcBorders>
              <w:bottom w:val="single" w:sz="8" w:color="CCEEFF"/>
            </w:tcBorders>
            <w:shd w:val="clear" w:color="auto" w:fill="CCEEFF"/>
          </w:tcPr>
          <w:p>
            <w:pPr>
              <w:jc w:val="center"/>
              <w:ind w:left="659"/>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24"/>
                <w:szCs w:val="24"/>
                <w:color w:val="auto"/>
              </w:rPr>
            </w:pPr>
          </w:p>
        </w:tc>
      </w:tr>
      <w:tr>
        <w:trPr>
          <w:trHeight w:val="200"/>
        </w:trPr>
        <w:tc>
          <w:tcPr>
            <w:tcW w:w="3360" w:type="dxa"/>
            <w:vAlign w:val="bottom"/>
            <w:tcBorders>
              <w:top w:val="single" w:sz="8" w:color="7F7F7F"/>
            </w:tcBorders>
          </w:tcPr>
          <w:p>
            <w:pPr>
              <w:spacing w:after="0"/>
              <w:rPr>
                <w:sz w:val="20"/>
                <w:szCs w:val="20"/>
                <w:color w:val="auto"/>
              </w:rPr>
            </w:pPr>
            <w:r>
              <w:rPr>
                <w:rFonts w:ascii="Arial" w:cs="Arial" w:eastAsia="Arial" w:hAnsi="Arial"/>
                <w:sz w:val="16"/>
                <w:szCs w:val="16"/>
                <w:color w:val="auto"/>
              </w:rPr>
              <w:t>Equipment:</w:t>
            </w:r>
          </w:p>
        </w:tc>
        <w:tc>
          <w:tcPr>
            <w:tcW w:w="860" w:type="dxa"/>
            <w:vAlign w:val="bottom"/>
            <w:tcBorders>
              <w:top w:val="single" w:sz="8" w:color="7F7F7F"/>
            </w:tcBorders>
          </w:tcPr>
          <w:p>
            <w:pPr>
              <w:spacing w:after="0"/>
              <w:rPr>
                <w:sz w:val="17"/>
                <w:szCs w:val="17"/>
                <w:color w:val="auto"/>
              </w:rPr>
            </w:pPr>
          </w:p>
        </w:tc>
        <w:tc>
          <w:tcPr>
            <w:tcW w:w="900" w:type="dxa"/>
            <w:vAlign w:val="bottom"/>
            <w:tcBorders>
              <w:top w:val="single" w:sz="8" w:color="7F7F7F"/>
            </w:tcBorders>
          </w:tcPr>
          <w:p>
            <w:pPr>
              <w:spacing w:after="0"/>
              <w:rPr>
                <w:sz w:val="17"/>
                <w:szCs w:val="17"/>
                <w:color w:val="auto"/>
              </w:rPr>
            </w:pPr>
          </w:p>
        </w:tc>
        <w:tc>
          <w:tcPr>
            <w:tcW w:w="500" w:type="dxa"/>
            <w:vAlign w:val="bottom"/>
            <w:tcBorders>
              <w:top w:val="single" w:sz="8" w:color="7F7F7F"/>
            </w:tcBorders>
          </w:tcPr>
          <w:p>
            <w:pPr>
              <w:spacing w:after="0"/>
              <w:rPr>
                <w:sz w:val="17"/>
                <w:szCs w:val="17"/>
                <w:color w:val="auto"/>
              </w:rPr>
            </w:pPr>
          </w:p>
        </w:tc>
        <w:tc>
          <w:tcPr>
            <w:tcW w:w="900" w:type="dxa"/>
            <w:vAlign w:val="bottom"/>
            <w:tcBorders>
              <w:top w:val="single" w:sz="8" w:color="7F7F7F"/>
            </w:tcBorders>
          </w:tcPr>
          <w:p>
            <w:pPr>
              <w:spacing w:after="0"/>
              <w:rPr>
                <w:sz w:val="17"/>
                <w:szCs w:val="17"/>
                <w:color w:val="auto"/>
              </w:rPr>
            </w:pPr>
          </w:p>
        </w:tc>
        <w:tc>
          <w:tcPr>
            <w:tcW w:w="340" w:type="dxa"/>
            <w:vAlign w:val="bottom"/>
            <w:tcBorders>
              <w:top w:val="single" w:sz="8" w:color="7F7F7F"/>
            </w:tcBorders>
          </w:tcPr>
          <w:p>
            <w:pPr>
              <w:spacing w:after="0"/>
              <w:rPr>
                <w:sz w:val="17"/>
                <w:szCs w:val="17"/>
                <w:color w:val="auto"/>
              </w:rPr>
            </w:pPr>
          </w:p>
        </w:tc>
        <w:tc>
          <w:tcPr>
            <w:tcW w:w="960" w:type="dxa"/>
            <w:vAlign w:val="bottom"/>
            <w:tcBorders>
              <w:top w:val="single" w:sz="8" w:color="7F7F7F"/>
            </w:tcBorders>
          </w:tcPr>
          <w:p>
            <w:pPr>
              <w:spacing w:after="0"/>
              <w:rPr>
                <w:sz w:val="17"/>
                <w:szCs w:val="17"/>
                <w:color w:val="auto"/>
              </w:rPr>
            </w:pPr>
          </w:p>
        </w:tc>
        <w:tc>
          <w:tcPr>
            <w:tcW w:w="1000" w:type="dxa"/>
            <w:vAlign w:val="bottom"/>
            <w:tcBorders>
              <w:top w:val="single" w:sz="8" w:color="7F7F7F"/>
            </w:tcBorders>
          </w:tcPr>
          <w:p>
            <w:pPr>
              <w:spacing w:after="0"/>
              <w:rPr>
                <w:sz w:val="17"/>
                <w:szCs w:val="17"/>
                <w:color w:val="auto"/>
              </w:rPr>
            </w:pPr>
          </w:p>
        </w:tc>
        <w:tc>
          <w:tcPr>
            <w:tcW w:w="20" w:type="dxa"/>
            <w:vAlign w:val="bottom"/>
          </w:tcPr>
          <w:p>
            <w:pPr>
              <w:spacing w:after="0"/>
              <w:rPr>
                <w:sz w:val="17"/>
                <w:szCs w:val="17"/>
                <w:color w:val="auto"/>
              </w:rPr>
            </w:pPr>
          </w:p>
        </w:tc>
      </w:tr>
      <w:tr>
        <w:trPr>
          <w:trHeight w:val="219"/>
        </w:trPr>
        <w:tc>
          <w:tcPr>
            <w:tcW w:w="33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Locomotives</w:t>
            </w:r>
          </w:p>
        </w:tc>
        <w:tc>
          <w:tcPr>
            <w:tcW w:w="8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9,309</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3,606</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5,703</w:t>
            </w:r>
          </w:p>
        </w:tc>
        <w:tc>
          <w:tcPr>
            <w:tcW w:w="1000" w:type="dxa"/>
            <w:vAlign w:val="bottom"/>
            <w:shd w:val="clear" w:color="auto" w:fill="CCEEFF"/>
          </w:tcPr>
          <w:p>
            <w:pPr>
              <w:jc w:val="center"/>
              <w:ind w:left="659"/>
              <w:spacing w:after="0"/>
              <w:rPr>
                <w:sz w:val="20"/>
                <w:szCs w:val="20"/>
                <w:color w:val="auto"/>
              </w:rPr>
            </w:pPr>
            <w:r>
              <w:rPr>
                <w:rFonts w:ascii="Arial" w:cs="Arial" w:eastAsia="Arial" w:hAnsi="Arial"/>
                <w:sz w:val="16"/>
                <w:szCs w:val="16"/>
                <w:color w:val="auto"/>
              </w:rPr>
              <w:t>20</w:t>
            </w:r>
          </w:p>
        </w:tc>
        <w:tc>
          <w:tcPr>
            <w:tcW w:w="20" w:type="dxa"/>
            <w:vAlign w:val="bottom"/>
          </w:tcPr>
          <w:p>
            <w:pPr>
              <w:spacing w:after="0"/>
              <w:rPr>
                <w:sz w:val="19"/>
                <w:szCs w:val="19"/>
                <w:color w:val="auto"/>
              </w:rPr>
            </w:pPr>
          </w:p>
        </w:tc>
      </w:tr>
      <w:tr>
        <w:trPr>
          <w:trHeight w:val="213"/>
        </w:trPr>
        <w:tc>
          <w:tcPr>
            <w:tcW w:w="3360" w:type="dxa"/>
            <w:vAlign w:val="bottom"/>
          </w:tcPr>
          <w:p>
            <w:pPr>
              <w:ind w:left="100"/>
              <w:spacing w:after="0"/>
              <w:rPr>
                <w:sz w:val="20"/>
                <w:szCs w:val="20"/>
                <w:color w:val="auto"/>
              </w:rPr>
            </w:pPr>
            <w:r>
              <w:rPr>
                <w:rFonts w:ascii="Arial" w:cs="Arial" w:eastAsia="Arial" w:hAnsi="Arial"/>
                <w:sz w:val="16"/>
                <w:szCs w:val="16"/>
                <w:color w:val="auto"/>
              </w:rPr>
              <w:t>Freight cars</w:t>
            </w:r>
          </w:p>
        </w:tc>
        <w:tc>
          <w:tcPr>
            <w:tcW w:w="860" w:type="dxa"/>
            <w:vAlign w:val="bottom"/>
          </w:tcPr>
          <w:p>
            <w:pPr>
              <w:spacing w:after="0"/>
              <w:rPr>
                <w:sz w:val="18"/>
                <w:szCs w:val="18"/>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2,254</w:t>
            </w:r>
          </w:p>
        </w:tc>
        <w:tc>
          <w:tcPr>
            <w:tcW w:w="500" w:type="dxa"/>
            <w:vAlign w:val="bottom"/>
          </w:tcPr>
          <w:p>
            <w:pPr>
              <w:spacing w:after="0"/>
              <w:rPr>
                <w:sz w:val="18"/>
                <w:szCs w:val="18"/>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980</w:t>
            </w:r>
          </w:p>
        </w:tc>
        <w:tc>
          <w:tcPr>
            <w:tcW w:w="34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1,274</w:t>
            </w:r>
          </w:p>
        </w:tc>
        <w:tc>
          <w:tcPr>
            <w:tcW w:w="1000" w:type="dxa"/>
            <w:vAlign w:val="bottom"/>
          </w:tcPr>
          <w:p>
            <w:pPr>
              <w:jc w:val="center"/>
              <w:ind w:left="659"/>
              <w:spacing w:after="0"/>
              <w:rPr>
                <w:sz w:val="20"/>
                <w:szCs w:val="20"/>
                <w:color w:val="auto"/>
              </w:rPr>
            </w:pPr>
            <w:r>
              <w:rPr>
                <w:rFonts w:ascii="Arial" w:cs="Arial" w:eastAsia="Arial" w:hAnsi="Arial"/>
                <w:sz w:val="16"/>
                <w:szCs w:val="16"/>
                <w:color w:val="auto"/>
              </w:rPr>
              <w:t>24</w:t>
            </w:r>
          </w:p>
        </w:tc>
        <w:tc>
          <w:tcPr>
            <w:tcW w:w="20" w:type="dxa"/>
            <w:vAlign w:val="bottom"/>
          </w:tcPr>
          <w:p>
            <w:pPr>
              <w:spacing w:after="0"/>
              <w:rPr>
                <w:sz w:val="18"/>
                <w:szCs w:val="18"/>
                <w:color w:val="auto"/>
              </w:rPr>
            </w:pPr>
          </w:p>
        </w:tc>
      </w:tr>
      <w:tr>
        <w:trPr>
          <w:trHeight w:val="213"/>
        </w:trPr>
        <w:tc>
          <w:tcPr>
            <w:tcW w:w="3360" w:type="dxa"/>
            <w:vAlign w:val="bottom"/>
            <w:tcBorders>
              <w:bottom w:val="single" w:sz="8" w:color="7F7F7F"/>
            </w:tcBorders>
            <w:shd w:val="clear" w:color="auto" w:fill="CCEEFF"/>
          </w:tcPr>
          <w:p>
            <w:pPr>
              <w:ind w:left="100"/>
              <w:spacing w:after="0"/>
              <w:rPr>
                <w:sz w:val="20"/>
                <w:szCs w:val="20"/>
                <w:color w:val="auto"/>
              </w:rPr>
            </w:pPr>
            <w:r>
              <w:rPr>
                <w:rFonts w:ascii="Arial" w:cs="Arial" w:eastAsia="Arial" w:hAnsi="Arial"/>
                <w:sz w:val="16"/>
                <w:szCs w:val="16"/>
                <w:color w:val="auto"/>
              </w:rPr>
              <w:t>Work equipment and other</w:t>
            </w:r>
          </w:p>
        </w:tc>
        <w:tc>
          <w:tcPr>
            <w:tcW w:w="860" w:type="dxa"/>
            <w:vAlign w:val="bottom"/>
            <w:tcBorders>
              <w:bottom w:val="single" w:sz="8" w:color="7F7F7F"/>
            </w:tcBorders>
            <w:shd w:val="clear" w:color="auto" w:fill="CCEEFF"/>
          </w:tcPr>
          <w:p>
            <w:pPr>
              <w:spacing w:after="0"/>
              <w:rPr>
                <w:sz w:val="18"/>
                <w:szCs w:val="18"/>
                <w:color w:val="auto"/>
              </w:rPr>
            </w:pPr>
          </w:p>
        </w:tc>
        <w:tc>
          <w:tcPr>
            <w:tcW w:w="900" w:type="dxa"/>
            <w:vAlign w:val="bottom"/>
            <w:tcBorders>
              <w:bottom w:val="single" w:sz="8" w:color="7F7F7F"/>
            </w:tcBorders>
            <w:shd w:val="clear" w:color="auto" w:fill="CCEEFF"/>
          </w:tcPr>
          <w:p>
            <w:pPr>
              <w:jc w:val="right"/>
              <w:ind w:right="199"/>
              <w:spacing w:after="0"/>
              <w:rPr>
                <w:sz w:val="20"/>
                <w:szCs w:val="20"/>
                <w:color w:val="auto"/>
              </w:rPr>
            </w:pPr>
            <w:r>
              <w:rPr>
                <w:rFonts w:ascii="Arial" w:cs="Arial" w:eastAsia="Arial" w:hAnsi="Arial"/>
                <w:sz w:val="16"/>
                <w:szCs w:val="16"/>
                <w:color w:val="auto"/>
              </w:rPr>
              <w:t>939</w:t>
            </w:r>
          </w:p>
        </w:tc>
        <w:tc>
          <w:tcPr>
            <w:tcW w:w="500" w:type="dxa"/>
            <w:vAlign w:val="bottom"/>
            <w:tcBorders>
              <w:bottom w:val="single" w:sz="8" w:color="7F7F7F"/>
            </w:tcBorders>
            <w:shd w:val="clear" w:color="auto" w:fill="CCEEFF"/>
          </w:tcPr>
          <w:p>
            <w:pPr>
              <w:spacing w:after="0"/>
              <w:rPr>
                <w:sz w:val="18"/>
                <w:szCs w:val="18"/>
                <w:color w:val="auto"/>
              </w:rPr>
            </w:pPr>
          </w:p>
        </w:tc>
        <w:tc>
          <w:tcPr>
            <w:tcW w:w="900" w:type="dxa"/>
            <w:vAlign w:val="bottom"/>
            <w:tcBorders>
              <w:bottom w:val="single" w:sz="8" w:color="7F7F7F"/>
            </w:tcBorders>
            <w:shd w:val="clear" w:color="auto" w:fill="CCEEFF"/>
          </w:tcPr>
          <w:p>
            <w:pPr>
              <w:jc w:val="right"/>
              <w:ind w:right="139"/>
              <w:spacing w:after="0"/>
              <w:rPr>
                <w:sz w:val="20"/>
                <w:szCs w:val="20"/>
                <w:color w:val="auto"/>
              </w:rPr>
            </w:pPr>
            <w:r>
              <w:rPr>
                <w:rFonts w:ascii="Arial" w:cs="Arial" w:eastAsia="Arial" w:hAnsi="Arial"/>
                <w:sz w:val="16"/>
                <w:szCs w:val="16"/>
                <w:color w:val="auto"/>
              </w:rPr>
              <w:t>263</w:t>
            </w:r>
          </w:p>
        </w:tc>
        <w:tc>
          <w:tcPr>
            <w:tcW w:w="340" w:type="dxa"/>
            <w:vAlign w:val="bottom"/>
            <w:tcBorders>
              <w:bottom w:val="single" w:sz="8" w:color="7F7F7F"/>
            </w:tcBorders>
            <w:shd w:val="clear" w:color="auto" w:fill="CCEEFF"/>
          </w:tcPr>
          <w:p>
            <w:pPr>
              <w:spacing w:after="0"/>
              <w:rPr>
                <w:sz w:val="18"/>
                <w:szCs w:val="18"/>
                <w:color w:val="auto"/>
              </w:rPr>
            </w:pPr>
          </w:p>
        </w:tc>
        <w:tc>
          <w:tcPr>
            <w:tcW w:w="960" w:type="dxa"/>
            <w:vAlign w:val="bottom"/>
            <w:tcBorders>
              <w:bottom w:val="single" w:sz="8" w:color="7F7F7F"/>
            </w:tcBorders>
            <w:shd w:val="clear" w:color="auto" w:fill="CCEEFF"/>
          </w:tcPr>
          <w:p>
            <w:pPr>
              <w:jc w:val="right"/>
              <w:ind w:right="199"/>
              <w:spacing w:after="0"/>
              <w:rPr>
                <w:sz w:val="20"/>
                <w:szCs w:val="20"/>
                <w:color w:val="auto"/>
              </w:rPr>
            </w:pPr>
            <w:r>
              <w:rPr>
                <w:rFonts w:ascii="Arial" w:cs="Arial" w:eastAsia="Arial" w:hAnsi="Arial"/>
                <w:sz w:val="16"/>
                <w:szCs w:val="16"/>
                <w:color w:val="auto"/>
              </w:rPr>
              <w:t>676</w:t>
            </w:r>
          </w:p>
        </w:tc>
        <w:tc>
          <w:tcPr>
            <w:tcW w:w="1000" w:type="dxa"/>
            <w:vAlign w:val="bottom"/>
            <w:tcBorders>
              <w:bottom w:val="single" w:sz="8" w:color="7F7F7F"/>
            </w:tcBorders>
            <w:shd w:val="clear" w:color="auto" w:fill="CCEEFF"/>
          </w:tcPr>
          <w:p>
            <w:pPr>
              <w:jc w:val="center"/>
              <w:ind w:left="659"/>
              <w:spacing w:after="0"/>
              <w:rPr>
                <w:sz w:val="20"/>
                <w:szCs w:val="20"/>
                <w:color w:val="auto"/>
              </w:rPr>
            </w:pPr>
            <w:r>
              <w:rPr>
                <w:rFonts w:ascii="Arial" w:cs="Arial" w:eastAsia="Arial" w:hAnsi="Arial"/>
                <w:sz w:val="16"/>
                <w:szCs w:val="16"/>
                <w:color w:val="auto"/>
              </w:rPr>
              <w:t>19</w:t>
            </w:r>
          </w:p>
        </w:tc>
        <w:tc>
          <w:tcPr>
            <w:tcW w:w="20" w:type="dxa"/>
            <w:vAlign w:val="bottom"/>
          </w:tcPr>
          <w:p>
            <w:pPr>
              <w:spacing w:after="0"/>
              <w:rPr>
                <w:sz w:val="18"/>
                <w:szCs w:val="18"/>
                <w:color w:val="auto"/>
              </w:rPr>
            </w:pPr>
          </w:p>
        </w:tc>
      </w:tr>
      <w:tr>
        <w:trPr>
          <w:trHeight w:val="251"/>
        </w:trPr>
        <w:tc>
          <w:tcPr>
            <w:tcW w:w="3360" w:type="dxa"/>
            <w:vAlign w:val="bottom"/>
          </w:tcPr>
          <w:p>
            <w:pPr>
              <w:spacing w:after="0"/>
              <w:rPr>
                <w:sz w:val="20"/>
                <w:szCs w:val="20"/>
                <w:color w:val="auto"/>
              </w:rPr>
            </w:pPr>
            <w:r>
              <w:rPr>
                <w:rFonts w:ascii="Arial" w:cs="Arial" w:eastAsia="Arial" w:hAnsi="Arial"/>
                <w:sz w:val="16"/>
                <w:szCs w:val="16"/>
                <w:color w:val="auto"/>
              </w:rPr>
              <w:t>Total equipment</w:t>
            </w:r>
          </w:p>
        </w:tc>
        <w:tc>
          <w:tcPr>
            <w:tcW w:w="860" w:type="dxa"/>
            <w:vAlign w:val="bottom"/>
          </w:tcPr>
          <w:p>
            <w:pPr>
              <w:spacing w:after="0"/>
              <w:rPr>
                <w:sz w:val="21"/>
                <w:szCs w:val="21"/>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12,502</w:t>
            </w:r>
          </w:p>
        </w:tc>
        <w:tc>
          <w:tcPr>
            <w:tcW w:w="500" w:type="dxa"/>
            <w:vAlign w:val="bottom"/>
          </w:tcPr>
          <w:p>
            <w:pPr>
              <w:spacing w:after="0"/>
              <w:rPr>
                <w:sz w:val="21"/>
                <w:szCs w:val="21"/>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4,849</w:t>
            </w:r>
          </w:p>
        </w:tc>
        <w:tc>
          <w:tcPr>
            <w:tcW w:w="340" w:type="dxa"/>
            <w:vAlign w:val="bottom"/>
          </w:tcPr>
          <w:p>
            <w:pPr>
              <w:spacing w:after="0"/>
              <w:rPr>
                <w:sz w:val="21"/>
                <w:szCs w:val="21"/>
                <w:color w:val="auto"/>
              </w:rPr>
            </w:pP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7,653</w:t>
            </w:r>
          </w:p>
        </w:tc>
        <w:tc>
          <w:tcPr>
            <w:tcW w:w="1020" w:type="dxa"/>
            <w:vAlign w:val="bottom"/>
            <w:gridSpan w:val="2"/>
          </w:tcPr>
          <w:p>
            <w:pPr>
              <w:jc w:val="center"/>
              <w:ind w:left="639"/>
              <w:spacing w:after="0"/>
              <w:rPr>
                <w:sz w:val="20"/>
                <w:szCs w:val="20"/>
                <w:color w:val="auto"/>
              </w:rPr>
            </w:pPr>
            <w:r>
              <w:rPr>
                <w:rFonts w:ascii="Arial" w:cs="Arial" w:eastAsia="Arial" w:hAnsi="Arial"/>
                <w:sz w:val="16"/>
                <w:szCs w:val="16"/>
                <w:color w:val="auto"/>
                <w:w w:val="97"/>
              </w:rPr>
              <w:t>N/A</w:t>
            </w:r>
          </w:p>
        </w:tc>
      </w:tr>
      <w:tr>
        <w:trPr>
          <w:trHeight w:val="54"/>
        </w:trPr>
        <w:tc>
          <w:tcPr>
            <w:tcW w:w="3360" w:type="dxa"/>
            <w:vAlign w:val="bottom"/>
            <w:tcBorders>
              <w:bottom w:val="single" w:sz="8" w:color="7F7F7F"/>
            </w:tcBorders>
          </w:tcPr>
          <w:p>
            <w:pPr>
              <w:spacing w:after="0"/>
              <w:rPr>
                <w:sz w:val="4"/>
                <w:szCs w:val="4"/>
                <w:color w:val="auto"/>
              </w:rPr>
            </w:pPr>
          </w:p>
        </w:tc>
        <w:tc>
          <w:tcPr>
            <w:tcW w:w="860" w:type="dxa"/>
            <w:vAlign w:val="bottom"/>
            <w:tcBorders>
              <w:bottom w:val="single" w:sz="8" w:color="7F7F7F"/>
            </w:tcBorders>
          </w:tcPr>
          <w:p>
            <w:pPr>
              <w:spacing w:after="0"/>
              <w:rPr>
                <w:sz w:val="4"/>
                <w:szCs w:val="4"/>
                <w:color w:val="auto"/>
              </w:rPr>
            </w:pPr>
          </w:p>
        </w:tc>
        <w:tc>
          <w:tcPr>
            <w:tcW w:w="900" w:type="dxa"/>
            <w:vAlign w:val="bottom"/>
            <w:tcBorders>
              <w:bottom w:val="single" w:sz="8" w:color="7F7F7F"/>
            </w:tcBorders>
          </w:tcPr>
          <w:p>
            <w:pPr>
              <w:spacing w:after="0"/>
              <w:rPr>
                <w:sz w:val="4"/>
                <w:szCs w:val="4"/>
                <w:color w:val="auto"/>
              </w:rPr>
            </w:pPr>
          </w:p>
        </w:tc>
        <w:tc>
          <w:tcPr>
            <w:tcW w:w="500" w:type="dxa"/>
            <w:vAlign w:val="bottom"/>
            <w:tcBorders>
              <w:bottom w:val="single" w:sz="8" w:color="7F7F7F"/>
            </w:tcBorders>
          </w:tcPr>
          <w:p>
            <w:pPr>
              <w:spacing w:after="0"/>
              <w:rPr>
                <w:sz w:val="4"/>
                <w:szCs w:val="4"/>
                <w:color w:val="auto"/>
              </w:rPr>
            </w:pPr>
          </w:p>
        </w:tc>
        <w:tc>
          <w:tcPr>
            <w:tcW w:w="900" w:type="dxa"/>
            <w:vAlign w:val="bottom"/>
            <w:tcBorders>
              <w:bottom w:val="single" w:sz="8" w:color="7F7F7F"/>
            </w:tcBorders>
          </w:tcPr>
          <w:p>
            <w:pPr>
              <w:spacing w:after="0"/>
              <w:rPr>
                <w:sz w:val="4"/>
                <w:szCs w:val="4"/>
                <w:color w:val="auto"/>
              </w:rPr>
            </w:pPr>
          </w:p>
        </w:tc>
        <w:tc>
          <w:tcPr>
            <w:tcW w:w="340" w:type="dxa"/>
            <w:vAlign w:val="bottom"/>
            <w:tcBorders>
              <w:bottom w:val="single" w:sz="8" w:color="7F7F7F"/>
            </w:tcBorders>
          </w:tcPr>
          <w:p>
            <w:pPr>
              <w:spacing w:after="0"/>
              <w:rPr>
                <w:sz w:val="4"/>
                <w:szCs w:val="4"/>
                <w:color w:val="auto"/>
              </w:rPr>
            </w:pPr>
          </w:p>
        </w:tc>
        <w:tc>
          <w:tcPr>
            <w:tcW w:w="960" w:type="dxa"/>
            <w:vAlign w:val="bottom"/>
            <w:tcBorders>
              <w:bottom w:val="single" w:sz="8" w:color="7F7F7F"/>
            </w:tcBorders>
          </w:tcPr>
          <w:p>
            <w:pPr>
              <w:spacing w:after="0"/>
              <w:rPr>
                <w:sz w:val="4"/>
                <w:szCs w:val="4"/>
                <w:color w:val="auto"/>
              </w:rPr>
            </w:pPr>
          </w:p>
        </w:tc>
        <w:tc>
          <w:tcPr>
            <w:tcW w:w="1000" w:type="dxa"/>
            <w:vAlign w:val="bottom"/>
            <w:tcBorders>
              <w:bottom w:val="single" w:sz="8" w:color="7F7F7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Technology and other</w:t>
            </w:r>
          </w:p>
        </w:tc>
        <w:tc>
          <w:tcPr>
            <w:tcW w:w="8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1,028</w:t>
            </w:r>
          </w:p>
        </w:tc>
        <w:tc>
          <w:tcPr>
            <w:tcW w:w="5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441</w:t>
            </w: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587</w:t>
            </w:r>
          </w:p>
        </w:tc>
        <w:tc>
          <w:tcPr>
            <w:tcW w:w="1000" w:type="dxa"/>
            <w:vAlign w:val="bottom"/>
            <w:shd w:val="clear" w:color="auto" w:fill="CCEEFF"/>
          </w:tcPr>
          <w:p>
            <w:pPr>
              <w:jc w:val="center"/>
              <w:ind w:left="659"/>
              <w:spacing w:after="0"/>
              <w:rPr>
                <w:sz w:val="20"/>
                <w:szCs w:val="20"/>
                <w:color w:val="auto"/>
              </w:rPr>
            </w:pPr>
            <w:r>
              <w:rPr>
                <w:rFonts w:ascii="Arial" w:cs="Arial" w:eastAsia="Arial" w:hAnsi="Arial"/>
                <w:sz w:val="16"/>
                <w:szCs w:val="16"/>
                <w:color w:val="auto"/>
              </w:rPr>
              <w:t>11</w:t>
            </w:r>
          </w:p>
        </w:tc>
        <w:tc>
          <w:tcPr>
            <w:tcW w:w="20" w:type="dxa"/>
            <w:vAlign w:val="bottom"/>
          </w:tcPr>
          <w:p>
            <w:pPr>
              <w:spacing w:after="0"/>
              <w:rPr>
                <w:sz w:val="17"/>
                <w:szCs w:val="17"/>
                <w:color w:val="auto"/>
              </w:rPr>
            </w:pPr>
          </w:p>
        </w:tc>
      </w:tr>
      <w:tr>
        <w:trPr>
          <w:trHeight w:val="210"/>
        </w:trPr>
        <w:tc>
          <w:tcPr>
            <w:tcW w:w="3360" w:type="dxa"/>
            <w:vAlign w:val="bottom"/>
          </w:tcPr>
          <w:p>
            <w:pPr>
              <w:spacing w:after="0"/>
              <w:rPr>
                <w:sz w:val="20"/>
                <w:szCs w:val="20"/>
                <w:color w:val="auto"/>
              </w:rPr>
            </w:pPr>
            <w:r>
              <w:rPr>
                <w:rFonts w:ascii="Arial" w:cs="Arial" w:eastAsia="Arial" w:hAnsi="Arial"/>
                <w:sz w:val="16"/>
                <w:szCs w:val="16"/>
                <w:color w:val="auto"/>
              </w:rPr>
              <w:t>Construction in progress</w:t>
            </w:r>
          </w:p>
        </w:tc>
        <w:tc>
          <w:tcPr>
            <w:tcW w:w="860" w:type="dxa"/>
            <w:vAlign w:val="bottom"/>
          </w:tcPr>
          <w:p>
            <w:pPr>
              <w:spacing w:after="0"/>
              <w:rPr>
                <w:sz w:val="18"/>
                <w:szCs w:val="18"/>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795</w:t>
            </w:r>
          </w:p>
        </w:tc>
        <w:tc>
          <w:tcPr>
            <w:tcW w:w="500" w:type="dxa"/>
            <w:vAlign w:val="bottom"/>
          </w:tcPr>
          <w:p>
            <w:pPr>
              <w:spacing w:after="0"/>
              <w:rPr>
                <w:sz w:val="18"/>
                <w:szCs w:val="18"/>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795</w:t>
            </w:r>
          </w:p>
        </w:tc>
        <w:tc>
          <w:tcPr>
            <w:tcW w:w="1020" w:type="dxa"/>
            <w:vAlign w:val="bottom"/>
            <w:gridSpan w:val="2"/>
          </w:tcPr>
          <w:p>
            <w:pPr>
              <w:jc w:val="center"/>
              <w:ind w:left="639"/>
              <w:spacing w:after="0"/>
              <w:rPr>
                <w:sz w:val="20"/>
                <w:szCs w:val="20"/>
                <w:color w:val="auto"/>
              </w:rPr>
            </w:pPr>
            <w:r>
              <w:rPr>
                <w:rFonts w:ascii="Arial" w:cs="Arial" w:eastAsia="Arial" w:hAnsi="Arial"/>
                <w:sz w:val="16"/>
                <w:szCs w:val="16"/>
                <w:color w:val="auto"/>
                <w:w w:val="97"/>
              </w:rPr>
              <w:t>N/A</w:t>
            </w:r>
          </w:p>
        </w:tc>
      </w:tr>
      <w:tr>
        <w:trPr>
          <w:trHeight w:val="323"/>
        </w:trPr>
        <w:tc>
          <w:tcPr>
            <w:tcW w:w="3360" w:type="dxa"/>
            <w:vAlign w:val="bottom"/>
            <w:tcBorders>
              <w:top w:val="single" w:sz="8" w:color="7F7F7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860" w:type="dxa"/>
            <w:vAlign w:val="bottom"/>
            <w:tcBorders>
              <w:top w:val="single" w:sz="8" w:color="7F7F7F"/>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7F7F7F"/>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69,971</w:t>
            </w:r>
          </w:p>
        </w:tc>
        <w:tc>
          <w:tcPr>
            <w:tcW w:w="500" w:type="dxa"/>
            <w:vAlign w:val="bottom"/>
            <w:tcBorders>
              <w:top w:val="single" w:sz="8" w:color="7F7F7F"/>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7F7F7F"/>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18,935</w:t>
            </w:r>
          </w:p>
        </w:tc>
        <w:tc>
          <w:tcPr>
            <w:tcW w:w="340" w:type="dxa"/>
            <w:vAlign w:val="bottom"/>
            <w:tcBorders>
              <w:top w:val="single" w:sz="8" w:color="7F7F7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7F7F7F"/>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51,036</w:t>
            </w:r>
          </w:p>
        </w:tc>
        <w:tc>
          <w:tcPr>
            <w:tcW w:w="1000" w:type="dxa"/>
            <w:vAlign w:val="bottom"/>
            <w:tcBorders>
              <w:top w:val="single" w:sz="8" w:color="7F7F7F"/>
              <w:bottom w:val="single" w:sz="8" w:color="CCEEFF"/>
            </w:tcBorders>
            <w:shd w:val="clear" w:color="auto" w:fill="CCEEFF"/>
          </w:tcPr>
          <w:p>
            <w:pPr>
              <w:jc w:val="center"/>
              <w:ind w:left="659"/>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24"/>
                <w:szCs w:val="24"/>
                <w:color w:val="auto"/>
              </w:rPr>
            </w:pPr>
          </w:p>
        </w:tc>
      </w:tr>
      <w:tr>
        <w:trPr>
          <w:trHeight w:val="426"/>
        </w:trPr>
        <w:tc>
          <w:tcPr>
            <w:tcW w:w="3360" w:type="dxa"/>
            <w:vAlign w:val="bottom"/>
            <w:tcBorders>
              <w:top w:val="single" w:sz="8" w:color="7F7F7F"/>
              <w:bottom w:val="single" w:sz="8" w:color="7F7F7F"/>
            </w:tcBorders>
          </w:tcPr>
          <w:p>
            <w:pPr>
              <w:spacing w:after="0"/>
              <w:rPr>
                <w:sz w:val="24"/>
                <w:szCs w:val="24"/>
                <w:color w:val="auto"/>
              </w:rPr>
            </w:pPr>
          </w:p>
        </w:tc>
        <w:tc>
          <w:tcPr>
            <w:tcW w:w="860" w:type="dxa"/>
            <w:vAlign w:val="bottom"/>
            <w:tcBorders>
              <w:top w:val="single" w:sz="8" w:color="7F7F7F"/>
              <w:bottom w:val="single" w:sz="8" w:color="7F7F7F"/>
            </w:tcBorders>
          </w:tcPr>
          <w:p>
            <w:pPr>
              <w:spacing w:after="0"/>
              <w:rPr>
                <w:sz w:val="24"/>
                <w:szCs w:val="24"/>
                <w:color w:val="auto"/>
              </w:rPr>
            </w:pPr>
          </w:p>
        </w:tc>
        <w:tc>
          <w:tcPr>
            <w:tcW w:w="900" w:type="dxa"/>
            <w:vAlign w:val="bottom"/>
            <w:tcBorders>
              <w:top w:val="single" w:sz="8" w:color="7F7F7F"/>
              <w:bottom w:val="single" w:sz="8" w:color="7F7F7F"/>
            </w:tcBorders>
          </w:tcPr>
          <w:p>
            <w:pPr>
              <w:spacing w:after="0"/>
              <w:rPr>
                <w:sz w:val="24"/>
                <w:szCs w:val="24"/>
                <w:color w:val="auto"/>
              </w:rPr>
            </w:pPr>
          </w:p>
        </w:tc>
        <w:tc>
          <w:tcPr>
            <w:tcW w:w="1400" w:type="dxa"/>
            <w:vAlign w:val="bottom"/>
            <w:tcBorders>
              <w:top w:val="single" w:sz="8" w:color="7F7F7F"/>
              <w:bottom w:val="single" w:sz="8" w:color="7F7F7F"/>
            </w:tcBorders>
            <w:gridSpan w:val="2"/>
          </w:tcPr>
          <w:p>
            <w:pPr>
              <w:spacing w:after="0"/>
              <w:rPr>
                <w:sz w:val="24"/>
                <w:szCs w:val="24"/>
                <w:color w:val="auto"/>
              </w:rPr>
            </w:pPr>
          </w:p>
        </w:tc>
        <w:tc>
          <w:tcPr>
            <w:tcW w:w="340" w:type="dxa"/>
            <w:vAlign w:val="bottom"/>
            <w:tcBorders>
              <w:top w:val="single" w:sz="8" w:color="7F7F7F"/>
              <w:bottom w:val="single" w:sz="8" w:color="7F7F7F"/>
            </w:tcBorders>
          </w:tcPr>
          <w:p>
            <w:pPr>
              <w:spacing w:after="0"/>
              <w:rPr>
                <w:sz w:val="24"/>
                <w:szCs w:val="24"/>
                <w:color w:val="auto"/>
              </w:rPr>
            </w:pPr>
          </w:p>
        </w:tc>
        <w:tc>
          <w:tcPr>
            <w:tcW w:w="960" w:type="dxa"/>
            <w:vAlign w:val="bottom"/>
            <w:tcBorders>
              <w:top w:val="single" w:sz="8" w:color="7F7F7F"/>
              <w:bottom w:val="single" w:sz="8" w:color="7F7F7F"/>
            </w:tcBorders>
          </w:tcPr>
          <w:p>
            <w:pPr>
              <w:spacing w:after="0"/>
              <w:rPr>
                <w:sz w:val="24"/>
                <w:szCs w:val="24"/>
                <w:color w:val="auto"/>
              </w:rPr>
            </w:pPr>
          </w:p>
        </w:tc>
        <w:tc>
          <w:tcPr>
            <w:tcW w:w="1000" w:type="dxa"/>
            <w:vAlign w:val="bottom"/>
            <w:tcBorders>
              <w:top w:val="single" w:sz="8" w:color="7F7F7F"/>
              <w:bottom w:val="single" w:sz="8" w:color="7F7F7F"/>
            </w:tcBorders>
          </w:tcPr>
          <w:p>
            <w:pPr>
              <w:spacing w:after="0"/>
              <w:rPr>
                <w:sz w:val="24"/>
                <w:szCs w:val="24"/>
                <w:color w:val="auto"/>
              </w:rPr>
            </w:pPr>
          </w:p>
        </w:tc>
        <w:tc>
          <w:tcPr>
            <w:tcW w:w="20" w:type="dxa"/>
            <w:vAlign w:val="bottom"/>
          </w:tcPr>
          <w:p>
            <w:pPr>
              <w:spacing w:after="0"/>
              <w:rPr>
                <w:sz w:val="24"/>
                <w:szCs w:val="24"/>
                <w:color w:val="auto"/>
              </w:rPr>
            </w:pPr>
          </w:p>
        </w:tc>
      </w:tr>
      <w:tr>
        <w:trPr>
          <w:trHeight w:val="202"/>
        </w:trPr>
        <w:tc>
          <w:tcPr>
            <w:tcW w:w="3360" w:type="dxa"/>
            <w:vAlign w:val="bottom"/>
          </w:tcPr>
          <w:p>
            <w:pPr>
              <w:spacing w:after="0"/>
              <w:rPr>
                <w:sz w:val="20"/>
                <w:szCs w:val="20"/>
                <w:color w:val="auto"/>
              </w:rPr>
            </w:pPr>
            <w:r>
              <w:rPr>
                <w:rFonts w:ascii="Arial" w:cs="Arial" w:eastAsia="Arial" w:hAnsi="Arial"/>
                <w:sz w:val="16"/>
                <w:szCs w:val="16"/>
                <w:i w:val="1"/>
                <w:iCs w:val="1"/>
                <w:color w:val="auto"/>
              </w:rPr>
              <w:t>Millions, Except Estimated Useful Life</w:t>
            </w:r>
          </w:p>
        </w:tc>
        <w:tc>
          <w:tcPr>
            <w:tcW w:w="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0" w:type="dxa"/>
            <w:vAlign w:val="bottom"/>
            <w:gridSpan w:val="2"/>
          </w:tcPr>
          <w:p>
            <w:pPr>
              <w:jc w:val="right"/>
              <w:ind w:right="99"/>
              <w:spacing w:after="0"/>
              <w:rPr>
                <w:sz w:val="20"/>
                <w:szCs w:val="20"/>
                <w:color w:val="auto"/>
              </w:rPr>
            </w:pPr>
            <w:r>
              <w:rPr>
                <w:rFonts w:ascii="Arial" w:cs="Arial" w:eastAsia="Arial" w:hAnsi="Arial"/>
                <w:sz w:val="16"/>
                <w:szCs w:val="16"/>
                <w:i w:val="1"/>
                <w:iCs w:val="1"/>
                <w:color w:val="auto"/>
              </w:rPr>
              <w:t>Accumulated</w:t>
            </w:r>
          </w:p>
        </w:tc>
        <w:tc>
          <w:tcPr>
            <w:tcW w:w="340" w:type="dxa"/>
            <w:vAlign w:val="bottom"/>
          </w:tcPr>
          <w:p>
            <w:pPr>
              <w:spacing w:after="0"/>
              <w:rPr>
                <w:sz w:val="17"/>
                <w:szCs w:val="17"/>
                <w:color w:val="auto"/>
              </w:rPr>
            </w:pPr>
          </w:p>
        </w:tc>
        <w:tc>
          <w:tcPr>
            <w:tcW w:w="960" w:type="dxa"/>
            <w:vAlign w:val="bottom"/>
          </w:tcPr>
          <w:p>
            <w:pPr>
              <w:jc w:val="right"/>
              <w:ind w:right="159"/>
              <w:spacing w:after="0"/>
              <w:rPr>
                <w:sz w:val="20"/>
                <w:szCs w:val="20"/>
                <w:color w:val="auto"/>
              </w:rPr>
            </w:pPr>
            <w:r>
              <w:rPr>
                <w:rFonts w:ascii="Arial" w:cs="Arial" w:eastAsia="Arial" w:hAnsi="Arial"/>
                <w:sz w:val="16"/>
                <w:szCs w:val="16"/>
                <w:i w:val="1"/>
                <w:iCs w:val="1"/>
                <w:color w:val="auto"/>
              </w:rPr>
              <w:t>Net Book</w:t>
            </w:r>
          </w:p>
        </w:tc>
        <w:tc>
          <w:tcPr>
            <w:tcW w:w="1000" w:type="dxa"/>
            <w:vAlign w:val="bottom"/>
          </w:tcPr>
          <w:p>
            <w:pPr>
              <w:jc w:val="right"/>
              <w:spacing w:after="0"/>
              <w:rPr>
                <w:sz w:val="20"/>
                <w:szCs w:val="20"/>
                <w:color w:val="auto"/>
              </w:rPr>
            </w:pPr>
            <w:r>
              <w:rPr>
                <w:rFonts w:ascii="Arial" w:cs="Arial" w:eastAsia="Arial" w:hAnsi="Arial"/>
                <w:sz w:val="16"/>
                <w:szCs w:val="16"/>
                <w:i w:val="1"/>
                <w:iCs w:val="1"/>
                <w:color w:val="auto"/>
              </w:rPr>
              <w:t>Estimated</w:t>
            </w:r>
          </w:p>
        </w:tc>
        <w:tc>
          <w:tcPr>
            <w:tcW w:w="20" w:type="dxa"/>
            <w:vAlign w:val="bottom"/>
          </w:tcPr>
          <w:p>
            <w:pPr>
              <w:spacing w:after="0"/>
              <w:rPr>
                <w:sz w:val="17"/>
                <w:szCs w:val="17"/>
                <w:color w:val="auto"/>
              </w:rPr>
            </w:pPr>
          </w:p>
        </w:tc>
      </w:tr>
      <w:tr>
        <w:trPr>
          <w:trHeight w:val="197"/>
        </w:trPr>
        <w:tc>
          <w:tcPr>
            <w:tcW w:w="3360" w:type="dxa"/>
            <w:vAlign w:val="bottom"/>
          </w:tcPr>
          <w:p>
            <w:pPr>
              <w:spacing w:after="0"/>
              <w:rPr>
                <w:sz w:val="20"/>
                <w:szCs w:val="20"/>
                <w:color w:val="auto"/>
              </w:rPr>
            </w:pPr>
            <w:r>
              <w:rPr>
                <w:rFonts w:ascii="Arial" w:cs="Arial" w:eastAsia="Arial" w:hAnsi="Arial"/>
                <w:sz w:val="16"/>
                <w:szCs w:val="16"/>
                <w:i w:val="1"/>
                <w:iCs w:val="1"/>
                <w:color w:val="auto"/>
              </w:rPr>
              <w:t>As of December 31, 2016</w:t>
            </w:r>
          </w:p>
        </w:tc>
        <w:tc>
          <w:tcPr>
            <w:tcW w:w="860" w:type="dxa"/>
            <w:vAlign w:val="bottom"/>
          </w:tcPr>
          <w:p>
            <w:pPr>
              <w:spacing w:after="0"/>
              <w:rPr>
                <w:sz w:val="17"/>
                <w:szCs w:val="17"/>
                <w:color w:val="auto"/>
              </w:rPr>
            </w:pPr>
          </w:p>
        </w:tc>
        <w:tc>
          <w:tcPr>
            <w:tcW w:w="900" w:type="dxa"/>
            <w:vAlign w:val="bottom"/>
          </w:tcPr>
          <w:p>
            <w:pPr>
              <w:jc w:val="right"/>
              <w:ind w:right="159"/>
              <w:spacing w:after="0"/>
              <w:rPr>
                <w:sz w:val="20"/>
                <w:szCs w:val="20"/>
                <w:color w:val="auto"/>
              </w:rPr>
            </w:pPr>
            <w:r>
              <w:rPr>
                <w:rFonts w:ascii="Arial" w:cs="Arial" w:eastAsia="Arial" w:hAnsi="Arial"/>
                <w:sz w:val="16"/>
                <w:szCs w:val="16"/>
                <w:i w:val="1"/>
                <w:iCs w:val="1"/>
                <w:color w:val="auto"/>
              </w:rPr>
              <w:t>Cost</w:t>
            </w:r>
          </w:p>
        </w:tc>
        <w:tc>
          <w:tcPr>
            <w:tcW w:w="1400" w:type="dxa"/>
            <w:vAlign w:val="bottom"/>
            <w:gridSpan w:val="2"/>
          </w:tcPr>
          <w:p>
            <w:pPr>
              <w:jc w:val="right"/>
              <w:ind w:right="99"/>
              <w:spacing w:after="0"/>
              <w:rPr>
                <w:sz w:val="20"/>
                <w:szCs w:val="20"/>
                <w:color w:val="auto"/>
              </w:rPr>
            </w:pPr>
            <w:r>
              <w:rPr>
                <w:rFonts w:ascii="Arial" w:cs="Arial" w:eastAsia="Arial" w:hAnsi="Arial"/>
                <w:sz w:val="16"/>
                <w:szCs w:val="16"/>
                <w:i w:val="1"/>
                <w:iCs w:val="1"/>
                <w:color w:val="auto"/>
              </w:rPr>
              <w:t>Depreciation</w:t>
            </w:r>
          </w:p>
        </w:tc>
        <w:tc>
          <w:tcPr>
            <w:tcW w:w="340" w:type="dxa"/>
            <w:vAlign w:val="bottom"/>
          </w:tcPr>
          <w:p>
            <w:pPr>
              <w:spacing w:after="0"/>
              <w:rPr>
                <w:sz w:val="17"/>
                <w:szCs w:val="17"/>
                <w:color w:val="auto"/>
              </w:rPr>
            </w:pPr>
          </w:p>
        </w:tc>
        <w:tc>
          <w:tcPr>
            <w:tcW w:w="960" w:type="dxa"/>
            <w:vAlign w:val="bottom"/>
          </w:tcPr>
          <w:p>
            <w:pPr>
              <w:jc w:val="right"/>
              <w:ind w:right="159"/>
              <w:spacing w:after="0"/>
              <w:rPr>
                <w:sz w:val="20"/>
                <w:szCs w:val="20"/>
                <w:color w:val="auto"/>
              </w:rPr>
            </w:pPr>
            <w:r>
              <w:rPr>
                <w:rFonts w:ascii="Arial" w:cs="Arial" w:eastAsia="Arial" w:hAnsi="Arial"/>
                <w:sz w:val="16"/>
                <w:szCs w:val="16"/>
                <w:i w:val="1"/>
                <w:iCs w:val="1"/>
                <w:color w:val="auto"/>
              </w:rPr>
              <w:t>Value</w:t>
            </w:r>
          </w:p>
        </w:tc>
        <w:tc>
          <w:tcPr>
            <w:tcW w:w="1020" w:type="dxa"/>
            <w:vAlign w:val="bottom"/>
            <w:gridSpan w:val="2"/>
          </w:tcPr>
          <w:p>
            <w:pPr>
              <w:jc w:val="right"/>
              <w:ind w:right="20"/>
              <w:spacing w:after="0"/>
              <w:rPr>
                <w:sz w:val="20"/>
                <w:szCs w:val="20"/>
                <w:color w:val="auto"/>
              </w:rPr>
            </w:pPr>
            <w:r>
              <w:rPr>
                <w:rFonts w:ascii="Arial" w:cs="Arial" w:eastAsia="Arial" w:hAnsi="Arial"/>
                <w:sz w:val="16"/>
                <w:szCs w:val="16"/>
                <w:i w:val="1"/>
                <w:iCs w:val="1"/>
                <w:color w:val="auto"/>
              </w:rPr>
              <w:t>Useful Life</w:t>
            </w:r>
          </w:p>
        </w:tc>
      </w:tr>
      <w:tr>
        <w:trPr>
          <w:trHeight w:val="309"/>
        </w:trPr>
        <w:tc>
          <w:tcPr>
            <w:tcW w:w="3360" w:type="dxa"/>
            <w:vAlign w:val="bottom"/>
            <w:tcBorders>
              <w:top w:val="single" w:sz="8" w:color="7F7F7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Land</w:t>
            </w:r>
          </w:p>
        </w:tc>
        <w:tc>
          <w:tcPr>
            <w:tcW w:w="860" w:type="dxa"/>
            <w:vAlign w:val="bottom"/>
            <w:tcBorders>
              <w:top w:val="single" w:sz="8" w:color="7F7F7F"/>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7F7F7F"/>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5,220</w:t>
            </w:r>
          </w:p>
        </w:tc>
        <w:tc>
          <w:tcPr>
            <w:tcW w:w="500" w:type="dxa"/>
            <w:vAlign w:val="bottom"/>
            <w:tcBorders>
              <w:top w:val="single" w:sz="8" w:color="7F7F7F"/>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7F7F7F"/>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N/A</w:t>
            </w:r>
          </w:p>
        </w:tc>
        <w:tc>
          <w:tcPr>
            <w:tcW w:w="340" w:type="dxa"/>
            <w:vAlign w:val="bottom"/>
            <w:tcBorders>
              <w:top w:val="single" w:sz="8" w:color="7F7F7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7F7F7F"/>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5,220</w:t>
            </w:r>
          </w:p>
        </w:tc>
        <w:tc>
          <w:tcPr>
            <w:tcW w:w="1000" w:type="dxa"/>
            <w:vAlign w:val="bottom"/>
            <w:tcBorders>
              <w:top w:val="single" w:sz="8" w:color="7F7F7F"/>
              <w:bottom w:val="single" w:sz="8" w:color="CCEEFF"/>
            </w:tcBorders>
            <w:shd w:val="clear" w:color="auto" w:fill="CCEEFF"/>
          </w:tcPr>
          <w:p>
            <w:pPr>
              <w:jc w:val="center"/>
              <w:ind w:left="659"/>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24"/>
                <w:szCs w:val="24"/>
                <w:color w:val="auto"/>
              </w:rPr>
            </w:pPr>
          </w:p>
        </w:tc>
      </w:tr>
      <w:tr>
        <w:trPr>
          <w:trHeight w:val="200"/>
        </w:trPr>
        <w:tc>
          <w:tcPr>
            <w:tcW w:w="3360" w:type="dxa"/>
            <w:vAlign w:val="bottom"/>
            <w:tcBorders>
              <w:top w:val="single" w:sz="8" w:color="7F7F7F"/>
            </w:tcBorders>
          </w:tcPr>
          <w:p>
            <w:pPr>
              <w:spacing w:after="0"/>
              <w:rPr>
                <w:sz w:val="20"/>
                <w:szCs w:val="20"/>
                <w:color w:val="auto"/>
              </w:rPr>
            </w:pPr>
            <w:r>
              <w:rPr>
                <w:rFonts w:ascii="Arial" w:cs="Arial" w:eastAsia="Arial" w:hAnsi="Arial"/>
                <w:sz w:val="16"/>
                <w:szCs w:val="16"/>
                <w:color w:val="auto"/>
              </w:rPr>
              <w:t>Road:</w:t>
            </w:r>
          </w:p>
        </w:tc>
        <w:tc>
          <w:tcPr>
            <w:tcW w:w="860" w:type="dxa"/>
            <w:vAlign w:val="bottom"/>
            <w:tcBorders>
              <w:top w:val="single" w:sz="8" w:color="7F7F7F"/>
            </w:tcBorders>
          </w:tcPr>
          <w:p>
            <w:pPr>
              <w:spacing w:after="0"/>
              <w:rPr>
                <w:sz w:val="17"/>
                <w:szCs w:val="17"/>
                <w:color w:val="auto"/>
              </w:rPr>
            </w:pPr>
          </w:p>
        </w:tc>
        <w:tc>
          <w:tcPr>
            <w:tcW w:w="900" w:type="dxa"/>
            <w:vAlign w:val="bottom"/>
            <w:tcBorders>
              <w:top w:val="single" w:sz="8" w:color="7F7F7F"/>
            </w:tcBorders>
          </w:tcPr>
          <w:p>
            <w:pPr>
              <w:spacing w:after="0"/>
              <w:rPr>
                <w:sz w:val="17"/>
                <w:szCs w:val="17"/>
                <w:color w:val="auto"/>
              </w:rPr>
            </w:pPr>
          </w:p>
        </w:tc>
        <w:tc>
          <w:tcPr>
            <w:tcW w:w="500" w:type="dxa"/>
            <w:vAlign w:val="bottom"/>
            <w:tcBorders>
              <w:top w:val="single" w:sz="8" w:color="7F7F7F"/>
            </w:tcBorders>
          </w:tcPr>
          <w:p>
            <w:pPr>
              <w:spacing w:after="0"/>
              <w:rPr>
                <w:sz w:val="17"/>
                <w:szCs w:val="17"/>
                <w:color w:val="auto"/>
              </w:rPr>
            </w:pPr>
          </w:p>
        </w:tc>
        <w:tc>
          <w:tcPr>
            <w:tcW w:w="900" w:type="dxa"/>
            <w:vAlign w:val="bottom"/>
            <w:tcBorders>
              <w:top w:val="single" w:sz="8" w:color="7F7F7F"/>
            </w:tcBorders>
          </w:tcPr>
          <w:p>
            <w:pPr>
              <w:spacing w:after="0"/>
              <w:rPr>
                <w:sz w:val="17"/>
                <w:szCs w:val="17"/>
                <w:color w:val="auto"/>
              </w:rPr>
            </w:pPr>
          </w:p>
        </w:tc>
        <w:tc>
          <w:tcPr>
            <w:tcW w:w="340" w:type="dxa"/>
            <w:vAlign w:val="bottom"/>
            <w:tcBorders>
              <w:top w:val="single" w:sz="8" w:color="7F7F7F"/>
            </w:tcBorders>
          </w:tcPr>
          <w:p>
            <w:pPr>
              <w:spacing w:after="0"/>
              <w:rPr>
                <w:sz w:val="17"/>
                <w:szCs w:val="17"/>
                <w:color w:val="auto"/>
              </w:rPr>
            </w:pPr>
          </w:p>
        </w:tc>
        <w:tc>
          <w:tcPr>
            <w:tcW w:w="960" w:type="dxa"/>
            <w:vAlign w:val="bottom"/>
            <w:tcBorders>
              <w:top w:val="single" w:sz="8" w:color="7F7F7F"/>
            </w:tcBorders>
          </w:tcPr>
          <w:p>
            <w:pPr>
              <w:spacing w:after="0"/>
              <w:rPr>
                <w:sz w:val="17"/>
                <w:szCs w:val="17"/>
                <w:color w:val="auto"/>
              </w:rPr>
            </w:pPr>
          </w:p>
        </w:tc>
        <w:tc>
          <w:tcPr>
            <w:tcW w:w="1000" w:type="dxa"/>
            <w:vAlign w:val="bottom"/>
            <w:tcBorders>
              <w:top w:val="single" w:sz="8" w:color="7F7F7F"/>
            </w:tcBorders>
          </w:tcPr>
          <w:p>
            <w:pPr>
              <w:spacing w:after="0"/>
              <w:rPr>
                <w:sz w:val="17"/>
                <w:szCs w:val="17"/>
                <w:color w:val="auto"/>
              </w:rPr>
            </w:pPr>
          </w:p>
        </w:tc>
        <w:tc>
          <w:tcPr>
            <w:tcW w:w="20" w:type="dxa"/>
            <w:vAlign w:val="bottom"/>
          </w:tcPr>
          <w:p>
            <w:pPr>
              <w:spacing w:after="0"/>
              <w:rPr>
                <w:sz w:val="17"/>
                <w:szCs w:val="17"/>
                <w:color w:val="auto"/>
              </w:rPr>
            </w:pPr>
          </w:p>
        </w:tc>
      </w:tr>
      <w:tr>
        <w:trPr>
          <w:trHeight w:val="219"/>
        </w:trPr>
        <w:tc>
          <w:tcPr>
            <w:tcW w:w="33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Rail and other track material</w:t>
            </w:r>
          </w:p>
        </w:tc>
        <w:tc>
          <w:tcPr>
            <w:tcW w:w="8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15,845</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5,722</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10,123</w:t>
            </w:r>
          </w:p>
        </w:tc>
        <w:tc>
          <w:tcPr>
            <w:tcW w:w="1000" w:type="dxa"/>
            <w:vAlign w:val="bottom"/>
            <w:shd w:val="clear" w:color="auto" w:fill="CCEEFF"/>
          </w:tcPr>
          <w:p>
            <w:pPr>
              <w:jc w:val="center"/>
              <w:ind w:left="659"/>
              <w:spacing w:after="0"/>
              <w:rPr>
                <w:sz w:val="20"/>
                <w:szCs w:val="20"/>
                <w:color w:val="auto"/>
              </w:rPr>
            </w:pPr>
            <w:r>
              <w:rPr>
                <w:rFonts w:ascii="Arial" w:cs="Arial" w:eastAsia="Arial" w:hAnsi="Arial"/>
                <w:sz w:val="16"/>
                <w:szCs w:val="16"/>
                <w:color w:val="auto"/>
              </w:rPr>
              <w:t>40</w:t>
            </w:r>
          </w:p>
        </w:tc>
        <w:tc>
          <w:tcPr>
            <w:tcW w:w="20" w:type="dxa"/>
            <w:vAlign w:val="bottom"/>
          </w:tcPr>
          <w:p>
            <w:pPr>
              <w:spacing w:after="0"/>
              <w:rPr>
                <w:sz w:val="19"/>
                <w:szCs w:val="19"/>
                <w:color w:val="auto"/>
              </w:rPr>
            </w:pPr>
          </w:p>
        </w:tc>
      </w:tr>
      <w:tr>
        <w:trPr>
          <w:trHeight w:val="213"/>
        </w:trPr>
        <w:tc>
          <w:tcPr>
            <w:tcW w:w="3360" w:type="dxa"/>
            <w:vAlign w:val="bottom"/>
          </w:tcPr>
          <w:p>
            <w:pPr>
              <w:ind w:left="100"/>
              <w:spacing w:after="0"/>
              <w:rPr>
                <w:sz w:val="20"/>
                <w:szCs w:val="20"/>
                <w:color w:val="auto"/>
              </w:rPr>
            </w:pPr>
            <w:r>
              <w:rPr>
                <w:rFonts w:ascii="Arial" w:cs="Arial" w:eastAsia="Arial" w:hAnsi="Arial"/>
                <w:sz w:val="16"/>
                <w:szCs w:val="16"/>
                <w:color w:val="auto"/>
              </w:rPr>
              <w:t>Ties</w:t>
            </w:r>
          </w:p>
        </w:tc>
        <w:tc>
          <w:tcPr>
            <w:tcW w:w="860" w:type="dxa"/>
            <w:vAlign w:val="bottom"/>
          </w:tcPr>
          <w:p>
            <w:pPr>
              <w:spacing w:after="0"/>
              <w:rPr>
                <w:sz w:val="18"/>
                <w:szCs w:val="18"/>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9,812</w:t>
            </w:r>
          </w:p>
        </w:tc>
        <w:tc>
          <w:tcPr>
            <w:tcW w:w="500" w:type="dxa"/>
            <w:vAlign w:val="bottom"/>
          </w:tcPr>
          <w:p>
            <w:pPr>
              <w:spacing w:after="0"/>
              <w:rPr>
                <w:sz w:val="18"/>
                <w:szCs w:val="18"/>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2,736</w:t>
            </w:r>
          </w:p>
        </w:tc>
        <w:tc>
          <w:tcPr>
            <w:tcW w:w="34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7,076</w:t>
            </w:r>
          </w:p>
        </w:tc>
        <w:tc>
          <w:tcPr>
            <w:tcW w:w="1000" w:type="dxa"/>
            <w:vAlign w:val="bottom"/>
          </w:tcPr>
          <w:p>
            <w:pPr>
              <w:jc w:val="center"/>
              <w:ind w:left="659"/>
              <w:spacing w:after="0"/>
              <w:rPr>
                <w:sz w:val="20"/>
                <w:szCs w:val="20"/>
                <w:color w:val="auto"/>
              </w:rPr>
            </w:pPr>
            <w:r>
              <w:rPr>
                <w:rFonts w:ascii="Arial" w:cs="Arial" w:eastAsia="Arial" w:hAnsi="Arial"/>
                <w:sz w:val="16"/>
                <w:szCs w:val="16"/>
                <w:color w:val="auto"/>
              </w:rPr>
              <w:t>33</w:t>
            </w:r>
          </w:p>
        </w:tc>
        <w:tc>
          <w:tcPr>
            <w:tcW w:w="20" w:type="dxa"/>
            <w:vAlign w:val="bottom"/>
          </w:tcPr>
          <w:p>
            <w:pPr>
              <w:spacing w:after="0"/>
              <w:rPr>
                <w:sz w:val="18"/>
                <w:szCs w:val="18"/>
                <w:color w:val="auto"/>
              </w:rPr>
            </w:pPr>
          </w:p>
        </w:tc>
      </w:tr>
      <w:tr>
        <w:trPr>
          <w:trHeight w:val="219"/>
        </w:trPr>
        <w:tc>
          <w:tcPr>
            <w:tcW w:w="33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Ballast</w:t>
            </w:r>
          </w:p>
        </w:tc>
        <w:tc>
          <w:tcPr>
            <w:tcW w:w="8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5,242</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1,430</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3,812</w:t>
            </w:r>
          </w:p>
        </w:tc>
        <w:tc>
          <w:tcPr>
            <w:tcW w:w="1000" w:type="dxa"/>
            <w:vAlign w:val="bottom"/>
            <w:shd w:val="clear" w:color="auto" w:fill="CCEEFF"/>
          </w:tcPr>
          <w:p>
            <w:pPr>
              <w:jc w:val="center"/>
              <w:ind w:left="659"/>
              <w:spacing w:after="0"/>
              <w:rPr>
                <w:sz w:val="20"/>
                <w:szCs w:val="20"/>
                <w:color w:val="auto"/>
              </w:rPr>
            </w:pPr>
            <w:r>
              <w:rPr>
                <w:rFonts w:ascii="Arial" w:cs="Arial" w:eastAsia="Arial" w:hAnsi="Arial"/>
                <w:sz w:val="16"/>
                <w:szCs w:val="16"/>
                <w:color w:val="auto"/>
              </w:rPr>
              <w:t>34</w:t>
            </w:r>
          </w:p>
        </w:tc>
        <w:tc>
          <w:tcPr>
            <w:tcW w:w="20" w:type="dxa"/>
            <w:vAlign w:val="bottom"/>
          </w:tcPr>
          <w:p>
            <w:pPr>
              <w:spacing w:after="0"/>
              <w:rPr>
                <w:sz w:val="19"/>
                <w:szCs w:val="19"/>
                <w:color w:val="auto"/>
              </w:rPr>
            </w:pPr>
          </w:p>
        </w:tc>
      </w:tr>
      <w:tr>
        <w:trPr>
          <w:trHeight w:val="210"/>
        </w:trPr>
        <w:tc>
          <w:tcPr>
            <w:tcW w:w="3360" w:type="dxa"/>
            <w:vAlign w:val="bottom"/>
            <w:tcBorders>
              <w:bottom w:val="single" w:sz="8" w:color="7F7F7F"/>
            </w:tcBorders>
          </w:tcPr>
          <w:p>
            <w:pPr>
              <w:ind w:left="100"/>
              <w:spacing w:after="0"/>
              <w:rPr>
                <w:sz w:val="20"/>
                <w:szCs w:val="20"/>
                <w:color w:val="auto"/>
              </w:rPr>
            </w:pPr>
            <w:r>
              <w:rPr>
                <w:rFonts w:ascii="Arial" w:cs="Arial" w:eastAsia="Arial" w:hAnsi="Arial"/>
                <w:sz w:val="16"/>
                <w:szCs w:val="16"/>
                <w:color w:val="auto"/>
              </w:rPr>
              <w:t>Other roadway [a]</w:t>
            </w:r>
          </w:p>
        </w:tc>
        <w:tc>
          <w:tcPr>
            <w:tcW w:w="860" w:type="dxa"/>
            <w:vAlign w:val="bottom"/>
            <w:tcBorders>
              <w:bottom w:val="single" w:sz="8" w:color="7F7F7F"/>
            </w:tcBorders>
          </w:tcPr>
          <w:p>
            <w:pPr>
              <w:spacing w:after="0"/>
              <w:rPr>
                <w:sz w:val="18"/>
                <w:szCs w:val="18"/>
                <w:color w:val="auto"/>
              </w:rPr>
            </w:pPr>
          </w:p>
        </w:tc>
        <w:tc>
          <w:tcPr>
            <w:tcW w:w="900" w:type="dxa"/>
            <w:vAlign w:val="bottom"/>
            <w:tcBorders>
              <w:bottom w:val="single" w:sz="8" w:color="7F7F7F"/>
            </w:tcBorders>
          </w:tcPr>
          <w:p>
            <w:pPr>
              <w:jc w:val="right"/>
              <w:ind w:right="199"/>
              <w:spacing w:after="0"/>
              <w:rPr>
                <w:sz w:val="20"/>
                <w:szCs w:val="20"/>
                <w:color w:val="auto"/>
              </w:rPr>
            </w:pPr>
            <w:r>
              <w:rPr>
                <w:rFonts w:ascii="Arial" w:cs="Arial" w:eastAsia="Arial" w:hAnsi="Arial"/>
                <w:sz w:val="16"/>
                <w:szCs w:val="16"/>
                <w:color w:val="auto"/>
              </w:rPr>
              <w:t>18,138</w:t>
            </w:r>
          </w:p>
        </w:tc>
        <w:tc>
          <w:tcPr>
            <w:tcW w:w="500" w:type="dxa"/>
            <w:vAlign w:val="bottom"/>
            <w:tcBorders>
              <w:bottom w:val="single" w:sz="8" w:color="7F7F7F"/>
            </w:tcBorders>
          </w:tcPr>
          <w:p>
            <w:pPr>
              <w:spacing w:after="0"/>
              <w:rPr>
                <w:sz w:val="18"/>
                <w:szCs w:val="18"/>
                <w:color w:val="auto"/>
              </w:rPr>
            </w:pPr>
          </w:p>
        </w:tc>
        <w:tc>
          <w:tcPr>
            <w:tcW w:w="900" w:type="dxa"/>
            <w:vAlign w:val="bottom"/>
            <w:tcBorders>
              <w:bottom w:val="single" w:sz="8" w:color="7F7F7F"/>
            </w:tcBorders>
          </w:tcPr>
          <w:p>
            <w:pPr>
              <w:jc w:val="right"/>
              <w:ind w:right="139"/>
              <w:spacing w:after="0"/>
              <w:rPr>
                <w:sz w:val="20"/>
                <w:szCs w:val="20"/>
                <w:color w:val="auto"/>
              </w:rPr>
            </w:pPr>
            <w:r>
              <w:rPr>
                <w:rFonts w:ascii="Arial" w:cs="Arial" w:eastAsia="Arial" w:hAnsi="Arial"/>
                <w:sz w:val="16"/>
                <w:szCs w:val="16"/>
                <w:color w:val="auto"/>
              </w:rPr>
              <w:t>3,226</w:t>
            </w:r>
          </w:p>
        </w:tc>
        <w:tc>
          <w:tcPr>
            <w:tcW w:w="340" w:type="dxa"/>
            <w:vAlign w:val="bottom"/>
            <w:tcBorders>
              <w:bottom w:val="single" w:sz="8" w:color="7F7F7F"/>
            </w:tcBorders>
          </w:tcPr>
          <w:p>
            <w:pPr>
              <w:spacing w:after="0"/>
              <w:rPr>
                <w:sz w:val="18"/>
                <w:szCs w:val="18"/>
                <w:color w:val="auto"/>
              </w:rPr>
            </w:pPr>
          </w:p>
        </w:tc>
        <w:tc>
          <w:tcPr>
            <w:tcW w:w="960" w:type="dxa"/>
            <w:vAlign w:val="bottom"/>
            <w:tcBorders>
              <w:bottom w:val="single" w:sz="8" w:color="7F7F7F"/>
            </w:tcBorders>
          </w:tcPr>
          <w:p>
            <w:pPr>
              <w:jc w:val="right"/>
              <w:ind w:right="199"/>
              <w:spacing w:after="0"/>
              <w:rPr>
                <w:sz w:val="20"/>
                <w:szCs w:val="20"/>
                <w:color w:val="auto"/>
              </w:rPr>
            </w:pPr>
            <w:r>
              <w:rPr>
                <w:rFonts w:ascii="Arial" w:cs="Arial" w:eastAsia="Arial" w:hAnsi="Arial"/>
                <w:sz w:val="16"/>
                <w:szCs w:val="16"/>
                <w:color w:val="auto"/>
              </w:rPr>
              <w:t>14,912</w:t>
            </w:r>
          </w:p>
        </w:tc>
        <w:tc>
          <w:tcPr>
            <w:tcW w:w="1000" w:type="dxa"/>
            <w:vAlign w:val="bottom"/>
            <w:tcBorders>
              <w:bottom w:val="single" w:sz="8" w:color="7F7F7F"/>
            </w:tcBorders>
          </w:tcPr>
          <w:p>
            <w:pPr>
              <w:jc w:val="center"/>
              <w:ind w:left="659"/>
              <w:spacing w:after="0"/>
              <w:rPr>
                <w:sz w:val="20"/>
                <w:szCs w:val="20"/>
                <w:color w:val="auto"/>
              </w:rPr>
            </w:pPr>
            <w:r>
              <w:rPr>
                <w:rFonts w:ascii="Arial" w:cs="Arial" w:eastAsia="Arial" w:hAnsi="Arial"/>
                <w:sz w:val="16"/>
                <w:szCs w:val="16"/>
                <w:color w:val="auto"/>
              </w:rPr>
              <w:t>47</w:t>
            </w:r>
          </w:p>
        </w:tc>
        <w:tc>
          <w:tcPr>
            <w:tcW w:w="20" w:type="dxa"/>
            <w:vAlign w:val="bottom"/>
          </w:tcPr>
          <w:p>
            <w:pPr>
              <w:spacing w:after="0"/>
              <w:rPr>
                <w:sz w:val="18"/>
                <w:szCs w:val="18"/>
                <w:color w:val="auto"/>
              </w:rPr>
            </w:pPr>
          </w:p>
        </w:tc>
      </w:tr>
      <w:tr>
        <w:trPr>
          <w:trHeight w:val="309"/>
        </w:trPr>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road</w:t>
            </w:r>
          </w:p>
        </w:tc>
        <w:tc>
          <w:tcPr>
            <w:tcW w:w="8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49,037</w:t>
            </w:r>
          </w:p>
        </w:tc>
        <w:tc>
          <w:tcPr>
            <w:tcW w:w="5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13,114</w:t>
            </w:r>
          </w:p>
        </w:tc>
        <w:tc>
          <w:tcPr>
            <w:tcW w:w="3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35,923</w:t>
            </w:r>
          </w:p>
        </w:tc>
        <w:tc>
          <w:tcPr>
            <w:tcW w:w="1000" w:type="dxa"/>
            <w:vAlign w:val="bottom"/>
            <w:tcBorders>
              <w:bottom w:val="single" w:sz="8" w:color="CCEEFF"/>
            </w:tcBorders>
            <w:shd w:val="clear" w:color="auto" w:fill="CCEEFF"/>
          </w:tcPr>
          <w:p>
            <w:pPr>
              <w:jc w:val="center"/>
              <w:ind w:left="659"/>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24"/>
                <w:szCs w:val="24"/>
                <w:color w:val="auto"/>
              </w:rPr>
            </w:pPr>
          </w:p>
        </w:tc>
      </w:tr>
      <w:tr>
        <w:trPr>
          <w:trHeight w:val="200"/>
        </w:trPr>
        <w:tc>
          <w:tcPr>
            <w:tcW w:w="3360" w:type="dxa"/>
            <w:vAlign w:val="bottom"/>
            <w:tcBorders>
              <w:top w:val="single" w:sz="8" w:color="7F7F7F"/>
            </w:tcBorders>
          </w:tcPr>
          <w:p>
            <w:pPr>
              <w:spacing w:after="0"/>
              <w:rPr>
                <w:sz w:val="20"/>
                <w:szCs w:val="20"/>
                <w:color w:val="auto"/>
              </w:rPr>
            </w:pPr>
            <w:r>
              <w:rPr>
                <w:rFonts w:ascii="Arial" w:cs="Arial" w:eastAsia="Arial" w:hAnsi="Arial"/>
                <w:sz w:val="16"/>
                <w:szCs w:val="16"/>
                <w:color w:val="auto"/>
              </w:rPr>
              <w:t>Equipment:</w:t>
            </w:r>
          </w:p>
        </w:tc>
        <w:tc>
          <w:tcPr>
            <w:tcW w:w="860" w:type="dxa"/>
            <w:vAlign w:val="bottom"/>
            <w:tcBorders>
              <w:top w:val="single" w:sz="8" w:color="7F7F7F"/>
            </w:tcBorders>
          </w:tcPr>
          <w:p>
            <w:pPr>
              <w:spacing w:after="0"/>
              <w:rPr>
                <w:sz w:val="17"/>
                <w:szCs w:val="17"/>
                <w:color w:val="auto"/>
              </w:rPr>
            </w:pPr>
          </w:p>
        </w:tc>
        <w:tc>
          <w:tcPr>
            <w:tcW w:w="900" w:type="dxa"/>
            <w:vAlign w:val="bottom"/>
            <w:tcBorders>
              <w:top w:val="single" w:sz="8" w:color="7F7F7F"/>
            </w:tcBorders>
          </w:tcPr>
          <w:p>
            <w:pPr>
              <w:spacing w:after="0"/>
              <w:rPr>
                <w:sz w:val="17"/>
                <w:szCs w:val="17"/>
                <w:color w:val="auto"/>
              </w:rPr>
            </w:pPr>
          </w:p>
        </w:tc>
        <w:tc>
          <w:tcPr>
            <w:tcW w:w="500" w:type="dxa"/>
            <w:vAlign w:val="bottom"/>
            <w:tcBorders>
              <w:top w:val="single" w:sz="8" w:color="7F7F7F"/>
            </w:tcBorders>
          </w:tcPr>
          <w:p>
            <w:pPr>
              <w:spacing w:after="0"/>
              <w:rPr>
                <w:sz w:val="17"/>
                <w:szCs w:val="17"/>
                <w:color w:val="auto"/>
              </w:rPr>
            </w:pPr>
          </w:p>
        </w:tc>
        <w:tc>
          <w:tcPr>
            <w:tcW w:w="900" w:type="dxa"/>
            <w:vAlign w:val="bottom"/>
            <w:tcBorders>
              <w:top w:val="single" w:sz="8" w:color="7F7F7F"/>
            </w:tcBorders>
          </w:tcPr>
          <w:p>
            <w:pPr>
              <w:spacing w:after="0"/>
              <w:rPr>
                <w:sz w:val="17"/>
                <w:szCs w:val="17"/>
                <w:color w:val="auto"/>
              </w:rPr>
            </w:pPr>
          </w:p>
        </w:tc>
        <w:tc>
          <w:tcPr>
            <w:tcW w:w="340" w:type="dxa"/>
            <w:vAlign w:val="bottom"/>
            <w:tcBorders>
              <w:top w:val="single" w:sz="8" w:color="7F7F7F"/>
            </w:tcBorders>
          </w:tcPr>
          <w:p>
            <w:pPr>
              <w:spacing w:after="0"/>
              <w:rPr>
                <w:sz w:val="17"/>
                <w:szCs w:val="17"/>
                <w:color w:val="auto"/>
              </w:rPr>
            </w:pPr>
          </w:p>
        </w:tc>
        <w:tc>
          <w:tcPr>
            <w:tcW w:w="960" w:type="dxa"/>
            <w:vAlign w:val="bottom"/>
            <w:tcBorders>
              <w:top w:val="single" w:sz="8" w:color="7F7F7F"/>
            </w:tcBorders>
          </w:tcPr>
          <w:p>
            <w:pPr>
              <w:spacing w:after="0"/>
              <w:rPr>
                <w:sz w:val="17"/>
                <w:szCs w:val="17"/>
                <w:color w:val="auto"/>
              </w:rPr>
            </w:pPr>
          </w:p>
        </w:tc>
        <w:tc>
          <w:tcPr>
            <w:tcW w:w="1000" w:type="dxa"/>
            <w:vAlign w:val="bottom"/>
            <w:tcBorders>
              <w:top w:val="single" w:sz="8" w:color="7F7F7F"/>
            </w:tcBorders>
          </w:tcPr>
          <w:p>
            <w:pPr>
              <w:spacing w:after="0"/>
              <w:rPr>
                <w:sz w:val="17"/>
                <w:szCs w:val="17"/>
                <w:color w:val="auto"/>
              </w:rPr>
            </w:pPr>
          </w:p>
        </w:tc>
        <w:tc>
          <w:tcPr>
            <w:tcW w:w="20" w:type="dxa"/>
            <w:vAlign w:val="bottom"/>
          </w:tcPr>
          <w:p>
            <w:pPr>
              <w:spacing w:after="0"/>
              <w:rPr>
                <w:sz w:val="17"/>
                <w:szCs w:val="17"/>
                <w:color w:val="auto"/>
              </w:rPr>
            </w:pPr>
          </w:p>
        </w:tc>
      </w:tr>
      <w:tr>
        <w:trPr>
          <w:trHeight w:val="219"/>
        </w:trPr>
        <w:tc>
          <w:tcPr>
            <w:tcW w:w="33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Locomotives</w:t>
            </w:r>
          </w:p>
        </w:tc>
        <w:tc>
          <w:tcPr>
            <w:tcW w:w="8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9,692</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3,939</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5,753</w:t>
            </w:r>
          </w:p>
        </w:tc>
        <w:tc>
          <w:tcPr>
            <w:tcW w:w="1000" w:type="dxa"/>
            <w:vAlign w:val="bottom"/>
            <w:shd w:val="clear" w:color="auto" w:fill="CCEEFF"/>
          </w:tcPr>
          <w:p>
            <w:pPr>
              <w:jc w:val="center"/>
              <w:ind w:left="659"/>
              <w:spacing w:after="0"/>
              <w:rPr>
                <w:sz w:val="20"/>
                <w:szCs w:val="20"/>
                <w:color w:val="auto"/>
              </w:rPr>
            </w:pPr>
            <w:r>
              <w:rPr>
                <w:rFonts w:ascii="Arial" w:cs="Arial" w:eastAsia="Arial" w:hAnsi="Arial"/>
                <w:sz w:val="16"/>
                <w:szCs w:val="16"/>
                <w:color w:val="auto"/>
              </w:rPr>
              <w:t>20</w:t>
            </w:r>
          </w:p>
        </w:tc>
        <w:tc>
          <w:tcPr>
            <w:tcW w:w="20" w:type="dxa"/>
            <w:vAlign w:val="bottom"/>
          </w:tcPr>
          <w:p>
            <w:pPr>
              <w:spacing w:after="0"/>
              <w:rPr>
                <w:sz w:val="19"/>
                <w:szCs w:val="19"/>
                <w:color w:val="auto"/>
              </w:rPr>
            </w:pPr>
          </w:p>
        </w:tc>
      </w:tr>
      <w:tr>
        <w:trPr>
          <w:trHeight w:val="213"/>
        </w:trPr>
        <w:tc>
          <w:tcPr>
            <w:tcW w:w="3360" w:type="dxa"/>
            <w:vAlign w:val="bottom"/>
          </w:tcPr>
          <w:p>
            <w:pPr>
              <w:ind w:left="100"/>
              <w:spacing w:after="0"/>
              <w:rPr>
                <w:sz w:val="20"/>
                <w:szCs w:val="20"/>
                <w:color w:val="auto"/>
              </w:rPr>
            </w:pPr>
            <w:r>
              <w:rPr>
                <w:rFonts w:ascii="Arial" w:cs="Arial" w:eastAsia="Arial" w:hAnsi="Arial"/>
                <w:sz w:val="16"/>
                <w:szCs w:val="16"/>
                <w:color w:val="auto"/>
              </w:rPr>
              <w:t>Freight cars</w:t>
            </w:r>
          </w:p>
        </w:tc>
        <w:tc>
          <w:tcPr>
            <w:tcW w:w="860" w:type="dxa"/>
            <w:vAlign w:val="bottom"/>
          </w:tcPr>
          <w:p>
            <w:pPr>
              <w:spacing w:after="0"/>
              <w:rPr>
                <w:sz w:val="18"/>
                <w:szCs w:val="18"/>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2,243</w:t>
            </w:r>
          </w:p>
        </w:tc>
        <w:tc>
          <w:tcPr>
            <w:tcW w:w="500" w:type="dxa"/>
            <w:vAlign w:val="bottom"/>
          </w:tcPr>
          <w:p>
            <w:pPr>
              <w:spacing w:after="0"/>
              <w:rPr>
                <w:sz w:val="18"/>
                <w:szCs w:val="18"/>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972</w:t>
            </w:r>
          </w:p>
        </w:tc>
        <w:tc>
          <w:tcPr>
            <w:tcW w:w="34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1,271</w:t>
            </w:r>
          </w:p>
        </w:tc>
        <w:tc>
          <w:tcPr>
            <w:tcW w:w="1000" w:type="dxa"/>
            <w:vAlign w:val="bottom"/>
          </w:tcPr>
          <w:p>
            <w:pPr>
              <w:jc w:val="center"/>
              <w:ind w:left="659"/>
              <w:spacing w:after="0"/>
              <w:rPr>
                <w:sz w:val="20"/>
                <w:szCs w:val="20"/>
                <w:color w:val="auto"/>
              </w:rPr>
            </w:pPr>
            <w:r>
              <w:rPr>
                <w:rFonts w:ascii="Arial" w:cs="Arial" w:eastAsia="Arial" w:hAnsi="Arial"/>
                <w:sz w:val="16"/>
                <w:szCs w:val="16"/>
                <w:color w:val="auto"/>
              </w:rPr>
              <w:t>24</w:t>
            </w:r>
          </w:p>
        </w:tc>
        <w:tc>
          <w:tcPr>
            <w:tcW w:w="20" w:type="dxa"/>
            <w:vAlign w:val="bottom"/>
          </w:tcPr>
          <w:p>
            <w:pPr>
              <w:spacing w:after="0"/>
              <w:rPr>
                <w:sz w:val="18"/>
                <w:szCs w:val="18"/>
                <w:color w:val="auto"/>
              </w:rPr>
            </w:pPr>
          </w:p>
        </w:tc>
      </w:tr>
      <w:tr>
        <w:trPr>
          <w:trHeight w:val="213"/>
        </w:trPr>
        <w:tc>
          <w:tcPr>
            <w:tcW w:w="3360" w:type="dxa"/>
            <w:vAlign w:val="bottom"/>
            <w:tcBorders>
              <w:bottom w:val="single" w:sz="8" w:color="7F7F7F"/>
            </w:tcBorders>
            <w:shd w:val="clear" w:color="auto" w:fill="CCEEFF"/>
          </w:tcPr>
          <w:p>
            <w:pPr>
              <w:ind w:left="100"/>
              <w:spacing w:after="0"/>
              <w:rPr>
                <w:sz w:val="20"/>
                <w:szCs w:val="20"/>
                <w:color w:val="auto"/>
              </w:rPr>
            </w:pPr>
            <w:r>
              <w:rPr>
                <w:rFonts w:ascii="Arial" w:cs="Arial" w:eastAsia="Arial" w:hAnsi="Arial"/>
                <w:sz w:val="16"/>
                <w:szCs w:val="16"/>
                <w:color w:val="auto"/>
              </w:rPr>
              <w:t>Work equipment and other</w:t>
            </w:r>
          </w:p>
        </w:tc>
        <w:tc>
          <w:tcPr>
            <w:tcW w:w="860" w:type="dxa"/>
            <w:vAlign w:val="bottom"/>
            <w:tcBorders>
              <w:bottom w:val="single" w:sz="8" w:color="7F7F7F"/>
            </w:tcBorders>
            <w:shd w:val="clear" w:color="auto" w:fill="CCEEFF"/>
          </w:tcPr>
          <w:p>
            <w:pPr>
              <w:spacing w:after="0"/>
              <w:rPr>
                <w:sz w:val="18"/>
                <w:szCs w:val="18"/>
                <w:color w:val="auto"/>
              </w:rPr>
            </w:pPr>
          </w:p>
        </w:tc>
        <w:tc>
          <w:tcPr>
            <w:tcW w:w="900" w:type="dxa"/>
            <w:vAlign w:val="bottom"/>
            <w:tcBorders>
              <w:bottom w:val="single" w:sz="8" w:color="7F7F7F"/>
            </w:tcBorders>
            <w:shd w:val="clear" w:color="auto" w:fill="CCEEFF"/>
          </w:tcPr>
          <w:p>
            <w:pPr>
              <w:jc w:val="right"/>
              <w:ind w:right="199"/>
              <w:spacing w:after="0"/>
              <w:rPr>
                <w:sz w:val="20"/>
                <w:szCs w:val="20"/>
                <w:color w:val="auto"/>
              </w:rPr>
            </w:pPr>
            <w:r>
              <w:rPr>
                <w:rFonts w:ascii="Arial" w:cs="Arial" w:eastAsia="Arial" w:hAnsi="Arial"/>
                <w:sz w:val="16"/>
                <w:szCs w:val="16"/>
                <w:color w:val="auto"/>
              </w:rPr>
              <w:t>905</w:t>
            </w:r>
          </w:p>
        </w:tc>
        <w:tc>
          <w:tcPr>
            <w:tcW w:w="500" w:type="dxa"/>
            <w:vAlign w:val="bottom"/>
            <w:tcBorders>
              <w:bottom w:val="single" w:sz="8" w:color="7F7F7F"/>
            </w:tcBorders>
            <w:shd w:val="clear" w:color="auto" w:fill="CCEEFF"/>
          </w:tcPr>
          <w:p>
            <w:pPr>
              <w:spacing w:after="0"/>
              <w:rPr>
                <w:sz w:val="18"/>
                <w:szCs w:val="18"/>
                <w:color w:val="auto"/>
              </w:rPr>
            </w:pPr>
          </w:p>
        </w:tc>
        <w:tc>
          <w:tcPr>
            <w:tcW w:w="900" w:type="dxa"/>
            <w:vAlign w:val="bottom"/>
            <w:tcBorders>
              <w:bottom w:val="single" w:sz="8" w:color="7F7F7F"/>
            </w:tcBorders>
            <w:shd w:val="clear" w:color="auto" w:fill="CCEEFF"/>
          </w:tcPr>
          <w:p>
            <w:pPr>
              <w:jc w:val="right"/>
              <w:ind w:right="139"/>
              <w:spacing w:after="0"/>
              <w:rPr>
                <w:sz w:val="20"/>
                <w:szCs w:val="20"/>
                <w:color w:val="auto"/>
              </w:rPr>
            </w:pPr>
            <w:r>
              <w:rPr>
                <w:rFonts w:ascii="Arial" w:cs="Arial" w:eastAsia="Arial" w:hAnsi="Arial"/>
                <w:sz w:val="16"/>
                <w:szCs w:val="16"/>
                <w:color w:val="auto"/>
              </w:rPr>
              <w:t>232</w:t>
            </w:r>
          </w:p>
        </w:tc>
        <w:tc>
          <w:tcPr>
            <w:tcW w:w="340" w:type="dxa"/>
            <w:vAlign w:val="bottom"/>
            <w:tcBorders>
              <w:bottom w:val="single" w:sz="8" w:color="7F7F7F"/>
            </w:tcBorders>
            <w:shd w:val="clear" w:color="auto" w:fill="CCEEFF"/>
          </w:tcPr>
          <w:p>
            <w:pPr>
              <w:spacing w:after="0"/>
              <w:rPr>
                <w:sz w:val="18"/>
                <w:szCs w:val="18"/>
                <w:color w:val="auto"/>
              </w:rPr>
            </w:pPr>
          </w:p>
        </w:tc>
        <w:tc>
          <w:tcPr>
            <w:tcW w:w="960" w:type="dxa"/>
            <w:vAlign w:val="bottom"/>
            <w:tcBorders>
              <w:bottom w:val="single" w:sz="8" w:color="7F7F7F"/>
            </w:tcBorders>
            <w:shd w:val="clear" w:color="auto" w:fill="CCEEFF"/>
          </w:tcPr>
          <w:p>
            <w:pPr>
              <w:jc w:val="right"/>
              <w:ind w:right="199"/>
              <w:spacing w:after="0"/>
              <w:rPr>
                <w:sz w:val="20"/>
                <w:szCs w:val="20"/>
                <w:color w:val="auto"/>
              </w:rPr>
            </w:pPr>
            <w:r>
              <w:rPr>
                <w:rFonts w:ascii="Arial" w:cs="Arial" w:eastAsia="Arial" w:hAnsi="Arial"/>
                <w:sz w:val="16"/>
                <w:szCs w:val="16"/>
                <w:color w:val="auto"/>
              </w:rPr>
              <w:t>673</w:t>
            </w:r>
          </w:p>
        </w:tc>
        <w:tc>
          <w:tcPr>
            <w:tcW w:w="1000" w:type="dxa"/>
            <w:vAlign w:val="bottom"/>
            <w:tcBorders>
              <w:bottom w:val="single" w:sz="8" w:color="7F7F7F"/>
            </w:tcBorders>
            <w:shd w:val="clear" w:color="auto" w:fill="CCEEFF"/>
          </w:tcPr>
          <w:p>
            <w:pPr>
              <w:jc w:val="center"/>
              <w:ind w:left="659"/>
              <w:spacing w:after="0"/>
              <w:rPr>
                <w:sz w:val="20"/>
                <w:szCs w:val="20"/>
                <w:color w:val="auto"/>
              </w:rPr>
            </w:pPr>
            <w:r>
              <w:rPr>
                <w:rFonts w:ascii="Arial" w:cs="Arial" w:eastAsia="Arial" w:hAnsi="Arial"/>
                <w:sz w:val="16"/>
                <w:szCs w:val="16"/>
                <w:color w:val="auto"/>
              </w:rPr>
              <w:t>19</w:t>
            </w:r>
          </w:p>
        </w:tc>
        <w:tc>
          <w:tcPr>
            <w:tcW w:w="20" w:type="dxa"/>
            <w:vAlign w:val="bottom"/>
          </w:tcPr>
          <w:p>
            <w:pPr>
              <w:spacing w:after="0"/>
              <w:rPr>
                <w:sz w:val="18"/>
                <w:szCs w:val="18"/>
                <w:color w:val="auto"/>
              </w:rPr>
            </w:pPr>
          </w:p>
        </w:tc>
      </w:tr>
      <w:tr>
        <w:trPr>
          <w:trHeight w:val="251"/>
        </w:trPr>
        <w:tc>
          <w:tcPr>
            <w:tcW w:w="3360" w:type="dxa"/>
            <w:vAlign w:val="bottom"/>
          </w:tcPr>
          <w:p>
            <w:pPr>
              <w:spacing w:after="0"/>
              <w:rPr>
                <w:sz w:val="20"/>
                <w:szCs w:val="20"/>
                <w:color w:val="auto"/>
              </w:rPr>
            </w:pPr>
            <w:r>
              <w:rPr>
                <w:rFonts w:ascii="Arial" w:cs="Arial" w:eastAsia="Arial" w:hAnsi="Arial"/>
                <w:sz w:val="16"/>
                <w:szCs w:val="16"/>
                <w:color w:val="auto"/>
              </w:rPr>
              <w:t>Total equipment</w:t>
            </w:r>
          </w:p>
        </w:tc>
        <w:tc>
          <w:tcPr>
            <w:tcW w:w="860" w:type="dxa"/>
            <w:vAlign w:val="bottom"/>
          </w:tcPr>
          <w:p>
            <w:pPr>
              <w:spacing w:after="0"/>
              <w:rPr>
                <w:sz w:val="21"/>
                <w:szCs w:val="21"/>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12,840</w:t>
            </w:r>
          </w:p>
        </w:tc>
        <w:tc>
          <w:tcPr>
            <w:tcW w:w="500" w:type="dxa"/>
            <w:vAlign w:val="bottom"/>
          </w:tcPr>
          <w:p>
            <w:pPr>
              <w:spacing w:after="0"/>
              <w:rPr>
                <w:sz w:val="21"/>
                <w:szCs w:val="21"/>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5,143</w:t>
            </w:r>
          </w:p>
        </w:tc>
        <w:tc>
          <w:tcPr>
            <w:tcW w:w="340" w:type="dxa"/>
            <w:vAlign w:val="bottom"/>
          </w:tcPr>
          <w:p>
            <w:pPr>
              <w:spacing w:after="0"/>
              <w:rPr>
                <w:sz w:val="21"/>
                <w:szCs w:val="21"/>
                <w:color w:val="auto"/>
              </w:rPr>
            </w:pP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7,697</w:t>
            </w:r>
          </w:p>
        </w:tc>
        <w:tc>
          <w:tcPr>
            <w:tcW w:w="1020" w:type="dxa"/>
            <w:vAlign w:val="bottom"/>
            <w:gridSpan w:val="2"/>
          </w:tcPr>
          <w:p>
            <w:pPr>
              <w:jc w:val="center"/>
              <w:ind w:left="639"/>
              <w:spacing w:after="0"/>
              <w:rPr>
                <w:sz w:val="20"/>
                <w:szCs w:val="20"/>
                <w:color w:val="auto"/>
              </w:rPr>
            </w:pPr>
            <w:r>
              <w:rPr>
                <w:rFonts w:ascii="Arial" w:cs="Arial" w:eastAsia="Arial" w:hAnsi="Arial"/>
                <w:sz w:val="16"/>
                <w:szCs w:val="16"/>
                <w:color w:val="auto"/>
                <w:w w:val="97"/>
              </w:rPr>
              <w:t>N/A</w:t>
            </w:r>
          </w:p>
        </w:tc>
      </w:tr>
      <w:tr>
        <w:trPr>
          <w:trHeight w:val="54"/>
        </w:trPr>
        <w:tc>
          <w:tcPr>
            <w:tcW w:w="3360" w:type="dxa"/>
            <w:vAlign w:val="bottom"/>
            <w:tcBorders>
              <w:bottom w:val="single" w:sz="8" w:color="7F7F7F"/>
            </w:tcBorders>
          </w:tcPr>
          <w:p>
            <w:pPr>
              <w:spacing w:after="0"/>
              <w:rPr>
                <w:sz w:val="4"/>
                <w:szCs w:val="4"/>
                <w:color w:val="auto"/>
              </w:rPr>
            </w:pPr>
          </w:p>
        </w:tc>
        <w:tc>
          <w:tcPr>
            <w:tcW w:w="860" w:type="dxa"/>
            <w:vAlign w:val="bottom"/>
            <w:tcBorders>
              <w:bottom w:val="single" w:sz="8" w:color="7F7F7F"/>
            </w:tcBorders>
          </w:tcPr>
          <w:p>
            <w:pPr>
              <w:spacing w:after="0"/>
              <w:rPr>
                <w:sz w:val="4"/>
                <w:szCs w:val="4"/>
                <w:color w:val="auto"/>
              </w:rPr>
            </w:pPr>
          </w:p>
        </w:tc>
        <w:tc>
          <w:tcPr>
            <w:tcW w:w="900" w:type="dxa"/>
            <w:vAlign w:val="bottom"/>
            <w:tcBorders>
              <w:bottom w:val="single" w:sz="8" w:color="7F7F7F"/>
            </w:tcBorders>
          </w:tcPr>
          <w:p>
            <w:pPr>
              <w:spacing w:after="0"/>
              <w:rPr>
                <w:sz w:val="4"/>
                <w:szCs w:val="4"/>
                <w:color w:val="auto"/>
              </w:rPr>
            </w:pPr>
          </w:p>
        </w:tc>
        <w:tc>
          <w:tcPr>
            <w:tcW w:w="500" w:type="dxa"/>
            <w:vAlign w:val="bottom"/>
            <w:tcBorders>
              <w:bottom w:val="single" w:sz="8" w:color="7F7F7F"/>
            </w:tcBorders>
          </w:tcPr>
          <w:p>
            <w:pPr>
              <w:spacing w:after="0"/>
              <w:rPr>
                <w:sz w:val="4"/>
                <w:szCs w:val="4"/>
                <w:color w:val="auto"/>
              </w:rPr>
            </w:pPr>
          </w:p>
        </w:tc>
        <w:tc>
          <w:tcPr>
            <w:tcW w:w="900" w:type="dxa"/>
            <w:vAlign w:val="bottom"/>
            <w:tcBorders>
              <w:bottom w:val="single" w:sz="8" w:color="7F7F7F"/>
            </w:tcBorders>
          </w:tcPr>
          <w:p>
            <w:pPr>
              <w:spacing w:after="0"/>
              <w:rPr>
                <w:sz w:val="4"/>
                <w:szCs w:val="4"/>
                <w:color w:val="auto"/>
              </w:rPr>
            </w:pPr>
          </w:p>
        </w:tc>
        <w:tc>
          <w:tcPr>
            <w:tcW w:w="340" w:type="dxa"/>
            <w:vAlign w:val="bottom"/>
            <w:tcBorders>
              <w:bottom w:val="single" w:sz="8" w:color="7F7F7F"/>
            </w:tcBorders>
          </w:tcPr>
          <w:p>
            <w:pPr>
              <w:spacing w:after="0"/>
              <w:rPr>
                <w:sz w:val="4"/>
                <w:szCs w:val="4"/>
                <w:color w:val="auto"/>
              </w:rPr>
            </w:pPr>
          </w:p>
        </w:tc>
        <w:tc>
          <w:tcPr>
            <w:tcW w:w="960" w:type="dxa"/>
            <w:vAlign w:val="bottom"/>
            <w:tcBorders>
              <w:bottom w:val="single" w:sz="8" w:color="7F7F7F"/>
            </w:tcBorders>
          </w:tcPr>
          <w:p>
            <w:pPr>
              <w:spacing w:after="0"/>
              <w:rPr>
                <w:sz w:val="4"/>
                <w:szCs w:val="4"/>
                <w:color w:val="auto"/>
              </w:rPr>
            </w:pPr>
          </w:p>
        </w:tc>
        <w:tc>
          <w:tcPr>
            <w:tcW w:w="1000" w:type="dxa"/>
            <w:vAlign w:val="bottom"/>
            <w:tcBorders>
              <w:bottom w:val="single" w:sz="8" w:color="7F7F7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Technology and other</w:t>
            </w:r>
          </w:p>
        </w:tc>
        <w:tc>
          <w:tcPr>
            <w:tcW w:w="8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974</w:t>
            </w:r>
          </w:p>
        </w:tc>
        <w:tc>
          <w:tcPr>
            <w:tcW w:w="5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412</w:t>
            </w: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562</w:t>
            </w:r>
          </w:p>
        </w:tc>
        <w:tc>
          <w:tcPr>
            <w:tcW w:w="1000" w:type="dxa"/>
            <w:vAlign w:val="bottom"/>
            <w:shd w:val="clear" w:color="auto" w:fill="CCEEFF"/>
          </w:tcPr>
          <w:p>
            <w:pPr>
              <w:jc w:val="center"/>
              <w:ind w:left="659"/>
              <w:spacing w:after="0"/>
              <w:rPr>
                <w:sz w:val="20"/>
                <w:szCs w:val="20"/>
                <w:color w:val="auto"/>
              </w:rPr>
            </w:pPr>
            <w:r>
              <w:rPr>
                <w:rFonts w:ascii="Arial" w:cs="Arial" w:eastAsia="Arial" w:hAnsi="Arial"/>
                <w:sz w:val="16"/>
                <w:szCs w:val="16"/>
                <w:color w:val="auto"/>
              </w:rPr>
              <w:t>11</w:t>
            </w:r>
          </w:p>
        </w:tc>
        <w:tc>
          <w:tcPr>
            <w:tcW w:w="20" w:type="dxa"/>
            <w:vAlign w:val="bottom"/>
          </w:tcPr>
          <w:p>
            <w:pPr>
              <w:spacing w:after="0"/>
              <w:rPr>
                <w:sz w:val="17"/>
                <w:szCs w:val="17"/>
                <w:color w:val="auto"/>
              </w:rPr>
            </w:pPr>
          </w:p>
        </w:tc>
      </w:tr>
      <w:tr>
        <w:trPr>
          <w:trHeight w:val="210"/>
        </w:trPr>
        <w:tc>
          <w:tcPr>
            <w:tcW w:w="3360" w:type="dxa"/>
            <w:vAlign w:val="bottom"/>
          </w:tcPr>
          <w:p>
            <w:pPr>
              <w:spacing w:after="0"/>
              <w:rPr>
                <w:sz w:val="20"/>
                <w:szCs w:val="20"/>
                <w:color w:val="auto"/>
              </w:rPr>
            </w:pPr>
            <w:r>
              <w:rPr>
                <w:rFonts w:ascii="Arial" w:cs="Arial" w:eastAsia="Arial" w:hAnsi="Arial"/>
                <w:sz w:val="16"/>
                <w:szCs w:val="16"/>
                <w:color w:val="auto"/>
              </w:rPr>
              <w:t>Construction in progress</w:t>
            </w:r>
          </w:p>
        </w:tc>
        <w:tc>
          <w:tcPr>
            <w:tcW w:w="860" w:type="dxa"/>
            <w:vAlign w:val="bottom"/>
          </w:tcPr>
          <w:p>
            <w:pPr>
              <w:spacing w:after="0"/>
              <w:rPr>
                <w:sz w:val="18"/>
                <w:szCs w:val="18"/>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987</w:t>
            </w:r>
          </w:p>
        </w:tc>
        <w:tc>
          <w:tcPr>
            <w:tcW w:w="500" w:type="dxa"/>
            <w:vAlign w:val="bottom"/>
          </w:tcPr>
          <w:p>
            <w:pPr>
              <w:spacing w:after="0"/>
              <w:rPr>
                <w:sz w:val="18"/>
                <w:szCs w:val="18"/>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987</w:t>
            </w:r>
          </w:p>
        </w:tc>
        <w:tc>
          <w:tcPr>
            <w:tcW w:w="1020" w:type="dxa"/>
            <w:vAlign w:val="bottom"/>
            <w:gridSpan w:val="2"/>
          </w:tcPr>
          <w:p>
            <w:pPr>
              <w:jc w:val="center"/>
              <w:ind w:left="639"/>
              <w:spacing w:after="0"/>
              <w:rPr>
                <w:sz w:val="20"/>
                <w:szCs w:val="20"/>
                <w:color w:val="auto"/>
              </w:rPr>
            </w:pPr>
            <w:r>
              <w:rPr>
                <w:rFonts w:ascii="Arial" w:cs="Arial" w:eastAsia="Arial" w:hAnsi="Arial"/>
                <w:sz w:val="16"/>
                <w:szCs w:val="16"/>
                <w:color w:val="auto"/>
                <w:w w:val="97"/>
              </w:rPr>
              <w:t>N/A</w:t>
            </w:r>
          </w:p>
        </w:tc>
      </w:tr>
      <w:tr>
        <w:trPr>
          <w:trHeight w:val="264"/>
        </w:trPr>
        <w:tc>
          <w:tcPr>
            <w:tcW w:w="3360" w:type="dxa"/>
            <w:vAlign w:val="bottom"/>
            <w:tcBorders>
              <w:top w:val="single" w:sz="8" w:color="7F7F7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860" w:type="dxa"/>
            <w:vAlign w:val="bottom"/>
            <w:tcBorders>
              <w:top w:val="single" w:sz="8" w:color="7F7F7F"/>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7F7F7F"/>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69,058</w:t>
            </w:r>
          </w:p>
        </w:tc>
        <w:tc>
          <w:tcPr>
            <w:tcW w:w="500" w:type="dxa"/>
            <w:vAlign w:val="bottom"/>
            <w:tcBorders>
              <w:top w:val="single" w:sz="8" w:color="7F7F7F"/>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7F7F7F"/>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18,669</w:t>
            </w:r>
          </w:p>
        </w:tc>
        <w:tc>
          <w:tcPr>
            <w:tcW w:w="340" w:type="dxa"/>
            <w:vAlign w:val="bottom"/>
            <w:tcBorders>
              <w:top w:val="single" w:sz="8" w:color="7F7F7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7F7F7F"/>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50,389</w:t>
            </w:r>
          </w:p>
        </w:tc>
        <w:tc>
          <w:tcPr>
            <w:tcW w:w="1000" w:type="dxa"/>
            <w:vAlign w:val="bottom"/>
            <w:tcBorders>
              <w:top w:val="single" w:sz="8" w:color="7F7F7F"/>
              <w:bottom w:val="single" w:sz="8" w:color="CCEEFF"/>
            </w:tcBorders>
            <w:shd w:val="clear" w:color="auto" w:fill="CCEEFF"/>
          </w:tcPr>
          <w:p>
            <w:pPr>
              <w:jc w:val="center"/>
              <w:ind w:left="659"/>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22"/>
                <w:szCs w:val="22"/>
                <w:color w:val="auto"/>
              </w:rPr>
            </w:pPr>
          </w:p>
        </w:tc>
      </w:tr>
      <w:tr>
        <w:trPr>
          <w:trHeight w:val="54"/>
        </w:trPr>
        <w:tc>
          <w:tcPr>
            <w:tcW w:w="3360" w:type="dxa"/>
            <w:vAlign w:val="bottom"/>
            <w:shd w:val="clear" w:color="auto" w:fill="7F7F7F"/>
          </w:tcPr>
          <w:p>
            <w:pPr>
              <w:spacing w:after="0"/>
              <w:rPr>
                <w:sz w:val="4"/>
                <w:szCs w:val="4"/>
                <w:color w:val="auto"/>
              </w:rPr>
            </w:pPr>
          </w:p>
        </w:tc>
        <w:tc>
          <w:tcPr>
            <w:tcW w:w="860" w:type="dxa"/>
            <w:vAlign w:val="bottom"/>
            <w:shd w:val="clear" w:color="auto" w:fill="7F7F7F"/>
          </w:tcPr>
          <w:p>
            <w:pPr>
              <w:spacing w:after="0"/>
              <w:rPr>
                <w:sz w:val="4"/>
                <w:szCs w:val="4"/>
                <w:color w:val="auto"/>
              </w:rPr>
            </w:pPr>
          </w:p>
        </w:tc>
        <w:tc>
          <w:tcPr>
            <w:tcW w:w="900" w:type="dxa"/>
            <w:vAlign w:val="bottom"/>
            <w:shd w:val="clear" w:color="auto" w:fill="7F7F7F"/>
          </w:tcPr>
          <w:p>
            <w:pPr>
              <w:spacing w:after="0"/>
              <w:rPr>
                <w:sz w:val="4"/>
                <w:szCs w:val="4"/>
                <w:color w:val="auto"/>
              </w:rPr>
            </w:pPr>
          </w:p>
        </w:tc>
        <w:tc>
          <w:tcPr>
            <w:tcW w:w="500" w:type="dxa"/>
            <w:vAlign w:val="bottom"/>
            <w:shd w:val="clear" w:color="auto" w:fill="7F7F7F"/>
          </w:tcPr>
          <w:p>
            <w:pPr>
              <w:spacing w:after="0"/>
              <w:rPr>
                <w:sz w:val="4"/>
                <w:szCs w:val="4"/>
                <w:color w:val="auto"/>
              </w:rPr>
            </w:pPr>
          </w:p>
        </w:tc>
        <w:tc>
          <w:tcPr>
            <w:tcW w:w="900" w:type="dxa"/>
            <w:vAlign w:val="bottom"/>
            <w:shd w:val="clear" w:color="auto" w:fill="7F7F7F"/>
          </w:tcPr>
          <w:p>
            <w:pPr>
              <w:spacing w:after="0"/>
              <w:rPr>
                <w:sz w:val="4"/>
                <w:szCs w:val="4"/>
                <w:color w:val="auto"/>
              </w:rPr>
            </w:pPr>
          </w:p>
        </w:tc>
        <w:tc>
          <w:tcPr>
            <w:tcW w:w="340" w:type="dxa"/>
            <w:vAlign w:val="bottom"/>
            <w:shd w:val="clear" w:color="auto" w:fill="7F7F7F"/>
          </w:tcPr>
          <w:p>
            <w:pPr>
              <w:spacing w:after="0"/>
              <w:rPr>
                <w:sz w:val="4"/>
                <w:szCs w:val="4"/>
                <w:color w:val="auto"/>
              </w:rPr>
            </w:pPr>
          </w:p>
        </w:tc>
        <w:tc>
          <w:tcPr>
            <w:tcW w:w="960" w:type="dxa"/>
            <w:vAlign w:val="bottom"/>
            <w:shd w:val="clear" w:color="auto" w:fill="7F7F7F"/>
          </w:tcPr>
          <w:p>
            <w:pPr>
              <w:spacing w:after="0"/>
              <w:rPr>
                <w:sz w:val="4"/>
                <w:szCs w:val="4"/>
                <w:color w:val="auto"/>
              </w:rPr>
            </w:pPr>
          </w:p>
        </w:tc>
        <w:tc>
          <w:tcPr>
            <w:tcW w:w="1000" w:type="dxa"/>
            <w:vAlign w:val="bottom"/>
            <w:shd w:val="clear" w:color="auto" w:fill="7F7F7F"/>
          </w:tcPr>
          <w:p>
            <w:pPr>
              <w:spacing w:after="0"/>
              <w:rPr>
                <w:sz w:val="4"/>
                <w:szCs w:val="4"/>
                <w:color w:val="auto"/>
              </w:rPr>
            </w:pPr>
          </w:p>
        </w:tc>
        <w:tc>
          <w:tcPr>
            <w:tcW w:w="20" w:type="dxa"/>
            <w:vAlign w:val="bottom"/>
          </w:tcPr>
          <w:p>
            <w:pPr>
              <w:spacing w:after="0"/>
              <w:rPr>
                <w:sz w:val="4"/>
                <w:szCs w:val="4"/>
                <w:color w:val="auto"/>
              </w:rPr>
            </w:pPr>
          </w:p>
        </w:tc>
      </w:tr>
    </w:tbl>
    <w:p>
      <w:pPr>
        <w:spacing w:after="0" w:line="153" w:lineRule="exact"/>
        <w:rPr>
          <w:sz w:val="20"/>
          <w:szCs w:val="20"/>
          <w:color w:val="auto"/>
        </w:rPr>
      </w:pPr>
    </w:p>
    <w:p>
      <w:pPr>
        <w:ind w:left="460" w:hanging="355"/>
        <w:spacing w:after="0"/>
        <w:tabs>
          <w:tab w:leader="none" w:pos="46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Other roadway includes grading, bridges and tunnels, signals, buildings, and other road assets.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45085</wp:posOffset>
            </wp:positionV>
            <wp:extent cx="5642610"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7" w:name="page18"/>
    <w:bookmarkEnd w:id="17"/>
    <w:p>
      <w:pPr>
        <w:ind w:left="10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13. Accounts Payable and Other Current Liabilities</w:t>
      </w:r>
    </w:p>
    <w:p>
      <w:pPr>
        <w:spacing w:after="0" w:line="201"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5080" w:type="dxa"/>
            <w:vAlign w:val="bottom"/>
            <w:tcBorders>
              <w:top w:val="single" w:sz="8" w:color="7F7F7F"/>
            </w:tcBorders>
          </w:tcPr>
          <w:p>
            <w:pPr>
              <w:spacing w:after="0"/>
              <w:rPr>
                <w:sz w:val="20"/>
                <w:szCs w:val="20"/>
                <w:color w:val="auto"/>
              </w:rPr>
            </w:pPr>
          </w:p>
        </w:tc>
        <w:tc>
          <w:tcPr>
            <w:tcW w:w="1680" w:type="dxa"/>
            <w:vAlign w:val="bottom"/>
            <w:tcBorders>
              <w:top w:val="single" w:sz="8" w:color="7F7F7F"/>
            </w:tcBorders>
          </w:tcPr>
          <w:p>
            <w:pPr>
              <w:spacing w:after="0"/>
              <w:rPr>
                <w:sz w:val="20"/>
                <w:szCs w:val="20"/>
                <w:color w:val="auto"/>
              </w:rPr>
            </w:pPr>
          </w:p>
        </w:tc>
        <w:tc>
          <w:tcPr>
            <w:tcW w:w="960" w:type="dxa"/>
            <w:vAlign w:val="bottom"/>
            <w:tcBorders>
              <w:top w:val="single" w:sz="8" w:color="7F7F7F"/>
            </w:tcBorders>
          </w:tcPr>
          <w:p>
            <w:pPr>
              <w:jc w:val="right"/>
              <w:ind w:right="159"/>
              <w:spacing w:after="0"/>
              <w:rPr>
                <w:sz w:val="20"/>
                <w:szCs w:val="20"/>
                <w:color w:val="auto"/>
              </w:rPr>
            </w:pPr>
            <w:r>
              <w:rPr>
                <w:rFonts w:ascii="Arial" w:cs="Arial" w:eastAsia="Arial" w:hAnsi="Arial"/>
                <w:sz w:val="16"/>
                <w:szCs w:val="16"/>
                <w:b w:val="1"/>
                <w:bCs w:val="1"/>
                <w:i w:val="1"/>
                <w:iCs w:val="1"/>
                <w:color w:val="auto"/>
              </w:rPr>
              <w:t>Sep. 30,</w:t>
            </w:r>
          </w:p>
        </w:tc>
        <w:tc>
          <w:tcPr>
            <w:tcW w:w="420" w:type="dxa"/>
            <w:vAlign w:val="bottom"/>
            <w:tcBorders>
              <w:top w:val="single" w:sz="8" w:color="7F7F7F"/>
            </w:tcBorders>
          </w:tcPr>
          <w:p>
            <w:pPr>
              <w:spacing w:after="0"/>
              <w:rPr>
                <w:sz w:val="20"/>
                <w:szCs w:val="20"/>
                <w:color w:val="auto"/>
              </w:rPr>
            </w:pPr>
          </w:p>
        </w:tc>
        <w:tc>
          <w:tcPr>
            <w:tcW w:w="680" w:type="dxa"/>
            <w:vAlign w:val="bottom"/>
            <w:tcBorders>
              <w:top w:val="single" w:sz="8" w:color="7F7F7F"/>
            </w:tcBorders>
          </w:tcPr>
          <w:p>
            <w:pPr>
              <w:jc w:val="right"/>
              <w:spacing w:after="0"/>
              <w:rPr>
                <w:sz w:val="20"/>
                <w:szCs w:val="20"/>
                <w:color w:val="auto"/>
              </w:rPr>
            </w:pPr>
            <w:r>
              <w:rPr>
                <w:rFonts w:ascii="Arial" w:cs="Arial" w:eastAsia="Arial" w:hAnsi="Arial"/>
                <w:sz w:val="16"/>
                <w:szCs w:val="16"/>
                <w:i w:val="1"/>
                <w:iCs w:val="1"/>
                <w:color w:val="auto"/>
              </w:rPr>
              <w:t>Dec. 31,</w:t>
            </w:r>
          </w:p>
        </w:tc>
      </w:tr>
      <w:tr>
        <w:trPr>
          <w:trHeight w:val="214"/>
        </w:trPr>
        <w:tc>
          <w:tcPr>
            <w:tcW w:w="5080" w:type="dxa"/>
            <w:vAlign w:val="bottom"/>
            <w:tcBorders>
              <w:bottom w:val="single" w:sz="8" w:color="7F7F7F"/>
            </w:tcBorders>
          </w:tcPr>
          <w:p>
            <w:pPr>
              <w:spacing w:after="0"/>
              <w:rPr>
                <w:sz w:val="20"/>
                <w:szCs w:val="20"/>
                <w:color w:val="auto"/>
              </w:rPr>
            </w:pPr>
            <w:r>
              <w:rPr>
                <w:rFonts w:ascii="Arial" w:cs="Arial" w:eastAsia="Arial" w:hAnsi="Arial"/>
                <w:sz w:val="16"/>
                <w:szCs w:val="16"/>
                <w:i w:val="1"/>
                <w:iCs w:val="1"/>
                <w:color w:val="auto"/>
              </w:rPr>
              <w:t>Millions</w:t>
            </w:r>
          </w:p>
        </w:tc>
        <w:tc>
          <w:tcPr>
            <w:tcW w:w="1680" w:type="dxa"/>
            <w:vAlign w:val="bottom"/>
            <w:tcBorders>
              <w:bottom w:val="single" w:sz="8" w:color="7F7F7F"/>
            </w:tcBorders>
          </w:tcPr>
          <w:p>
            <w:pPr>
              <w:spacing w:after="0"/>
              <w:rPr>
                <w:sz w:val="18"/>
                <w:szCs w:val="18"/>
                <w:color w:val="auto"/>
              </w:rPr>
            </w:pPr>
          </w:p>
        </w:tc>
        <w:tc>
          <w:tcPr>
            <w:tcW w:w="960" w:type="dxa"/>
            <w:vAlign w:val="bottom"/>
            <w:tcBorders>
              <w:bottom w:val="single" w:sz="8" w:color="7F7F7F"/>
            </w:tcBorders>
          </w:tcPr>
          <w:p>
            <w:pPr>
              <w:jc w:val="right"/>
              <w:ind w:right="219"/>
              <w:spacing w:after="0"/>
              <w:rPr>
                <w:sz w:val="20"/>
                <w:szCs w:val="20"/>
                <w:color w:val="auto"/>
              </w:rPr>
            </w:pPr>
            <w:r>
              <w:rPr>
                <w:rFonts w:ascii="Arial" w:cs="Arial" w:eastAsia="Arial" w:hAnsi="Arial"/>
                <w:sz w:val="16"/>
                <w:szCs w:val="16"/>
                <w:b w:val="1"/>
                <w:bCs w:val="1"/>
                <w:i w:val="1"/>
                <w:iCs w:val="1"/>
                <w:color w:val="auto"/>
              </w:rPr>
              <w:t>2017</w:t>
            </w:r>
          </w:p>
        </w:tc>
        <w:tc>
          <w:tcPr>
            <w:tcW w:w="420" w:type="dxa"/>
            <w:vAlign w:val="bottom"/>
            <w:tcBorders>
              <w:bottom w:val="single" w:sz="8" w:color="7F7F7F"/>
            </w:tcBorders>
          </w:tcPr>
          <w:p>
            <w:pPr>
              <w:spacing w:after="0"/>
              <w:rPr>
                <w:sz w:val="18"/>
                <w:szCs w:val="18"/>
                <w:color w:val="auto"/>
              </w:rPr>
            </w:pPr>
          </w:p>
        </w:tc>
        <w:tc>
          <w:tcPr>
            <w:tcW w:w="68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2016</w:t>
            </w:r>
          </w:p>
        </w:tc>
      </w:tr>
      <w:tr>
        <w:trPr>
          <w:trHeight w:val="203"/>
        </w:trPr>
        <w:tc>
          <w:tcPr>
            <w:tcW w:w="5080" w:type="dxa"/>
            <w:vAlign w:val="bottom"/>
            <w:shd w:val="clear" w:color="auto" w:fill="CCEEFF"/>
          </w:tcPr>
          <w:p>
            <w:pPr>
              <w:spacing w:after="0"/>
              <w:rPr>
                <w:sz w:val="20"/>
                <w:szCs w:val="20"/>
                <w:color w:val="auto"/>
              </w:rPr>
            </w:pPr>
            <w:r>
              <w:rPr>
                <w:rFonts w:ascii="Arial" w:cs="Arial" w:eastAsia="Arial" w:hAnsi="Arial"/>
                <w:sz w:val="16"/>
                <w:szCs w:val="16"/>
                <w:color w:val="auto"/>
              </w:rPr>
              <w:t>Accounts payable</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838</w:t>
            </w:r>
          </w:p>
        </w:tc>
        <w:tc>
          <w:tcPr>
            <w:tcW w:w="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w:t>
            </w:r>
          </w:p>
        </w:tc>
      </w:tr>
      <w:tr>
        <w:trPr>
          <w:trHeight w:val="215"/>
        </w:trPr>
        <w:tc>
          <w:tcPr>
            <w:tcW w:w="5080" w:type="dxa"/>
            <w:vAlign w:val="bottom"/>
          </w:tcPr>
          <w:p>
            <w:pPr>
              <w:spacing w:after="0"/>
              <w:rPr>
                <w:sz w:val="20"/>
                <w:szCs w:val="20"/>
                <w:color w:val="auto"/>
              </w:rPr>
            </w:pPr>
            <w:r>
              <w:rPr>
                <w:rFonts w:ascii="Arial" w:cs="Arial" w:eastAsia="Arial" w:hAnsi="Arial"/>
                <w:sz w:val="16"/>
                <w:szCs w:val="16"/>
                <w:color w:val="auto"/>
              </w:rPr>
              <w:t>Income and other taxes payable</w:t>
            </w:r>
          </w:p>
        </w:tc>
        <w:tc>
          <w:tcPr>
            <w:tcW w:w="1680" w:type="dxa"/>
            <w:vAlign w:val="bottom"/>
          </w:tcPr>
          <w:p>
            <w:pPr>
              <w:spacing w:after="0"/>
              <w:rPr>
                <w:sz w:val="18"/>
                <w:szCs w:val="18"/>
                <w:color w:val="auto"/>
              </w:rPr>
            </w:pPr>
          </w:p>
        </w:tc>
        <w:tc>
          <w:tcPr>
            <w:tcW w:w="960" w:type="dxa"/>
            <w:vAlign w:val="bottom"/>
          </w:tcPr>
          <w:p>
            <w:pPr>
              <w:jc w:val="right"/>
              <w:ind w:right="219"/>
              <w:spacing w:after="0"/>
              <w:rPr>
                <w:sz w:val="20"/>
                <w:szCs w:val="20"/>
                <w:color w:val="auto"/>
              </w:rPr>
            </w:pPr>
            <w:r>
              <w:rPr>
                <w:rFonts w:ascii="Arial" w:cs="Arial" w:eastAsia="Arial" w:hAnsi="Arial"/>
                <w:sz w:val="16"/>
                <w:szCs w:val="16"/>
                <w:b w:val="1"/>
                <w:bCs w:val="1"/>
                <w:color w:val="auto"/>
              </w:rPr>
              <w:t>561</w:t>
            </w:r>
          </w:p>
        </w:tc>
        <w:tc>
          <w:tcPr>
            <w:tcW w:w="4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472</w:t>
            </w:r>
          </w:p>
        </w:tc>
      </w:tr>
      <w:tr>
        <w:trPr>
          <w:trHeight w:val="217"/>
        </w:trPr>
        <w:tc>
          <w:tcPr>
            <w:tcW w:w="5080" w:type="dxa"/>
            <w:vAlign w:val="bottom"/>
            <w:shd w:val="clear" w:color="auto" w:fill="CCEEFF"/>
          </w:tcPr>
          <w:p>
            <w:pPr>
              <w:spacing w:after="0"/>
              <w:rPr>
                <w:sz w:val="20"/>
                <w:szCs w:val="20"/>
                <w:color w:val="auto"/>
              </w:rPr>
            </w:pPr>
            <w:r>
              <w:rPr>
                <w:rFonts w:ascii="Arial" w:cs="Arial" w:eastAsia="Arial" w:hAnsi="Arial"/>
                <w:sz w:val="16"/>
                <w:szCs w:val="16"/>
                <w:color w:val="auto"/>
              </w:rPr>
              <w:t>Accrued wages and vacation</w:t>
            </w:r>
          </w:p>
        </w:tc>
        <w:tc>
          <w:tcPr>
            <w:tcW w:w="16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384</w:t>
            </w: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w:t>
            </w:r>
          </w:p>
        </w:tc>
      </w:tr>
      <w:tr>
        <w:trPr>
          <w:trHeight w:val="215"/>
        </w:trPr>
        <w:tc>
          <w:tcPr>
            <w:tcW w:w="5080" w:type="dxa"/>
            <w:vAlign w:val="bottom"/>
          </w:tcPr>
          <w:p>
            <w:pPr>
              <w:spacing w:after="0"/>
              <w:rPr>
                <w:sz w:val="20"/>
                <w:szCs w:val="20"/>
                <w:color w:val="auto"/>
              </w:rPr>
            </w:pPr>
            <w:r>
              <w:rPr>
                <w:rFonts w:ascii="Arial" w:cs="Arial" w:eastAsia="Arial" w:hAnsi="Arial"/>
                <w:sz w:val="16"/>
                <w:szCs w:val="16"/>
                <w:color w:val="auto"/>
              </w:rPr>
              <w:t>Accrued casualty costs</w:t>
            </w:r>
          </w:p>
        </w:tc>
        <w:tc>
          <w:tcPr>
            <w:tcW w:w="1680" w:type="dxa"/>
            <w:vAlign w:val="bottom"/>
          </w:tcPr>
          <w:p>
            <w:pPr>
              <w:spacing w:after="0"/>
              <w:rPr>
                <w:sz w:val="18"/>
                <w:szCs w:val="18"/>
                <w:color w:val="auto"/>
              </w:rPr>
            </w:pPr>
          </w:p>
        </w:tc>
        <w:tc>
          <w:tcPr>
            <w:tcW w:w="960" w:type="dxa"/>
            <w:vAlign w:val="bottom"/>
          </w:tcPr>
          <w:p>
            <w:pPr>
              <w:jc w:val="right"/>
              <w:ind w:right="219"/>
              <w:spacing w:after="0"/>
              <w:rPr>
                <w:sz w:val="20"/>
                <w:szCs w:val="20"/>
                <w:color w:val="auto"/>
              </w:rPr>
            </w:pPr>
            <w:r>
              <w:rPr>
                <w:rFonts w:ascii="Arial" w:cs="Arial" w:eastAsia="Arial" w:hAnsi="Arial"/>
                <w:sz w:val="16"/>
                <w:szCs w:val="16"/>
                <w:b w:val="1"/>
                <w:bCs w:val="1"/>
                <w:color w:val="auto"/>
              </w:rPr>
              <w:t>203</w:t>
            </w:r>
          </w:p>
        </w:tc>
        <w:tc>
          <w:tcPr>
            <w:tcW w:w="4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185</w:t>
            </w:r>
          </w:p>
        </w:tc>
      </w:tr>
      <w:tr>
        <w:trPr>
          <w:trHeight w:val="217"/>
        </w:trPr>
        <w:tc>
          <w:tcPr>
            <w:tcW w:w="5080" w:type="dxa"/>
            <w:vAlign w:val="bottom"/>
            <w:shd w:val="clear" w:color="auto" w:fill="CCEEFF"/>
          </w:tcPr>
          <w:p>
            <w:pPr>
              <w:spacing w:after="0"/>
              <w:rPr>
                <w:sz w:val="20"/>
                <w:szCs w:val="20"/>
                <w:color w:val="auto"/>
              </w:rPr>
            </w:pPr>
            <w:r>
              <w:rPr>
                <w:rFonts w:ascii="Arial" w:cs="Arial" w:eastAsia="Arial" w:hAnsi="Arial"/>
                <w:sz w:val="16"/>
                <w:szCs w:val="16"/>
                <w:color w:val="auto"/>
              </w:rPr>
              <w:t>Interest payable</w:t>
            </w:r>
          </w:p>
        </w:tc>
        <w:tc>
          <w:tcPr>
            <w:tcW w:w="16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179</w:t>
            </w: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r>
      <w:tr>
        <w:trPr>
          <w:trHeight w:val="215"/>
        </w:trPr>
        <w:tc>
          <w:tcPr>
            <w:tcW w:w="5080" w:type="dxa"/>
            <w:vAlign w:val="bottom"/>
          </w:tcPr>
          <w:p>
            <w:pPr>
              <w:spacing w:after="0"/>
              <w:rPr>
                <w:sz w:val="20"/>
                <w:szCs w:val="20"/>
                <w:color w:val="auto"/>
              </w:rPr>
            </w:pPr>
            <w:r>
              <w:rPr>
                <w:rFonts w:ascii="Arial" w:cs="Arial" w:eastAsia="Arial" w:hAnsi="Arial"/>
                <w:sz w:val="16"/>
                <w:szCs w:val="16"/>
                <w:color w:val="auto"/>
              </w:rPr>
              <w:t>Equipment rents payable</w:t>
            </w:r>
          </w:p>
        </w:tc>
        <w:tc>
          <w:tcPr>
            <w:tcW w:w="1680" w:type="dxa"/>
            <w:vAlign w:val="bottom"/>
          </w:tcPr>
          <w:p>
            <w:pPr>
              <w:spacing w:after="0"/>
              <w:rPr>
                <w:sz w:val="18"/>
                <w:szCs w:val="18"/>
                <w:color w:val="auto"/>
              </w:rPr>
            </w:pPr>
          </w:p>
        </w:tc>
        <w:tc>
          <w:tcPr>
            <w:tcW w:w="960" w:type="dxa"/>
            <w:vAlign w:val="bottom"/>
          </w:tcPr>
          <w:p>
            <w:pPr>
              <w:jc w:val="right"/>
              <w:ind w:right="219"/>
              <w:spacing w:after="0"/>
              <w:rPr>
                <w:sz w:val="20"/>
                <w:szCs w:val="20"/>
                <w:color w:val="auto"/>
              </w:rPr>
            </w:pPr>
            <w:r>
              <w:rPr>
                <w:rFonts w:ascii="Arial" w:cs="Arial" w:eastAsia="Arial" w:hAnsi="Arial"/>
                <w:sz w:val="16"/>
                <w:szCs w:val="16"/>
                <w:b w:val="1"/>
                <w:bCs w:val="1"/>
                <w:color w:val="auto"/>
              </w:rPr>
              <w:t>107</w:t>
            </w:r>
          </w:p>
        </w:tc>
        <w:tc>
          <w:tcPr>
            <w:tcW w:w="4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101</w:t>
            </w:r>
          </w:p>
        </w:tc>
      </w:tr>
      <w:tr>
        <w:trPr>
          <w:trHeight w:val="210"/>
        </w:trPr>
        <w:tc>
          <w:tcPr>
            <w:tcW w:w="508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Other</w:t>
            </w:r>
          </w:p>
        </w:tc>
        <w:tc>
          <w:tcPr>
            <w:tcW w:w="1680" w:type="dxa"/>
            <w:vAlign w:val="bottom"/>
            <w:tcBorders>
              <w:bottom w:val="single" w:sz="8" w:color="7F7F7F"/>
            </w:tcBorders>
            <w:shd w:val="clear" w:color="auto" w:fill="CCEEFF"/>
          </w:tcPr>
          <w:p>
            <w:pPr>
              <w:spacing w:after="0"/>
              <w:rPr>
                <w:sz w:val="18"/>
                <w:szCs w:val="18"/>
                <w:color w:val="auto"/>
              </w:rPr>
            </w:pPr>
          </w:p>
        </w:tc>
        <w:tc>
          <w:tcPr>
            <w:tcW w:w="960" w:type="dxa"/>
            <w:vAlign w:val="bottom"/>
            <w:tcBorders>
              <w:bottom w:val="single" w:sz="8" w:color="7F7F7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656</w:t>
            </w:r>
          </w:p>
        </w:tc>
        <w:tc>
          <w:tcPr>
            <w:tcW w:w="420" w:type="dxa"/>
            <w:vAlign w:val="bottom"/>
            <w:tcBorders>
              <w:bottom w:val="single" w:sz="8" w:color="7F7F7F"/>
            </w:tcBorders>
            <w:shd w:val="clear" w:color="auto" w:fill="CCEEFF"/>
          </w:tcPr>
          <w:p>
            <w:pPr>
              <w:spacing w:after="0"/>
              <w:rPr>
                <w:sz w:val="18"/>
                <w:szCs w:val="18"/>
                <w:color w:val="auto"/>
              </w:rPr>
            </w:pPr>
          </w:p>
        </w:tc>
        <w:tc>
          <w:tcPr>
            <w:tcW w:w="68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570</w:t>
            </w:r>
          </w:p>
        </w:tc>
      </w:tr>
      <w:tr>
        <w:trPr>
          <w:trHeight w:val="237"/>
        </w:trPr>
        <w:tc>
          <w:tcPr>
            <w:tcW w:w="5080" w:type="dxa"/>
            <w:vAlign w:val="bottom"/>
          </w:tcPr>
          <w:p>
            <w:pPr>
              <w:spacing w:after="0"/>
              <w:rPr>
                <w:sz w:val="20"/>
                <w:szCs w:val="20"/>
                <w:color w:val="auto"/>
              </w:rPr>
            </w:pPr>
            <w:r>
              <w:rPr>
                <w:rFonts w:ascii="Arial" w:cs="Arial" w:eastAsia="Arial" w:hAnsi="Arial"/>
                <w:sz w:val="16"/>
                <w:szCs w:val="16"/>
                <w:color w:val="auto"/>
              </w:rPr>
              <w:t>Total accounts payable and other current liabilities</w:t>
            </w:r>
          </w:p>
        </w:tc>
        <w:tc>
          <w:tcPr>
            <w:tcW w:w="16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219"/>
              <w:spacing w:after="0"/>
              <w:rPr>
                <w:sz w:val="20"/>
                <w:szCs w:val="20"/>
                <w:color w:val="auto"/>
              </w:rPr>
            </w:pPr>
            <w:r>
              <w:rPr>
                <w:rFonts w:ascii="Arial" w:cs="Arial" w:eastAsia="Arial" w:hAnsi="Arial"/>
                <w:sz w:val="16"/>
                <w:szCs w:val="16"/>
                <w:b w:val="1"/>
                <w:bCs w:val="1"/>
                <w:color w:val="auto"/>
              </w:rPr>
              <w:t>2,928</w:t>
            </w: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2,882</w:t>
            </w:r>
          </w:p>
        </w:tc>
      </w:tr>
      <w:tr>
        <w:trPr>
          <w:trHeight w:val="81"/>
        </w:trPr>
        <w:tc>
          <w:tcPr>
            <w:tcW w:w="5080" w:type="dxa"/>
            <w:vAlign w:val="bottom"/>
            <w:tcBorders>
              <w:bottom w:val="single" w:sz="8" w:color="7F7F7F"/>
            </w:tcBorders>
          </w:tcPr>
          <w:p>
            <w:pPr>
              <w:spacing w:after="0"/>
              <w:rPr>
                <w:sz w:val="7"/>
                <w:szCs w:val="7"/>
                <w:color w:val="auto"/>
              </w:rPr>
            </w:pPr>
          </w:p>
        </w:tc>
        <w:tc>
          <w:tcPr>
            <w:tcW w:w="1680" w:type="dxa"/>
            <w:vAlign w:val="bottom"/>
            <w:tcBorders>
              <w:bottom w:val="single" w:sz="8" w:color="7F7F7F"/>
            </w:tcBorders>
          </w:tcPr>
          <w:p>
            <w:pPr>
              <w:spacing w:after="0"/>
              <w:rPr>
                <w:sz w:val="7"/>
                <w:szCs w:val="7"/>
                <w:color w:val="auto"/>
              </w:rPr>
            </w:pPr>
          </w:p>
        </w:tc>
        <w:tc>
          <w:tcPr>
            <w:tcW w:w="960" w:type="dxa"/>
            <w:vAlign w:val="bottom"/>
            <w:tcBorders>
              <w:bottom w:val="single" w:sz="8" w:color="7F7F7F"/>
            </w:tcBorders>
          </w:tcPr>
          <w:p>
            <w:pPr>
              <w:spacing w:after="0"/>
              <w:rPr>
                <w:sz w:val="7"/>
                <w:szCs w:val="7"/>
                <w:color w:val="auto"/>
              </w:rPr>
            </w:pPr>
          </w:p>
        </w:tc>
        <w:tc>
          <w:tcPr>
            <w:tcW w:w="420" w:type="dxa"/>
            <w:vAlign w:val="bottom"/>
            <w:tcBorders>
              <w:bottom w:val="single" w:sz="8" w:color="7F7F7F"/>
            </w:tcBorders>
          </w:tcPr>
          <w:p>
            <w:pPr>
              <w:spacing w:after="0"/>
              <w:rPr>
                <w:sz w:val="7"/>
                <w:szCs w:val="7"/>
                <w:color w:val="auto"/>
              </w:rPr>
            </w:pPr>
          </w:p>
        </w:tc>
        <w:tc>
          <w:tcPr>
            <w:tcW w:w="680" w:type="dxa"/>
            <w:vAlign w:val="bottom"/>
            <w:tcBorders>
              <w:bottom w:val="single" w:sz="8" w:color="7F7F7F"/>
            </w:tcBorders>
          </w:tcPr>
          <w:p>
            <w:pPr>
              <w:spacing w:after="0"/>
              <w:rPr>
                <w:sz w:val="7"/>
                <w:szCs w:val="7"/>
                <w:color w:val="auto"/>
              </w:rPr>
            </w:pPr>
          </w:p>
        </w:tc>
      </w:tr>
    </w:tbl>
    <w:p>
      <w:pPr>
        <w:spacing w:after="0" w:line="13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14. Financial Instruments</w:t>
      </w:r>
    </w:p>
    <w:p>
      <w:pPr>
        <w:spacing w:after="0" w:line="144" w:lineRule="exact"/>
        <w:rPr>
          <w:sz w:val="20"/>
          <w:szCs w:val="20"/>
          <w:color w:val="auto"/>
        </w:rPr>
      </w:pPr>
    </w:p>
    <w:p>
      <w:pPr>
        <w:jc w:val="both"/>
        <w:ind w:left="100" w:right="99"/>
        <w:spacing w:after="0" w:line="218" w:lineRule="auto"/>
        <w:rPr>
          <w:sz w:val="20"/>
          <w:szCs w:val="20"/>
          <w:color w:val="auto"/>
        </w:rPr>
      </w:pPr>
      <w:r>
        <w:rPr>
          <w:rFonts w:ascii="Arial" w:cs="Arial" w:eastAsia="Arial" w:hAnsi="Arial"/>
          <w:sz w:val="18"/>
          <w:szCs w:val="18"/>
          <w:b w:val="1"/>
          <w:bCs w:val="1"/>
          <w:color w:val="auto"/>
        </w:rPr>
        <w:t xml:space="preserve">Short-Term Investments </w:t>
      </w:r>
      <w:r>
        <w:rPr>
          <w:rFonts w:ascii="Arial" w:cs="Arial" w:eastAsia="Arial" w:hAnsi="Arial"/>
          <w:sz w:val="18"/>
          <w:szCs w:val="18"/>
          <w:color w:val="auto"/>
        </w:rPr>
        <w:t>– The Company’s short-term investments consist of time deposits ($90 million as of</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30, 2017). These investments are considered level 2 investments and are valued at amortized cost, which approximates fair value. All short-term investments have a maturity of less than one year and are classified as held-to-maturity. There were no transfers out of Level 2 during the nine months ended September 30, 2017.</w:t>
      </w:r>
    </w:p>
    <w:p>
      <w:pPr>
        <w:spacing w:after="0" w:line="113" w:lineRule="exact"/>
        <w:rPr>
          <w:sz w:val="20"/>
          <w:szCs w:val="20"/>
          <w:color w:val="auto"/>
        </w:rPr>
      </w:pPr>
    </w:p>
    <w:p>
      <w:pPr>
        <w:jc w:val="both"/>
        <w:ind w:left="100" w:right="99"/>
        <w:spacing w:after="0" w:line="209" w:lineRule="auto"/>
        <w:rPr>
          <w:sz w:val="20"/>
          <w:szCs w:val="20"/>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color w:val="auto"/>
        </w:rPr>
        <w:t>– The fair value of our short- and long-term debt was estimated using a</w:t>
      </w:r>
      <w:r>
        <w:rPr>
          <w:rFonts w:ascii="Arial" w:cs="Arial" w:eastAsia="Arial" w:hAnsi="Arial"/>
          <w:sz w:val="18"/>
          <w:szCs w:val="18"/>
          <w:b w:val="1"/>
          <w:bCs w:val="1"/>
          <w:color w:val="auto"/>
        </w:rPr>
        <w:t xml:space="preserve"> </w:t>
      </w:r>
      <w:r>
        <w:rPr>
          <w:rFonts w:ascii="Arial" w:cs="Arial" w:eastAsia="Arial" w:hAnsi="Arial"/>
          <w:sz w:val="18"/>
          <w:szCs w:val="18"/>
          <w:color w:val="auto"/>
        </w:rPr>
        <w:t>market value price model, which utilizes applicable U.S. Treasury rates along with current market quotes on comparable debt securities. All of the inputs used to determine the fair market value of the Corporation’s long-term debt are Level 2 inputs and obtained from an independent source. At September 30, 2017, the fair value of total debt was $18.0 billion, approximately $1.2 billion more than the carrying value. At December 31, 2016, the fair value of total debt was $15.9 billion, approximately $0.9 billion more than the carrying value. The fair value of the Corporation’s debt is a measure of its current value under present market conditions. It does not impact the financial statements under current accounting rules. At both September 30, 2017, and December 31, 2016, approximately $155 million of debt securities contained call provisions that allow us to retire the debt instruments prior to final maturity, with the payment of fixed call premiums, or in certain cases, at par. The fair value of our cash equivalents approximates their carrying value due to the short-term maturities of these instruments.</w:t>
      </w:r>
    </w:p>
    <w:p>
      <w:pPr>
        <w:spacing w:after="0" w:line="11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15. Debt</w:t>
      </w:r>
    </w:p>
    <w:p>
      <w:pPr>
        <w:spacing w:after="0" w:line="144" w:lineRule="exact"/>
        <w:rPr>
          <w:sz w:val="20"/>
          <w:szCs w:val="20"/>
          <w:color w:val="auto"/>
        </w:rPr>
      </w:pPr>
    </w:p>
    <w:p>
      <w:pPr>
        <w:jc w:val="both"/>
        <w:ind w:left="100" w:right="99"/>
        <w:spacing w:after="0" w:line="214" w:lineRule="auto"/>
        <w:rPr>
          <w:sz w:val="20"/>
          <w:szCs w:val="20"/>
          <w:color w:val="auto"/>
        </w:rPr>
      </w:pPr>
      <w:r>
        <w:rPr>
          <w:rFonts w:ascii="Arial" w:cs="Arial" w:eastAsia="Arial" w:hAnsi="Arial"/>
          <w:sz w:val="18"/>
          <w:szCs w:val="18"/>
          <w:b w:val="1"/>
          <w:bCs w:val="1"/>
          <w:color w:val="auto"/>
        </w:rPr>
        <w:t xml:space="preserve">Credit Facilities </w:t>
      </w:r>
      <w:r>
        <w:rPr>
          <w:rFonts w:ascii="Arial" w:cs="Arial" w:eastAsia="Arial" w:hAnsi="Arial"/>
          <w:sz w:val="18"/>
          <w:szCs w:val="18"/>
          <w:color w:val="auto"/>
        </w:rPr>
        <w:t>– At September 30, 2017, we had $1.7 billion of credit available under our revolving credit</w:t>
      </w:r>
      <w:r>
        <w:rPr>
          <w:rFonts w:ascii="Arial" w:cs="Arial" w:eastAsia="Arial" w:hAnsi="Arial"/>
          <w:sz w:val="18"/>
          <w:szCs w:val="18"/>
          <w:b w:val="1"/>
          <w:bCs w:val="1"/>
          <w:color w:val="auto"/>
        </w:rPr>
        <w:t xml:space="preserve"> </w:t>
      </w:r>
      <w:r>
        <w:rPr>
          <w:rFonts w:ascii="Arial" w:cs="Arial" w:eastAsia="Arial" w:hAnsi="Arial"/>
          <w:sz w:val="18"/>
          <w:szCs w:val="18"/>
          <w:color w:val="auto"/>
        </w:rPr>
        <w:t>facility, which is designated for general corporate purposes and supports the issuance of commercial paper. We did not draw on the facility during the nine months ended September 30, 2017. Commitment fees and interest rates payable under the facility are similar to fees and rates available to comparably rated, investment-grade borrowers. The facility allows for borrowings at floating rates based on London Interbank Offered Rates, plus a spread, depending upon credit ratings for our senior unsecured debt. The facility matures in May 2019 under a five-year term and requires UPC to maintain a debt-to-net-worth coverage ratio.</w:t>
      </w:r>
    </w:p>
    <w:p>
      <w:pPr>
        <w:spacing w:after="0" w:line="135" w:lineRule="exact"/>
        <w:rPr>
          <w:sz w:val="20"/>
          <w:szCs w:val="20"/>
          <w:color w:val="auto"/>
        </w:rPr>
      </w:pPr>
    </w:p>
    <w:p>
      <w:pPr>
        <w:jc w:val="both"/>
        <w:ind w:left="100" w:right="99"/>
        <w:spacing w:after="0" w:line="208" w:lineRule="auto"/>
        <w:rPr>
          <w:sz w:val="20"/>
          <w:szCs w:val="20"/>
          <w:color w:val="auto"/>
        </w:rPr>
      </w:pPr>
      <w:r>
        <w:rPr>
          <w:rFonts w:ascii="Arial" w:cs="Arial" w:eastAsia="Arial" w:hAnsi="Arial"/>
          <w:sz w:val="18"/>
          <w:szCs w:val="18"/>
          <w:color w:val="auto"/>
        </w:rPr>
        <w:t>The definition of debt used for purposes of calculating the debt-to-net-worth coverage ratio includes, among other things, certain credit arrangements, capital leases, guarantees and unfunded and vested pension benefits under Title IV of ERISA. At September 30, 2017, the Company was in compliance with the debt-to-net-worth coverage ratio, which allows us to carry up to $38.3 billion of debt (as defined in the facility), and we had $16.9 billion of debt (as defined in the facility) outstanding at that date. Under our current financial plans, we expect to continue to satisfy the debt-to-net-worth coverage ratio; however, many factors beyond our reasonable control could affect our ability to comply with this provision in the future. The facility does not include any other financial restrictions, credit rating triggers (other than rating-dependent pricing), or any other provision that could require us to post collateral. The facility also includes a $125 million cross-default provision and a change-of-control provision.</w:t>
      </w:r>
    </w:p>
    <w:p>
      <w:pPr>
        <w:spacing w:after="0" w:line="137" w:lineRule="exact"/>
        <w:rPr>
          <w:sz w:val="20"/>
          <w:szCs w:val="20"/>
          <w:color w:val="auto"/>
        </w:rPr>
      </w:pPr>
    </w:p>
    <w:p>
      <w:pPr>
        <w:jc w:val="both"/>
        <w:ind w:left="100" w:right="99"/>
        <w:spacing w:after="0" w:line="219" w:lineRule="auto"/>
        <w:rPr>
          <w:sz w:val="20"/>
          <w:szCs w:val="20"/>
          <w:color w:val="auto"/>
        </w:rPr>
      </w:pPr>
      <w:r>
        <w:rPr>
          <w:rFonts w:ascii="Arial" w:cs="Arial" w:eastAsia="Arial" w:hAnsi="Arial"/>
          <w:sz w:val="18"/>
          <w:szCs w:val="18"/>
          <w:color w:val="auto"/>
        </w:rPr>
        <w:t>During the three and nine months ended September 30, 2017, we did not issue or repay any commercial paper, and at September 30, 2017, we had no commercial paper outstanding. Our revolving credit facility supports our outstanding commercial paper balances, and, unless we change the terms of our commercial</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45085</wp:posOffset>
            </wp:positionV>
            <wp:extent cx="5642610"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8" w:name="page19"/>
    <w:bookmarkEnd w:id="18"/>
    <w:p>
      <w:pPr>
        <w:ind w:left="10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66" w:lineRule="exact"/>
        <w:rPr>
          <w:sz w:val="20"/>
          <w:szCs w:val="20"/>
          <w:color w:val="auto"/>
        </w:rPr>
      </w:pPr>
    </w:p>
    <w:p>
      <w:pPr>
        <w:jc w:val="both"/>
        <w:ind w:left="100" w:right="99"/>
        <w:spacing w:after="0" w:line="227" w:lineRule="auto"/>
        <w:rPr>
          <w:sz w:val="20"/>
          <w:szCs w:val="20"/>
          <w:color w:val="auto"/>
        </w:rPr>
      </w:pPr>
      <w:r>
        <w:rPr>
          <w:rFonts w:ascii="Arial" w:cs="Arial" w:eastAsia="Arial" w:hAnsi="Arial"/>
          <w:sz w:val="18"/>
          <w:szCs w:val="18"/>
          <w:color w:val="auto"/>
        </w:rPr>
        <w:t>paper program, our aggregate issuance of commercial paper will not exceed the amount of borrowings available under the facility.</w:t>
      </w:r>
    </w:p>
    <w:p>
      <w:pPr>
        <w:spacing w:after="0" w:line="113" w:lineRule="exact"/>
        <w:rPr>
          <w:sz w:val="20"/>
          <w:szCs w:val="20"/>
          <w:color w:val="auto"/>
        </w:rPr>
      </w:pPr>
    </w:p>
    <w:p>
      <w:pPr>
        <w:jc w:val="both"/>
        <w:ind w:left="100" w:right="99"/>
        <w:spacing w:after="0" w:line="221" w:lineRule="auto"/>
        <w:rPr>
          <w:sz w:val="20"/>
          <w:szCs w:val="20"/>
          <w:color w:val="auto"/>
        </w:rPr>
      </w:pPr>
      <w:r>
        <w:rPr>
          <w:rFonts w:ascii="Arial" w:cs="Arial" w:eastAsia="Arial" w:hAnsi="Arial"/>
          <w:sz w:val="18"/>
          <w:szCs w:val="18"/>
          <w:b w:val="1"/>
          <w:bCs w:val="1"/>
          <w:color w:val="auto"/>
        </w:rPr>
        <w:t xml:space="preserve">Shelf Registration Statement and Significant New Borrowings </w:t>
      </w:r>
      <w:r>
        <w:rPr>
          <w:rFonts w:ascii="Arial" w:cs="Arial" w:eastAsia="Arial" w:hAnsi="Arial"/>
          <w:sz w:val="18"/>
          <w:szCs w:val="18"/>
          <w:color w:val="auto"/>
        </w:rPr>
        <w:t>– In 2016, the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reauthorized the issuance of up to $4.0 billion of debt securities. Under our shelf registration, we may issue, from time to time, any combination of debt securities, preferred stock, common stock, or warrants for debt securities or preferred stock in one or more offerings.</w:t>
      </w:r>
    </w:p>
    <w:p>
      <w:pPr>
        <w:spacing w:after="0" w:line="137" w:lineRule="exact"/>
        <w:rPr>
          <w:sz w:val="20"/>
          <w:szCs w:val="20"/>
          <w:color w:val="auto"/>
        </w:rPr>
      </w:pPr>
    </w:p>
    <w:p>
      <w:pPr>
        <w:jc w:val="both"/>
        <w:ind w:left="100" w:right="99"/>
        <w:spacing w:after="0" w:line="227" w:lineRule="auto"/>
        <w:rPr>
          <w:sz w:val="20"/>
          <w:szCs w:val="20"/>
          <w:color w:val="auto"/>
        </w:rPr>
      </w:pPr>
      <w:r>
        <w:rPr>
          <w:rFonts w:ascii="Arial" w:cs="Arial" w:eastAsia="Arial" w:hAnsi="Arial"/>
          <w:sz w:val="18"/>
          <w:szCs w:val="18"/>
          <w:color w:val="auto"/>
        </w:rPr>
        <w:t>During the nine months ended September 30, 2017, we issued the following unsecured, fixed-rate debt securities under our current shelf registration:</w:t>
      </w:r>
    </w:p>
    <w:p>
      <w:pPr>
        <w:spacing w:after="0" w:line="170" w:lineRule="exact"/>
        <w:rPr>
          <w:sz w:val="20"/>
          <w:szCs w:val="20"/>
          <w:color w:val="auto"/>
        </w:rPr>
      </w:pPr>
    </w:p>
    <w:tbl>
      <w:tblPr>
        <w:tblLayout w:type="fixed"/>
        <w:tblInd w:w="100" w:type="dxa"/>
        <w:tblCellMar>
          <w:top w:w="0" w:type="dxa"/>
          <w:left w:w="0" w:type="dxa"/>
          <w:bottom w:w="0" w:type="dxa"/>
          <w:right w:w="0" w:type="dxa"/>
        </w:tblCellMar>
      </w:tblPr>
      <w:tr>
        <w:trPr>
          <w:trHeight w:val="250"/>
        </w:trPr>
        <w:tc>
          <w:tcPr>
            <w:tcW w:w="3860" w:type="dxa"/>
            <w:vAlign w:val="bottom"/>
            <w:tcBorders>
              <w:top w:val="single" w:sz="8" w:color="7F7F7F"/>
              <w:bottom w:val="single" w:sz="8" w:color="7F7F7F"/>
            </w:tcBorders>
          </w:tcPr>
          <w:p>
            <w:pPr>
              <w:spacing w:after="0"/>
              <w:rPr>
                <w:sz w:val="20"/>
                <w:szCs w:val="20"/>
                <w:color w:val="auto"/>
              </w:rPr>
            </w:pPr>
            <w:r>
              <w:rPr>
                <w:rFonts w:ascii="Arial" w:cs="Arial" w:eastAsia="Arial" w:hAnsi="Arial"/>
                <w:sz w:val="16"/>
                <w:szCs w:val="16"/>
                <w:i w:val="1"/>
                <w:iCs w:val="1"/>
                <w:color w:val="auto"/>
              </w:rPr>
              <w:t>Date</w:t>
            </w:r>
          </w:p>
        </w:tc>
        <w:tc>
          <w:tcPr>
            <w:tcW w:w="4960" w:type="dxa"/>
            <w:vAlign w:val="bottom"/>
            <w:tcBorders>
              <w:top w:val="single" w:sz="8" w:color="7F7F7F"/>
              <w:bottom w:val="single" w:sz="8" w:color="7F7F7F"/>
            </w:tcBorders>
            <w:gridSpan w:val="2"/>
          </w:tcPr>
          <w:p>
            <w:pPr>
              <w:spacing w:after="0"/>
              <w:rPr>
                <w:sz w:val="20"/>
                <w:szCs w:val="20"/>
                <w:color w:val="auto"/>
              </w:rPr>
            </w:pPr>
            <w:r>
              <w:rPr>
                <w:rFonts w:ascii="Arial" w:cs="Arial" w:eastAsia="Arial" w:hAnsi="Arial"/>
                <w:sz w:val="16"/>
                <w:szCs w:val="16"/>
                <w:i w:val="1"/>
                <w:iCs w:val="1"/>
                <w:color w:val="auto"/>
              </w:rPr>
              <w:t>Description of Securities</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April 5, 2017</w:t>
            </w:r>
          </w:p>
        </w:tc>
        <w:tc>
          <w:tcPr>
            <w:tcW w:w="1660" w:type="dxa"/>
            <w:vAlign w:val="bottom"/>
            <w:shd w:val="clear" w:color="auto" w:fill="CCEEFF"/>
          </w:tcPr>
          <w:p>
            <w:pPr>
              <w:spacing w:after="0"/>
              <w:rPr>
                <w:sz w:val="20"/>
                <w:szCs w:val="20"/>
                <w:color w:val="auto"/>
              </w:rPr>
            </w:pPr>
            <w:r>
              <w:rPr>
                <w:rFonts w:ascii="Arial" w:cs="Arial" w:eastAsia="Arial" w:hAnsi="Arial"/>
                <w:sz w:val="16"/>
                <w:szCs w:val="16"/>
                <w:color w:val="auto"/>
              </w:rPr>
              <w:t>$500 million of 3.000%</w:t>
            </w:r>
          </w:p>
        </w:tc>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due April 15, 2027</w:t>
            </w:r>
          </w:p>
        </w:tc>
      </w:tr>
      <w:tr>
        <w:trPr>
          <w:trHeight w:val="213"/>
        </w:trPr>
        <w:tc>
          <w:tcPr>
            <w:tcW w:w="386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6"/>
                <w:szCs w:val="16"/>
                <w:color w:val="auto"/>
              </w:rPr>
              <w:t>$500 million of 4.000%</w:t>
            </w:r>
          </w:p>
        </w:tc>
        <w:tc>
          <w:tcPr>
            <w:tcW w:w="3300" w:type="dxa"/>
            <w:vAlign w:val="bottom"/>
          </w:tcPr>
          <w:p>
            <w:pPr>
              <w:ind w:left="20"/>
              <w:spacing w:after="0"/>
              <w:rPr>
                <w:sz w:val="20"/>
                <w:szCs w:val="20"/>
                <w:color w:val="auto"/>
              </w:rPr>
            </w:pPr>
            <w:r>
              <w:rPr>
                <w:rFonts w:ascii="Arial" w:cs="Arial" w:eastAsia="Arial" w:hAnsi="Arial"/>
                <w:sz w:val="16"/>
                <w:szCs w:val="16"/>
                <w:color w:val="auto"/>
              </w:rPr>
              <w:t>Notes due April 15, 2047</w:t>
            </w:r>
          </w:p>
        </w:tc>
      </w:tr>
      <w:tr>
        <w:trPr>
          <w:trHeight w:val="219"/>
        </w:trPr>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September 19, 2017</w:t>
            </w:r>
          </w:p>
        </w:tc>
        <w:tc>
          <w:tcPr>
            <w:tcW w:w="1660" w:type="dxa"/>
            <w:vAlign w:val="bottom"/>
            <w:shd w:val="clear" w:color="auto" w:fill="CCEEFF"/>
          </w:tcPr>
          <w:p>
            <w:pPr>
              <w:spacing w:after="0"/>
              <w:rPr>
                <w:sz w:val="20"/>
                <w:szCs w:val="20"/>
                <w:color w:val="auto"/>
              </w:rPr>
            </w:pPr>
            <w:r>
              <w:rPr>
                <w:rFonts w:ascii="Arial" w:cs="Arial" w:eastAsia="Arial" w:hAnsi="Arial"/>
                <w:sz w:val="16"/>
                <w:szCs w:val="16"/>
                <w:color w:val="auto"/>
              </w:rPr>
              <w:t>$500 million of 3.600%</w:t>
            </w:r>
          </w:p>
        </w:tc>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due September 15, 2037</w:t>
            </w:r>
          </w:p>
        </w:tc>
      </w:tr>
      <w:tr>
        <w:trPr>
          <w:trHeight w:val="250"/>
        </w:trPr>
        <w:tc>
          <w:tcPr>
            <w:tcW w:w="3860" w:type="dxa"/>
            <w:vAlign w:val="bottom"/>
            <w:tcBorders>
              <w:bottom w:val="single" w:sz="8" w:color="7F7F7F"/>
            </w:tcBorders>
          </w:tcPr>
          <w:p>
            <w:pPr>
              <w:spacing w:after="0"/>
              <w:rPr>
                <w:sz w:val="21"/>
                <w:szCs w:val="21"/>
                <w:color w:val="auto"/>
              </w:rPr>
            </w:pPr>
          </w:p>
        </w:tc>
        <w:tc>
          <w:tcPr>
            <w:tcW w:w="1660" w:type="dxa"/>
            <w:vAlign w:val="bottom"/>
            <w:tcBorders>
              <w:bottom w:val="single" w:sz="8" w:color="808080"/>
            </w:tcBorders>
          </w:tcPr>
          <w:p>
            <w:pPr>
              <w:spacing w:after="0"/>
              <w:rPr>
                <w:sz w:val="20"/>
                <w:szCs w:val="20"/>
                <w:color w:val="auto"/>
              </w:rPr>
            </w:pPr>
            <w:r>
              <w:rPr>
                <w:rFonts w:ascii="Arial" w:cs="Arial" w:eastAsia="Arial" w:hAnsi="Arial"/>
                <w:sz w:val="16"/>
                <w:szCs w:val="16"/>
                <w:color w:val="auto"/>
              </w:rPr>
              <w:t>$500 million of 4.100%</w:t>
            </w:r>
          </w:p>
        </w:tc>
        <w:tc>
          <w:tcPr>
            <w:tcW w:w="3300" w:type="dxa"/>
            <w:vAlign w:val="bottom"/>
            <w:tcBorders>
              <w:bottom w:val="single" w:sz="8" w:color="808080"/>
            </w:tcBorders>
          </w:tcPr>
          <w:p>
            <w:pPr>
              <w:ind w:left="20"/>
              <w:spacing w:after="0"/>
              <w:rPr>
                <w:sz w:val="20"/>
                <w:szCs w:val="20"/>
                <w:color w:val="auto"/>
              </w:rPr>
            </w:pPr>
            <w:r>
              <w:rPr>
                <w:rFonts w:ascii="Arial" w:cs="Arial" w:eastAsia="Arial" w:hAnsi="Arial"/>
                <w:sz w:val="16"/>
                <w:szCs w:val="16"/>
                <w:color w:val="auto"/>
              </w:rPr>
              <w:t>Notes due September 15, 2067</w:t>
            </w:r>
          </w:p>
        </w:tc>
      </w:tr>
    </w:tbl>
    <w:p>
      <w:pPr>
        <w:spacing w:after="0" w:line="161" w:lineRule="exact"/>
        <w:rPr>
          <w:sz w:val="20"/>
          <w:szCs w:val="20"/>
          <w:color w:val="auto"/>
        </w:rPr>
      </w:pPr>
    </w:p>
    <w:p>
      <w:pPr>
        <w:jc w:val="both"/>
        <w:ind w:left="100" w:right="99"/>
        <w:spacing w:after="0" w:line="215" w:lineRule="auto"/>
        <w:rPr>
          <w:sz w:val="20"/>
          <w:szCs w:val="20"/>
          <w:color w:val="auto"/>
        </w:rPr>
      </w:pPr>
      <w:r>
        <w:rPr>
          <w:rFonts w:ascii="Arial" w:cs="Arial" w:eastAsia="Arial" w:hAnsi="Arial"/>
          <w:sz w:val="18"/>
          <w:szCs w:val="18"/>
          <w:color w:val="auto"/>
        </w:rPr>
        <w:t>We used the net proceeds from this offering for general corporate purposes, including the repurchase of common stock pursuant to our share repurchase program. These debt securities include change-of-control provisions. At September 30, 2017, we had remaining authority to issue up to $1.55 billion of debt securities under our shelf registration.</w:t>
      </w:r>
    </w:p>
    <w:p>
      <w:pPr>
        <w:spacing w:after="0" w:line="136" w:lineRule="exact"/>
        <w:rPr>
          <w:sz w:val="20"/>
          <w:szCs w:val="20"/>
          <w:color w:val="auto"/>
        </w:rPr>
      </w:pPr>
    </w:p>
    <w:p>
      <w:pPr>
        <w:jc w:val="both"/>
        <w:ind w:left="100" w:right="99"/>
        <w:spacing w:after="0" w:line="219" w:lineRule="auto"/>
        <w:rPr>
          <w:sz w:val="20"/>
          <w:szCs w:val="20"/>
          <w:color w:val="auto"/>
        </w:rPr>
      </w:pPr>
      <w:r>
        <w:rPr>
          <w:rFonts w:ascii="Arial" w:cs="Arial" w:eastAsia="Arial" w:hAnsi="Arial"/>
          <w:sz w:val="18"/>
          <w:szCs w:val="18"/>
          <w:color w:val="auto"/>
        </w:rPr>
        <w:t>As of September 30, 2017, we reclassified as long-term debt $100 million of debt due within one year that we intend to refinance. This reclassification reflects our ability and intent to refinance any short-term borrowings and certain current maturities of long-term debt on a long-term basis.</w:t>
      </w:r>
    </w:p>
    <w:p>
      <w:pPr>
        <w:spacing w:after="0" w:line="114" w:lineRule="exact"/>
        <w:rPr>
          <w:sz w:val="20"/>
          <w:szCs w:val="20"/>
          <w:color w:val="auto"/>
        </w:rPr>
      </w:pPr>
    </w:p>
    <w:p>
      <w:pPr>
        <w:jc w:val="both"/>
        <w:ind w:left="100" w:right="99"/>
        <w:spacing w:after="0" w:line="228" w:lineRule="auto"/>
        <w:rPr>
          <w:sz w:val="20"/>
          <w:szCs w:val="20"/>
          <w:color w:val="auto"/>
        </w:rPr>
      </w:pPr>
      <w:r>
        <w:rPr>
          <w:rFonts w:ascii="Arial" w:cs="Arial" w:eastAsia="Arial" w:hAnsi="Arial"/>
          <w:sz w:val="18"/>
          <w:szCs w:val="18"/>
          <w:b w:val="1"/>
          <w:bCs w:val="1"/>
          <w:color w:val="auto"/>
        </w:rPr>
        <w:t xml:space="preserve">Receivables Securitization Facility </w:t>
      </w:r>
      <w:r>
        <w:rPr>
          <w:rFonts w:ascii="Arial" w:cs="Arial" w:eastAsia="Arial" w:hAnsi="Arial"/>
          <w:sz w:val="18"/>
          <w:szCs w:val="18"/>
          <w:color w:val="auto"/>
        </w:rPr>
        <w:t>– As of September 30, 2017, and December 31, 2016, we recorded $200</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and $0, respectively, of borrowings under our Receivables Facility as secured debt. (See further discussion of our receivables securitization facility in Note 11).</w:t>
      </w:r>
    </w:p>
    <w:p>
      <w:pPr>
        <w:spacing w:after="0" w:line="11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16. Variable Interest Entities</w:t>
      </w:r>
    </w:p>
    <w:p>
      <w:pPr>
        <w:spacing w:after="0" w:line="166" w:lineRule="exact"/>
        <w:rPr>
          <w:sz w:val="20"/>
          <w:szCs w:val="20"/>
          <w:color w:val="auto"/>
        </w:rPr>
      </w:pPr>
    </w:p>
    <w:p>
      <w:pPr>
        <w:jc w:val="both"/>
        <w:ind w:left="100" w:right="99"/>
        <w:spacing w:after="0" w:line="211" w:lineRule="auto"/>
        <w:rPr>
          <w:sz w:val="20"/>
          <w:szCs w:val="20"/>
          <w:color w:val="auto"/>
        </w:rPr>
      </w:pPr>
      <w:r>
        <w:rPr>
          <w:rFonts w:ascii="Arial" w:cs="Arial" w:eastAsia="Arial" w:hAnsi="Arial"/>
          <w:sz w:val="18"/>
          <w:szCs w:val="18"/>
          <w:color w:val="auto"/>
        </w:rPr>
        <w:t>We have entered into various lease transactions in which the structure of the leases contain variable interest entities (VIEs). These VIEs were created solely for the purpose of doing lease transactions (principally involving railroad equipment and facilities) and have no other activities, assets or liabilities outside of the lease transactions. Within these lease arrangements, we have the right to purchase some or all of the assets at fixed prices. Depending on market conditions, fixed-price purchase options available in the leases could potentially provide benefits to us; however, these benefits are not expected to be significant.</w:t>
      </w:r>
    </w:p>
    <w:p>
      <w:pPr>
        <w:spacing w:after="0" w:line="137" w:lineRule="exact"/>
        <w:rPr>
          <w:sz w:val="20"/>
          <w:szCs w:val="20"/>
          <w:color w:val="auto"/>
        </w:rPr>
      </w:pPr>
    </w:p>
    <w:p>
      <w:pPr>
        <w:jc w:val="both"/>
        <w:ind w:left="100" w:right="99"/>
        <w:spacing w:after="0" w:line="211" w:lineRule="auto"/>
        <w:rPr>
          <w:sz w:val="20"/>
          <w:szCs w:val="20"/>
          <w:color w:val="auto"/>
        </w:rPr>
      </w:pPr>
      <w:r>
        <w:rPr>
          <w:rFonts w:ascii="Arial" w:cs="Arial" w:eastAsia="Arial" w:hAnsi="Arial"/>
          <w:sz w:val="18"/>
          <w:szCs w:val="18"/>
          <w:color w:val="auto"/>
        </w:rPr>
        <w:t>We maintain and operate the assets based on contractual obligations within the lease arrangements, which set specific guidelines consistent within the railroad industry. As such, we have no control over activities that could materially impact the fair value of the leased assets. We do not hold the power to direct the activities of the VIEs and, therefore, do not control the ongoing activities that have a significant impact on the economic performance of the VIEs. Additionally, we do not have the obligation to absorb losses of the VIEs or the right to receive benefits of the VIEs that could potentially be significant to the VIEs.</w:t>
      </w:r>
    </w:p>
    <w:p>
      <w:pPr>
        <w:spacing w:after="0" w:line="137" w:lineRule="exact"/>
        <w:rPr>
          <w:sz w:val="20"/>
          <w:szCs w:val="20"/>
          <w:color w:val="auto"/>
        </w:rPr>
      </w:pPr>
    </w:p>
    <w:p>
      <w:pPr>
        <w:jc w:val="both"/>
        <w:ind w:left="100" w:right="99"/>
        <w:spacing w:after="0" w:line="215" w:lineRule="auto"/>
        <w:rPr>
          <w:sz w:val="20"/>
          <w:szCs w:val="20"/>
          <w:color w:val="auto"/>
        </w:rPr>
      </w:pPr>
      <w:r>
        <w:rPr>
          <w:rFonts w:ascii="Arial" w:cs="Arial" w:eastAsia="Arial" w:hAnsi="Arial"/>
          <w:sz w:val="18"/>
          <w:szCs w:val="18"/>
          <w:color w:val="auto"/>
        </w:rPr>
        <w:t>We are not considered to be the primary beneficiary and do not consolidate these VIEs because our actions and decisions do not have the most significant effect on the VIE’s performance and our fixed-price purchase options are not considered to be potentially significant to the VIEs. The future minimum lease payments associated with the VIE leases totaled $2.0 billion as of September 30, 2017.</w:t>
      </w:r>
    </w:p>
    <w:p>
      <w:pPr>
        <w:spacing w:after="0" w:line="11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17. Commitments and Contingencies</w:t>
      </w:r>
    </w:p>
    <w:p>
      <w:pPr>
        <w:spacing w:after="0" w:line="144" w:lineRule="exact"/>
        <w:rPr>
          <w:sz w:val="20"/>
          <w:szCs w:val="20"/>
          <w:color w:val="auto"/>
        </w:rPr>
      </w:pPr>
    </w:p>
    <w:p>
      <w:pPr>
        <w:jc w:val="both"/>
        <w:ind w:left="100" w:right="99"/>
        <w:spacing w:after="0" w:line="215" w:lineRule="auto"/>
        <w:rPr>
          <w:sz w:val="20"/>
          <w:szCs w:val="20"/>
          <w:color w:val="auto"/>
        </w:rPr>
      </w:pPr>
      <w:r>
        <w:rPr>
          <w:rFonts w:ascii="Arial" w:cs="Arial" w:eastAsia="Arial" w:hAnsi="Arial"/>
          <w:sz w:val="18"/>
          <w:szCs w:val="18"/>
          <w:b w:val="1"/>
          <w:bCs w:val="1"/>
          <w:color w:val="auto"/>
        </w:rPr>
        <w:t xml:space="preserve">Asserted and Unasserted Claims </w:t>
      </w:r>
      <w:r>
        <w:rPr>
          <w:rFonts w:ascii="Arial" w:cs="Arial" w:eastAsia="Arial" w:hAnsi="Arial"/>
          <w:sz w:val="18"/>
          <w:szCs w:val="18"/>
          <w:color w:val="auto"/>
        </w:rPr>
        <w:t>– Various claims and lawsuits are pending against us and certain of our</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We cannot fully determine the effect of all asserted and unasserted claims on our consolidated results of operations, financial condition, or liquidity. To the extent possible, we have recorded a liability where asserted and unasserted claims are considered probable and where such claims can be reasonably estimated. We do not expect that any known lawsuits, claims, environmental costs, commitments, contingent liabilities, or guarantees will have a material adverse effect on our consolidated</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45085</wp:posOffset>
            </wp:positionV>
            <wp:extent cx="5642610"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9" w:name="page20"/>
    <w:bookmarkEnd w:id="19"/>
    <w:p>
      <w:pPr>
        <w:ind w:left="10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66" w:lineRule="exact"/>
        <w:rPr>
          <w:sz w:val="20"/>
          <w:szCs w:val="20"/>
          <w:color w:val="auto"/>
        </w:rPr>
      </w:pPr>
    </w:p>
    <w:p>
      <w:pPr>
        <w:jc w:val="both"/>
        <w:ind w:left="100" w:right="99"/>
        <w:spacing w:after="0" w:line="227" w:lineRule="auto"/>
        <w:rPr>
          <w:sz w:val="20"/>
          <w:szCs w:val="20"/>
          <w:color w:val="auto"/>
        </w:rPr>
      </w:pPr>
      <w:r>
        <w:rPr>
          <w:rFonts w:ascii="Arial" w:cs="Arial" w:eastAsia="Arial" w:hAnsi="Arial"/>
          <w:sz w:val="18"/>
          <w:szCs w:val="18"/>
          <w:color w:val="auto"/>
        </w:rPr>
        <w:t>results of operations, financial condition, or liquidity after taking into account liabilities and insurance recoveries previously recorded for these matters.</w:t>
      </w:r>
    </w:p>
    <w:p>
      <w:pPr>
        <w:spacing w:after="0" w:line="113" w:lineRule="exact"/>
        <w:rPr>
          <w:sz w:val="20"/>
          <w:szCs w:val="20"/>
          <w:color w:val="auto"/>
        </w:rPr>
      </w:pPr>
    </w:p>
    <w:p>
      <w:pPr>
        <w:jc w:val="both"/>
        <w:ind w:left="100" w:right="99"/>
        <w:spacing w:after="0" w:line="215" w:lineRule="auto"/>
        <w:rPr>
          <w:sz w:val="20"/>
          <w:szCs w:val="20"/>
          <w:color w:val="auto"/>
        </w:rPr>
      </w:pPr>
      <w:r>
        <w:rPr>
          <w:rFonts w:ascii="Arial" w:cs="Arial" w:eastAsia="Arial" w:hAnsi="Arial"/>
          <w:sz w:val="18"/>
          <w:szCs w:val="18"/>
          <w:b w:val="1"/>
          <w:bCs w:val="1"/>
          <w:color w:val="auto"/>
        </w:rPr>
        <w:t xml:space="preserve">Personal Injury </w:t>
      </w:r>
      <w:r>
        <w:rPr>
          <w:rFonts w:ascii="Arial" w:cs="Arial" w:eastAsia="Arial" w:hAnsi="Arial"/>
          <w:sz w:val="18"/>
          <w:szCs w:val="18"/>
          <w:color w:val="auto"/>
        </w:rPr>
        <w:t>– The cost of personal injuries to employees and others related to our activities is charged to</w:t>
      </w:r>
      <w:r>
        <w:rPr>
          <w:rFonts w:ascii="Arial" w:cs="Arial" w:eastAsia="Arial" w:hAnsi="Arial"/>
          <w:sz w:val="18"/>
          <w:szCs w:val="18"/>
          <w:b w:val="1"/>
          <w:bCs w:val="1"/>
          <w:color w:val="auto"/>
        </w:rPr>
        <w:t xml:space="preserve"> </w:t>
      </w:r>
      <w:r>
        <w:rPr>
          <w:rFonts w:ascii="Arial" w:cs="Arial" w:eastAsia="Arial" w:hAnsi="Arial"/>
          <w:sz w:val="18"/>
          <w:szCs w:val="18"/>
          <w:color w:val="auto"/>
        </w:rPr>
        <w:t>expense based on estimates of the ultimate cost and number of incidents each year. We use an actuarial analysis to measure the expense and liability, including unasserted claims. The Federal Employers’ Liability Act (FELA) governs compensation for work-related accidents. Under FELA, damages are assessed based on a finding of fault through litigation or out-of-court settlements. We offer a comprehensive variety of services and rehabilitation programs for employees who are injured at work.</w:t>
      </w:r>
    </w:p>
    <w:p>
      <w:pPr>
        <w:spacing w:after="0" w:line="138" w:lineRule="exact"/>
        <w:rPr>
          <w:sz w:val="20"/>
          <w:szCs w:val="20"/>
          <w:color w:val="auto"/>
        </w:rPr>
      </w:pPr>
    </w:p>
    <w:p>
      <w:pPr>
        <w:jc w:val="both"/>
        <w:ind w:left="100" w:right="99"/>
        <w:spacing w:after="0" w:line="210" w:lineRule="auto"/>
        <w:rPr>
          <w:sz w:val="20"/>
          <w:szCs w:val="20"/>
          <w:color w:val="auto"/>
        </w:rPr>
      </w:pPr>
      <w:r>
        <w:rPr>
          <w:rFonts w:ascii="Arial" w:cs="Arial" w:eastAsia="Arial" w:hAnsi="Arial"/>
          <w:sz w:val="18"/>
          <w:szCs w:val="18"/>
          <w:color w:val="auto"/>
        </w:rPr>
        <w:t>Our personal injury liability is not discounted to present value due to the uncertainty surrounding the timing of future payments. Approximately 95% of the recorded liability is related to asserted claims and approximately 5% is related to unasserted claims at September 30, 2017. Because of the uncertainty surrounding the ultimate outcome of personal injury claims, it is reasonably possible that future costs to settle these claims may range from approximately $287 million to $313 million. We record an accrual at the low end of the range as no amount of loss within the range is more probable than any other. Estimates can vary over time due to evolving trends in litigation.</w:t>
      </w:r>
    </w:p>
    <w:p>
      <w:pPr>
        <w:spacing w:after="0" w:line="13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Our personal injury liability activity was as follows:</w:t>
      </w:r>
    </w:p>
    <w:p>
      <w:pPr>
        <w:spacing w:after="0" w:line="179" w:lineRule="exact"/>
        <w:rPr>
          <w:sz w:val="20"/>
          <w:szCs w:val="20"/>
          <w:color w:val="auto"/>
        </w:rPr>
      </w:pPr>
    </w:p>
    <w:tbl>
      <w:tblPr>
        <w:tblLayout w:type="fixed"/>
        <w:tblInd w:w="100" w:type="dxa"/>
        <w:tblCellMar>
          <w:top w:w="0" w:type="dxa"/>
          <w:left w:w="0" w:type="dxa"/>
          <w:bottom w:w="0" w:type="dxa"/>
          <w:right w:w="0" w:type="dxa"/>
        </w:tblCellMar>
      </w:tblPr>
      <w:tr>
        <w:trPr>
          <w:trHeight w:val="256"/>
        </w:trPr>
        <w:tc>
          <w:tcPr>
            <w:tcW w:w="5220" w:type="dxa"/>
            <w:vAlign w:val="bottom"/>
            <w:tcBorders>
              <w:top w:val="single" w:sz="8" w:color="7F7F7F"/>
            </w:tcBorders>
          </w:tcPr>
          <w:p>
            <w:pPr>
              <w:spacing w:after="0"/>
              <w:rPr>
                <w:sz w:val="20"/>
                <w:szCs w:val="20"/>
                <w:color w:val="auto"/>
              </w:rPr>
            </w:pPr>
            <w:r>
              <w:rPr>
                <w:rFonts w:ascii="Arial" w:cs="Arial" w:eastAsia="Arial" w:hAnsi="Arial"/>
                <w:sz w:val="16"/>
                <w:szCs w:val="16"/>
                <w:i w:val="1"/>
                <w:iCs w:val="1"/>
                <w:color w:val="auto"/>
              </w:rPr>
              <w:t>Millions,</w:t>
            </w:r>
          </w:p>
        </w:tc>
        <w:tc>
          <w:tcPr>
            <w:tcW w:w="1940" w:type="dxa"/>
            <w:vAlign w:val="bottom"/>
            <w:tcBorders>
              <w:top w:val="single" w:sz="8" w:color="7F7F7F"/>
            </w:tcBorders>
          </w:tcPr>
          <w:p>
            <w:pPr>
              <w:spacing w:after="0"/>
              <w:rPr>
                <w:sz w:val="22"/>
                <w:szCs w:val="22"/>
                <w:color w:val="auto"/>
              </w:rPr>
            </w:pPr>
          </w:p>
        </w:tc>
        <w:tc>
          <w:tcPr>
            <w:tcW w:w="700" w:type="dxa"/>
            <w:vAlign w:val="bottom"/>
            <w:tcBorders>
              <w:top w:val="single" w:sz="8" w:color="7F7F7F"/>
            </w:tcBorders>
            <w:vMerge w:val="restart"/>
          </w:tcPr>
          <w:p>
            <w:pPr>
              <w:jc w:val="right"/>
              <w:ind w:right="79"/>
              <w:spacing w:after="0"/>
              <w:rPr>
                <w:sz w:val="20"/>
                <w:szCs w:val="20"/>
                <w:color w:val="auto"/>
              </w:rPr>
            </w:pPr>
            <w:r>
              <w:rPr>
                <w:rFonts w:ascii="Arial" w:cs="Arial" w:eastAsia="Arial" w:hAnsi="Arial"/>
                <w:sz w:val="16"/>
                <w:szCs w:val="16"/>
                <w:b w:val="1"/>
                <w:bCs w:val="1"/>
                <w:i w:val="1"/>
                <w:iCs w:val="1"/>
                <w:color w:val="auto"/>
              </w:rPr>
              <w:t>2017</w:t>
            </w:r>
          </w:p>
        </w:tc>
        <w:tc>
          <w:tcPr>
            <w:tcW w:w="380" w:type="dxa"/>
            <w:vAlign w:val="bottom"/>
            <w:tcBorders>
              <w:top w:val="single" w:sz="8" w:color="7F7F7F"/>
            </w:tcBorders>
          </w:tcPr>
          <w:p>
            <w:pPr>
              <w:spacing w:after="0"/>
              <w:rPr>
                <w:sz w:val="22"/>
                <w:szCs w:val="22"/>
                <w:color w:val="auto"/>
              </w:rPr>
            </w:pPr>
          </w:p>
        </w:tc>
        <w:tc>
          <w:tcPr>
            <w:tcW w:w="580" w:type="dxa"/>
            <w:vAlign w:val="bottom"/>
            <w:tcBorders>
              <w:top w:val="single" w:sz="8" w:color="7F7F7F"/>
            </w:tcBorders>
            <w:vMerge w:val="restart"/>
          </w:tcPr>
          <w:p>
            <w:pPr>
              <w:jc w:val="right"/>
              <w:spacing w:after="0"/>
              <w:rPr>
                <w:sz w:val="20"/>
                <w:szCs w:val="20"/>
                <w:color w:val="auto"/>
              </w:rPr>
            </w:pPr>
            <w:r>
              <w:rPr>
                <w:rFonts w:ascii="Arial" w:cs="Arial" w:eastAsia="Arial" w:hAnsi="Arial"/>
                <w:sz w:val="16"/>
                <w:szCs w:val="16"/>
                <w:i w:val="1"/>
                <w:iCs w:val="1"/>
                <w:color w:val="auto"/>
              </w:rPr>
              <w:t>2016</w:t>
            </w:r>
          </w:p>
        </w:tc>
        <w:tc>
          <w:tcPr>
            <w:tcW w:w="0" w:type="dxa"/>
            <w:vAlign w:val="bottom"/>
          </w:tcPr>
          <w:p>
            <w:pPr>
              <w:spacing w:after="0"/>
              <w:rPr>
                <w:sz w:val="1"/>
                <w:szCs w:val="1"/>
                <w:color w:val="auto"/>
              </w:rPr>
            </w:pPr>
          </w:p>
        </w:tc>
      </w:tr>
      <w:tr>
        <w:trPr>
          <w:trHeight w:val="197"/>
        </w:trPr>
        <w:tc>
          <w:tcPr>
            <w:tcW w:w="5220" w:type="dxa"/>
            <w:vAlign w:val="bottom"/>
            <w:tcBorders>
              <w:bottom w:val="single" w:sz="8" w:color="7F7F7F"/>
            </w:tcBorders>
          </w:tcPr>
          <w:p>
            <w:pPr>
              <w:spacing w:after="0"/>
              <w:rPr>
                <w:sz w:val="20"/>
                <w:szCs w:val="20"/>
                <w:color w:val="auto"/>
              </w:rPr>
            </w:pPr>
            <w:r>
              <w:rPr>
                <w:rFonts w:ascii="Arial" w:cs="Arial" w:eastAsia="Arial" w:hAnsi="Arial"/>
                <w:sz w:val="16"/>
                <w:szCs w:val="16"/>
                <w:i w:val="1"/>
                <w:iCs w:val="1"/>
                <w:color w:val="auto"/>
              </w:rPr>
              <w:t>for the Nine Months Ended September 30,</w:t>
            </w:r>
          </w:p>
        </w:tc>
        <w:tc>
          <w:tcPr>
            <w:tcW w:w="1940" w:type="dxa"/>
            <w:vAlign w:val="bottom"/>
            <w:tcBorders>
              <w:bottom w:val="single" w:sz="8" w:color="7F7F7F"/>
            </w:tcBorders>
          </w:tcPr>
          <w:p>
            <w:pPr>
              <w:spacing w:after="0"/>
              <w:rPr>
                <w:sz w:val="17"/>
                <w:szCs w:val="17"/>
                <w:color w:val="auto"/>
              </w:rPr>
            </w:pPr>
          </w:p>
        </w:tc>
        <w:tc>
          <w:tcPr>
            <w:tcW w:w="700" w:type="dxa"/>
            <w:vAlign w:val="bottom"/>
            <w:tcBorders>
              <w:bottom w:val="single" w:sz="8" w:color="7F7F7F"/>
            </w:tcBorders>
            <w:vMerge w:val="continue"/>
          </w:tcPr>
          <w:p>
            <w:pPr>
              <w:spacing w:after="0"/>
              <w:rPr>
                <w:sz w:val="17"/>
                <w:szCs w:val="17"/>
                <w:color w:val="auto"/>
              </w:rPr>
            </w:pPr>
          </w:p>
        </w:tc>
        <w:tc>
          <w:tcPr>
            <w:tcW w:w="380" w:type="dxa"/>
            <w:vAlign w:val="bottom"/>
            <w:tcBorders>
              <w:bottom w:val="single" w:sz="8" w:color="7F7F7F"/>
            </w:tcBorders>
          </w:tcPr>
          <w:p>
            <w:pPr>
              <w:spacing w:after="0"/>
              <w:rPr>
                <w:sz w:val="17"/>
                <w:szCs w:val="17"/>
                <w:color w:val="auto"/>
              </w:rPr>
            </w:pPr>
          </w:p>
        </w:tc>
        <w:tc>
          <w:tcPr>
            <w:tcW w:w="580" w:type="dxa"/>
            <w:vAlign w:val="bottom"/>
            <w:tcBorders>
              <w:bottom w:val="single" w:sz="8" w:color="7F7F7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20" w:type="dxa"/>
            <w:vAlign w:val="bottom"/>
            <w:shd w:val="clear" w:color="auto" w:fill="CCEEFF"/>
          </w:tcPr>
          <w:p>
            <w:pPr>
              <w:spacing w:after="0"/>
              <w:rPr>
                <w:sz w:val="20"/>
                <w:szCs w:val="20"/>
                <w:color w:val="auto"/>
              </w:rPr>
            </w:pPr>
            <w:r>
              <w:rPr>
                <w:rFonts w:ascii="Arial" w:cs="Arial" w:eastAsia="Arial" w:hAnsi="Arial"/>
                <w:sz w:val="16"/>
                <w:szCs w:val="16"/>
                <w:color w:val="auto"/>
              </w:rPr>
              <w:t>Beginning balance</w:t>
            </w:r>
          </w:p>
        </w:tc>
        <w:tc>
          <w:tcPr>
            <w:tcW w:w="19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7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290</w:t>
            </w:r>
          </w:p>
        </w:tc>
        <w:tc>
          <w:tcPr>
            <w:tcW w:w="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215"/>
        </w:trPr>
        <w:tc>
          <w:tcPr>
            <w:tcW w:w="5220" w:type="dxa"/>
            <w:vAlign w:val="bottom"/>
          </w:tcPr>
          <w:p>
            <w:pPr>
              <w:spacing w:after="0"/>
              <w:rPr>
                <w:sz w:val="20"/>
                <w:szCs w:val="20"/>
                <w:color w:val="auto"/>
              </w:rPr>
            </w:pPr>
            <w:r>
              <w:rPr>
                <w:rFonts w:ascii="Arial" w:cs="Arial" w:eastAsia="Arial" w:hAnsi="Arial"/>
                <w:sz w:val="16"/>
                <w:szCs w:val="16"/>
                <w:color w:val="auto"/>
              </w:rPr>
              <w:t>Current year accruals</w:t>
            </w:r>
          </w:p>
        </w:tc>
        <w:tc>
          <w:tcPr>
            <w:tcW w:w="1940" w:type="dxa"/>
            <w:vAlign w:val="bottom"/>
          </w:tcPr>
          <w:p>
            <w:pPr>
              <w:spacing w:after="0"/>
              <w:rPr>
                <w:sz w:val="18"/>
                <w:szCs w:val="18"/>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b w:val="1"/>
                <w:bCs w:val="1"/>
                <w:color w:val="auto"/>
              </w:rPr>
              <w:t>58</w:t>
            </w: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7"/>
        </w:trPr>
        <w:tc>
          <w:tcPr>
            <w:tcW w:w="5220" w:type="dxa"/>
            <w:vAlign w:val="bottom"/>
            <w:shd w:val="clear" w:color="auto" w:fill="CCEEFF"/>
          </w:tcPr>
          <w:p>
            <w:pPr>
              <w:spacing w:after="0"/>
              <w:rPr>
                <w:sz w:val="20"/>
                <w:szCs w:val="20"/>
                <w:color w:val="auto"/>
              </w:rPr>
            </w:pPr>
            <w:r>
              <w:rPr>
                <w:rFonts w:ascii="Arial" w:cs="Arial" w:eastAsia="Arial" w:hAnsi="Arial"/>
                <w:sz w:val="16"/>
                <w:szCs w:val="16"/>
                <w:color w:val="auto"/>
              </w:rPr>
              <w:t>Changes in estimates for prior years</w:t>
            </w:r>
          </w:p>
        </w:tc>
        <w:tc>
          <w:tcPr>
            <w:tcW w:w="19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0"/>
        </w:trPr>
        <w:tc>
          <w:tcPr>
            <w:tcW w:w="522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Payments</w:t>
            </w:r>
          </w:p>
        </w:tc>
        <w:tc>
          <w:tcPr>
            <w:tcW w:w="1940" w:type="dxa"/>
            <w:vAlign w:val="bottom"/>
            <w:tcBorders>
              <w:bottom w:val="single" w:sz="8" w:color="7F7F7F"/>
            </w:tcBorders>
          </w:tcPr>
          <w:p>
            <w:pPr>
              <w:spacing w:after="0"/>
              <w:rPr>
                <w:sz w:val="18"/>
                <w:szCs w:val="18"/>
                <w:color w:val="auto"/>
              </w:rPr>
            </w:pPr>
          </w:p>
        </w:tc>
        <w:tc>
          <w:tcPr>
            <w:tcW w:w="700" w:type="dxa"/>
            <w:vAlign w:val="bottom"/>
            <w:tcBorders>
              <w:bottom w:val="single" w:sz="8" w:color="7F7F7F"/>
            </w:tcBorders>
          </w:tcPr>
          <w:p>
            <w:pPr>
              <w:jc w:val="right"/>
              <w:ind w:right="39"/>
              <w:spacing w:after="0"/>
              <w:rPr>
                <w:sz w:val="20"/>
                <w:szCs w:val="20"/>
                <w:color w:val="auto"/>
              </w:rPr>
            </w:pPr>
            <w:r>
              <w:rPr>
                <w:rFonts w:ascii="Arial" w:cs="Arial" w:eastAsia="Arial" w:hAnsi="Arial"/>
                <w:sz w:val="16"/>
                <w:szCs w:val="16"/>
                <w:b w:val="1"/>
                <w:bCs w:val="1"/>
                <w:color w:val="auto"/>
              </w:rPr>
              <w:t>(55)</w:t>
            </w:r>
          </w:p>
        </w:tc>
        <w:tc>
          <w:tcPr>
            <w:tcW w:w="380" w:type="dxa"/>
            <w:vAlign w:val="bottom"/>
            <w:tcBorders>
              <w:bottom w:val="single" w:sz="8" w:color="7F7F7F"/>
            </w:tcBorders>
          </w:tcPr>
          <w:p>
            <w:pPr>
              <w:spacing w:after="0"/>
              <w:rPr>
                <w:sz w:val="18"/>
                <w:szCs w:val="18"/>
                <w:color w:val="auto"/>
              </w:rPr>
            </w:pPr>
          </w:p>
        </w:tc>
        <w:tc>
          <w:tcPr>
            <w:tcW w:w="58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309"/>
        </w:trPr>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Ending balance at September 30</w:t>
            </w:r>
          </w:p>
        </w:tc>
        <w:tc>
          <w:tcPr>
            <w:tcW w:w="1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287</w:t>
            </w:r>
          </w:p>
        </w:tc>
        <w:tc>
          <w:tcPr>
            <w:tcW w:w="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0" w:type="dxa"/>
            <w:vAlign w:val="bottom"/>
          </w:tcPr>
          <w:p>
            <w:pPr>
              <w:spacing w:after="0"/>
              <w:rPr>
                <w:sz w:val="1"/>
                <w:szCs w:val="1"/>
                <w:color w:val="auto"/>
              </w:rPr>
            </w:pPr>
          </w:p>
        </w:tc>
      </w:tr>
      <w:tr>
        <w:trPr>
          <w:trHeight w:val="237"/>
        </w:trPr>
        <w:tc>
          <w:tcPr>
            <w:tcW w:w="5220" w:type="dxa"/>
            <w:vAlign w:val="bottom"/>
            <w:tcBorders>
              <w:top w:val="single" w:sz="8" w:color="7F7F7F"/>
            </w:tcBorders>
          </w:tcPr>
          <w:p>
            <w:pPr>
              <w:spacing w:after="0"/>
              <w:rPr>
                <w:sz w:val="20"/>
                <w:szCs w:val="20"/>
                <w:color w:val="auto"/>
              </w:rPr>
            </w:pPr>
            <w:r>
              <w:rPr>
                <w:rFonts w:ascii="Arial" w:cs="Arial" w:eastAsia="Arial" w:hAnsi="Arial"/>
                <w:sz w:val="16"/>
                <w:szCs w:val="16"/>
                <w:color w:val="auto"/>
              </w:rPr>
              <w:t>Current portion, ending balance at September 30</w:t>
            </w:r>
          </w:p>
        </w:tc>
        <w:tc>
          <w:tcPr>
            <w:tcW w:w="1940" w:type="dxa"/>
            <w:vAlign w:val="bottom"/>
            <w:tcBorders>
              <w:top w:val="single" w:sz="8" w:color="7F7F7F"/>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700" w:type="dxa"/>
            <w:vAlign w:val="bottom"/>
            <w:tcBorders>
              <w:top w:val="single" w:sz="8" w:color="7F7F7F"/>
            </w:tcBorders>
          </w:tcPr>
          <w:p>
            <w:pPr>
              <w:jc w:val="right"/>
              <w:ind w:right="79"/>
              <w:spacing w:after="0"/>
              <w:rPr>
                <w:sz w:val="20"/>
                <w:szCs w:val="20"/>
                <w:color w:val="auto"/>
              </w:rPr>
            </w:pPr>
            <w:r>
              <w:rPr>
                <w:rFonts w:ascii="Arial" w:cs="Arial" w:eastAsia="Arial" w:hAnsi="Arial"/>
                <w:sz w:val="16"/>
                <w:szCs w:val="16"/>
                <w:b w:val="1"/>
                <w:bCs w:val="1"/>
                <w:color w:val="auto"/>
              </w:rPr>
              <w:t>69</w:t>
            </w:r>
          </w:p>
        </w:tc>
        <w:tc>
          <w:tcPr>
            <w:tcW w:w="380" w:type="dxa"/>
            <w:vAlign w:val="bottom"/>
            <w:tcBorders>
              <w:top w:val="single" w:sz="8" w:color="7F7F7F"/>
            </w:tcBorders>
          </w:tcPr>
          <w:p>
            <w:pPr>
              <w:jc w:val="right"/>
              <w:ind w:right="79"/>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7F7F7F"/>
            </w:tcBorders>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81"/>
        </w:trPr>
        <w:tc>
          <w:tcPr>
            <w:tcW w:w="5220" w:type="dxa"/>
            <w:vAlign w:val="bottom"/>
            <w:tcBorders>
              <w:bottom w:val="single" w:sz="8" w:color="7F7F7F"/>
            </w:tcBorders>
          </w:tcPr>
          <w:p>
            <w:pPr>
              <w:spacing w:after="0"/>
              <w:rPr>
                <w:sz w:val="7"/>
                <w:szCs w:val="7"/>
                <w:color w:val="auto"/>
              </w:rPr>
            </w:pPr>
          </w:p>
        </w:tc>
        <w:tc>
          <w:tcPr>
            <w:tcW w:w="1940" w:type="dxa"/>
            <w:vAlign w:val="bottom"/>
            <w:tcBorders>
              <w:bottom w:val="single" w:sz="8" w:color="7F7F7F"/>
            </w:tcBorders>
          </w:tcPr>
          <w:p>
            <w:pPr>
              <w:spacing w:after="0"/>
              <w:rPr>
                <w:sz w:val="7"/>
                <w:szCs w:val="7"/>
                <w:color w:val="auto"/>
              </w:rPr>
            </w:pPr>
          </w:p>
        </w:tc>
        <w:tc>
          <w:tcPr>
            <w:tcW w:w="700" w:type="dxa"/>
            <w:vAlign w:val="bottom"/>
            <w:tcBorders>
              <w:bottom w:val="single" w:sz="8" w:color="7F7F7F"/>
            </w:tcBorders>
          </w:tcPr>
          <w:p>
            <w:pPr>
              <w:spacing w:after="0"/>
              <w:rPr>
                <w:sz w:val="7"/>
                <w:szCs w:val="7"/>
                <w:color w:val="auto"/>
              </w:rPr>
            </w:pPr>
          </w:p>
        </w:tc>
        <w:tc>
          <w:tcPr>
            <w:tcW w:w="380" w:type="dxa"/>
            <w:vAlign w:val="bottom"/>
            <w:tcBorders>
              <w:bottom w:val="single" w:sz="8" w:color="7F7F7F"/>
            </w:tcBorders>
          </w:tcPr>
          <w:p>
            <w:pPr>
              <w:spacing w:after="0"/>
              <w:rPr>
                <w:sz w:val="7"/>
                <w:szCs w:val="7"/>
                <w:color w:val="auto"/>
              </w:rPr>
            </w:pPr>
          </w:p>
        </w:tc>
        <w:tc>
          <w:tcPr>
            <w:tcW w:w="580" w:type="dxa"/>
            <w:vAlign w:val="bottom"/>
            <w:tcBorders>
              <w:bottom w:val="single" w:sz="8" w:color="7F7F7F"/>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100" w:right="99"/>
        <w:spacing w:after="0" w:line="215" w:lineRule="auto"/>
        <w:rPr>
          <w:sz w:val="20"/>
          <w:szCs w:val="20"/>
          <w:color w:val="auto"/>
        </w:rPr>
      </w:pPr>
      <w:r>
        <w:rPr>
          <w:rFonts w:ascii="Arial" w:cs="Arial" w:eastAsia="Arial" w:hAnsi="Arial"/>
          <w:sz w:val="18"/>
          <w:szCs w:val="18"/>
          <w:color w:val="auto"/>
        </w:rPr>
        <w:t>We have insurance coverage for a portion of the costs incurred to resolve personal injury-related claims, and we have recognized an asset for estimated insurance recoveries at September 30, 2017, and December 31, 2016. Any changes to recorded insurance recoveries are included in the above table in the Changes in estimates for prior years category.</w:t>
      </w:r>
    </w:p>
    <w:p>
      <w:pPr>
        <w:spacing w:after="0" w:line="114" w:lineRule="exact"/>
        <w:rPr>
          <w:sz w:val="20"/>
          <w:szCs w:val="20"/>
          <w:color w:val="auto"/>
        </w:rPr>
      </w:pPr>
    </w:p>
    <w:p>
      <w:pPr>
        <w:jc w:val="both"/>
        <w:ind w:left="100" w:right="99"/>
        <w:spacing w:after="0" w:line="218" w:lineRule="auto"/>
        <w:rPr>
          <w:sz w:val="20"/>
          <w:szCs w:val="20"/>
          <w:color w:val="auto"/>
        </w:rPr>
      </w:pPr>
      <w:r>
        <w:rPr>
          <w:rFonts w:ascii="Arial" w:cs="Arial" w:eastAsia="Arial" w:hAnsi="Arial"/>
          <w:sz w:val="18"/>
          <w:szCs w:val="18"/>
          <w:b w:val="1"/>
          <w:bCs w:val="1"/>
          <w:color w:val="auto"/>
        </w:rPr>
        <w:t xml:space="preserve">Asbestos </w:t>
      </w:r>
      <w:r>
        <w:rPr>
          <w:rFonts w:ascii="Arial" w:cs="Arial" w:eastAsia="Arial" w:hAnsi="Arial"/>
          <w:sz w:val="18"/>
          <w:szCs w:val="18"/>
          <w:color w:val="auto"/>
        </w:rPr>
        <w:t>– We are a defendant in a number of lawsuits in which current and former employees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allege exposure to asbestos. We assess our potential liability using a statistical analysis of resolution costs for asbestos-related claims. This liability is updated annually and excludes future defense and processing costs. The liability for resolving both asserted and unasserted claims was based on the following assumptions:</w:t>
      </w:r>
    </w:p>
    <w:p>
      <w:pPr>
        <w:spacing w:after="0" w:line="135" w:lineRule="exact"/>
        <w:rPr>
          <w:sz w:val="20"/>
          <w:szCs w:val="20"/>
          <w:color w:val="auto"/>
        </w:rPr>
      </w:pPr>
    </w:p>
    <w:p>
      <w:pPr>
        <w:ind w:left="760" w:right="99" w:hanging="331"/>
        <w:spacing w:after="0"/>
        <w:tabs>
          <w:tab w:leader="none" w:pos="760" w:val="left"/>
        </w:tabs>
        <w:numPr>
          <w:ilvl w:val="0"/>
          <w:numId w:val="9"/>
        </w:numPr>
        <w:rPr>
          <w:rFonts w:ascii="Arial" w:cs="Arial" w:eastAsia="Arial" w:hAnsi="Arial"/>
          <w:sz w:val="26"/>
          <w:szCs w:val="26"/>
          <w:color w:val="auto"/>
          <w:vertAlign w:val="superscript"/>
        </w:rPr>
      </w:pPr>
      <w:r>
        <w:rPr>
          <w:rFonts w:ascii="Arial" w:cs="Arial" w:eastAsia="Arial" w:hAnsi="Arial"/>
          <w:sz w:val="16"/>
          <w:szCs w:val="16"/>
          <w:color w:val="auto"/>
        </w:rPr>
        <w:t>The ratio of future claims by alleged disease would be consistent with historical averages adjusted for inflation.</w:t>
      </w:r>
    </w:p>
    <w:p>
      <w:pPr>
        <w:spacing w:after="0" w:line="52" w:lineRule="exact"/>
        <w:rPr>
          <w:rFonts w:ascii="Arial" w:cs="Arial" w:eastAsia="Arial" w:hAnsi="Arial"/>
          <w:sz w:val="26"/>
          <w:szCs w:val="26"/>
          <w:color w:val="auto"/>
          <w:vertAlign w:val="superscript"/>
        </w:rPr>
      </w:pPr>
    </w:p>
    <w:p>
      <w:pPr>
        <w:ind w:left="760" w:hanging="331"/>
        <w:spacing w:after="0" w:line="192" w:lineRule="auto"/>
        <w:tabs>
          <w:tab w:leader="none" w:pos="760" w:val="left"/>
        </w:tabs>
        <w:numPr>
          <w:ilvl w:val="0"/>
          <w:numId w:val="9"/>
        </w:numPr>
        <w:rPr>
          <w:rFonts w:ascii="Arial" w:cs="Arial" w:eastAsia="Arial" w:hAnsi="Arial"/>
          <w:sz w:val="19"/>
          <w:szCs w:val="19"/>
          <w:color w:val="auto"/>
          <w:vertAlign w:val="superscript"/>
        </w:rPr>
      </w:pPr>
      <w:r>
        <w:rPr>
          <w:rFonts w:ascii="Arial" w:cs="Arial" w:eastAsia="Arial" w:hAnsi="Arial"/>
          <w:sz w:val="13"/>
          <w:szCs w:val="13"/>
          <w:color w:val="auto"/>
        </w:rPr>
        <w:t>The number of claims filed against us will decline each year.</w:t>
      </w:r>
    </w:p>
    <w:p>
      <w:pPr>
        <w:ind w:left="760" w:right="99" w:hanging="331"/>
        <w:spacing w:after="0"/>
        <w:tabs>
          <w:tab w:leader="none" w:pos="760" w:val="left"/>
        </w:tabs>
        <w:numPr>
          <w:ilvl w:val="0"/>
          <w:numId w:val="9"/>
        </w:numPr>
        <w:rPr>
          <w:rFonts w:ascii="Arial" w:cs="Arial" w:eastAsia="Arial" w:hAnsi="Arial"/>
          <w:sz w:val="28"/>
          <w:szCs w:val="28"/>
          <w:color w:val="auto"/>
          <w:vertAlign w:val="superscript"/>
        </w:rPr>
      </w:pPr>
      <w:r>
        <w:rPr>
          <w:rFonts w:ascii="Arial" w:cs="Arial" w:eastAsia="Arial" w:hAnsi="Arial"/>
          <w:sz w:val="17"/>
          <w:szCs w:val="17"/>
          <w:color w:val="auto"/>
        </w:rPr>
        <w:t>The average settlement values for asserted and unasserted claims will be equivalent to historical averages.</w:t>
      </w:r>
    </w:p>
    <w:p>
      <w:pPr>
        <w:spacing w:after="0" w:line="29" w:lineRule="exact"/>
        <w:rPr>
          <w:rFonts w:ascii="Arial" w:cs="Arial" w:eastAsia="Arial" w:hAnsi="Arial"/>
          <w:sz w:val="28"/>
          <w:szCs w:val="28"/>
          <w:color w:val="auto"/>
          <w:vertAlign w:val="superscript"/>
        </w:rPr>
      </w:pPr>
    </w:p>
    <w:p>
      <w:pPr>
        <w:ind w:left="760" w:hanging="331"/>
        <w:spacing w:after="0" w:line="181" w:lineRule="auto"/>
        <w:tabs>
          <w:tab w:leader="none" w:pos="760" w:val="left"/>
        </w:tabs>
        <w:numPr>
          <w:ilvl w:val="0"/>
          <w:numId w:val="9"/>
        </w:numPr>
        <w:rPr>
          <w:rFonts w:ascii="Arial" w:cs="Arial" w:eastAsia="Arial" w:hAnsi="Arial"/>
          <w:sz w:val="25"/>
          <w:szCs w:val="25"/>
          <w:color w:val="auto"/>
          <w:vertAlign w:val="superscript"/>
        </w:rPr>
      </w:pPr>
      <w:r>
        <w:rPr>
          <w:rFonts w:ascii="Arial" w:cs="Arial" w:eastAsia="Arial" w:hAnsi="Arial"/>
          <w:sz w:val="16"/>
          <w:szCs w:val="16"/>
          <w:color w:val="auto"/>
        </w:rPr>
        <w:t>The percentage of claims dismissed in the future will be equivalent to historical averages.</w:t>
      </w:r>
    </w:p>
    <w:p>
      <w:pPr>
        <w:spacing w:after="0" w:line="134" w:lineRule="exact"/>
        <w:rPr>
          <w:sz w:val="20"/>
          <w:szCs w:val="20"/>
          <w:color w:val="auto"/>
        </w:rPr>
      </w:pPr>
    </w:p>
    <w:p>
      <w:pPr>
        <w:jc w:val="both"/>
        <w:ind w:left="100" w:right="99"/>
        <w:spacing w:after="0" w:line="219" w:lineRule="auto"/>
        <w:rPr>
          <w:sz w:val="20"/>
          <w:szCs w:val="20"/>
          <w:color w:val="auto"/>
        </w:rPr>
      </w:pPr>
      <w:r>
        <w:rPr>
          <w:rFonts w:ascii="Arial" w:cs="Arial" w:eastAsia="Arial" w:hAnsi="Arial"/>
          <w:sz w:val="18"/>
          <w:szCs w:val="18"/>
          <w:color w:val="auto"/>
        </w:rPr>
        <w:t>Our liability for asbestos-related claims is not discounted to present value due to the uncertainty surrounding the timing of future payments. Approximately 19% of the recorded liability related to asserted claims and approximately 81% related to unasserted claims at September 30, 2017.</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45085</wp:posOffset>
            </wp:positionV>
            <wp:extent cx="5642610"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0" w:name="page21"/>
    <w:bookmarkEnd w:id="20"/>
    <w:p>
      <w:pPr>
        <w:ind w:left="10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6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Our asbestos-related liability activity was as follows:</w:t>
      </w:r>
    </w:p>
    <w:p>
      <w:pPr>
        <w:spacing w:after="0" w:line="179" w:lineRule="exact"/>
        <w:rPr>
          <w:sz w:val="20"/>
          <w:szCs w:val="20"/>
          <w:color w:val="auto"/>
        </w:rPr>
      </w:pPr>
    </w:p>
    <w:tbl>
      <w:tblPr>
        <w:tblLayout w:type="fixed"/>
        <w:tblInd w:w="100" w:type="dxa"/>
        <w:tblCellMar>
          <w:top w:w="0" w:type="dxa"/>
          <w:left w:w="0" w:type="dxa"/>
          <w:bottom w:w="0" w:type="dxa"/>
          <w:right w:w="0" w:type="dxa"/>
        </w:tblCellMar>
      </w:tblPr>
      <w:tr>
        <w:trPr>
          <w:trHeight w:val="256"/>
        </w:trPr>
        <w:tc>
          <w:tcPr>
            <w:tcW w:w="5220" w:type="dxa"/>
            <w:vAlign w:val="bottom"/>
            <w:tcBorders>
              <w:top w:val="single" w:sz="8" w:color="7F7F7F"/>
            </w:tcBorders>
          </w:tcPr>
          <w:p>
            <w:pPr>
              <w:spacing w:after="0"/>
              <w:rPr>
                <w:sz w:val="20"/>
                <w:szCs w:val="20"/>
                <w:color w:val="auto"/>
              </w:rPr>
            </w:pPr>
            <w:r>
              <w:rPr>
                <w:rFonts w:ascii="Arial" w:cs="Arial" w:eastAsia="Arial" w:hAnsi="Arial"/>
                <w:sz w:val="16"/>
                <w:szCs w:val="16"/>
                <w:i w:val="1"/>
                <w:iCs w:val="1"/>
                <w:color w:val="auto"/>
              </w:rPr>
              <w:t>Millions,</w:t>
            </w:r>
          </w:p>
        </w:tc>
        <w:tc>
          <w:tcPr>
            <w:tcW w:w="1940" w:type="dxa"/>
            <w:vAlign w:val="bottom"/>
            <w:tcBorders>
              <w:top w:val="single" w:sz="8" w:color="7F7F7F"/>
            </w:tcBorders>
          </w:tcPr>
          <w:p>
            <w:pPr>
              <w:spacing w:after="0"/>
              <w:rPr>
                <w:sz w:val="22"/>
                <w:szCs w:val="22"/>
                <w:color w:val="auto"/>
              </w:rPr>
            </w:pPr>
          </w:p>
        </w:tc>
        <w:tc>
          <w:tcPr>
            <w:tcW w:w="700" w:type="dxa"/>
            <w:vAlign w:val="bottom"/>
            <w:tcBorders>
              <w:top w:val="single" w:sz="8" w:color="7F7F7F"/>
            </w:tcBorders>
            <w:vMerge w:val="restart"/>
          </w:tcPr>
          <w:p>
            <w:pPr>
              <w:jc w:val="right"/>
              <w:ind w:right="79"/>
              <w:spacing w:after="0"/>
              <w:rPr>
                <w:sz w:val="20"/>
                <w:szCs w:val="20"/>
                <w:color w:val="auto"/>
              </w:rPr>
            </w:pPr>
            <w:r>
              <w:rPr>
                <w:rFonts w:ascii="Arial" w:cs="Arial" w:eastAsia="Arial" w:hAnsi="Arial"/>
                <w:sz w:val="16"/>
                <w:szCs w:val="16"/>
                <w:b w:val="1"/>
                <w:bCs w:val="1"/>
                <w:i w:val="1"/>
                <w:iCs w:val="1"/>
                <w:color w:val="auto"/>
              </w:rPr>
              <w:t>2017</w:t>
            </w:r>
          </w:p>
        </w:tc>
        <w:tc>
          <w:tcPr>
            <w:tcW w:w="380" w:type="dxa"/>
            <w:vAlign w:val="bottom"/>
            <w:tcBorders>
              <w:top w:val="single" w:sz="8" w:color="7F7F7F"/>
            </w:tcBorders>
          </w:tcPr>
          <w:p>
            <w:pPr>
              <w:spacing w:after="0"/>
              <w:rPr>
                <w:sz w:val="22"/>
                <w:szCs w:val="22"/>
                <w:color w:val="auto"/>
              </w:rPr>
            </w:pPr>
          </w:p>
        </w:tc>
        <w:tc>
          <w:tcPr>
            <w:tcW w:w="580" w:type="dxa"/>
            <w:vAlign w:val="bottom"/>
            <w:tcBorders>
              <w:top w:val="single" w:sz="8" w:color="7F7F7F"/>
            </w:tcBorders>
            <w:vMerge w:val="restart"/>
          </w:tcPr>
          <w:p>
            <w:pPr>
              <w:jc w:val="right"/>
              <w:spacing w:after="0"/>
              <w:rPr>
                <w:sz w:val="20"/>
                <w:szCs w:val="20"/>
                <w:color w:val="auto"/>
              </w:rPr>
            </w:pPr>
            <w:r>
              <w:rPr>
                <w:rFonts w:ascii="Arial" w:cs="Arial" w:eastAsia="Arial" w:hAnsi="Arial"/>
                <w:sz w:val="16"/>
                <w:szCs w:val="16"/>
                <w:i w:val="1"/>
                <w:iCs w:val="1"/>
                <w:color w:val="auto"/>
              </w:rPr>
              <w:t>2016</w:t>
            </w:r>
          </w:p>
        </w:tc>
        <w:tc>
          <w:tcPr>
            <w:tcW w:w="0" w:type="dxa"/>
            <w:vAlign w:val="bottom"/>
          </w:tcPr>
          <w:p>
            <w:pPr>
              <w:spacing w:after="0"/>
              <w:rPr>
                <w:sz w:val="1"/>
                <w:szCs w:val="1"/>
                <w:color w:val="auto"/>
              </w:rPr>
            </w:pPr>
          </w:p>
        </w:tc>
      </w:tr>
      <w:tr>
        <w:trPr>
          <w:trHeight w:val="197"/>
        </w:trPr>
        <w:tc>
          <w:tcPr>
            <w:tcW w:w="5220" w:type="dxa"/>
            <w:vAlign w:val="bottom"/>
            <w:tcBorders>
              <w:bottom w:val="single" w:sz="8" w:color="7F7F7F"/>
            </w:tcBorders>
          </w:tcPr>
          <w:p>
            <w:pPr>
              <w:spacing w:after="0"/>
              <w:rPr>
                <w:sz w:val="20"/>
                <w:szCs w:val="20"/>
                <w:color w:val="auto"/>
              </w:rPr>
            </w:pPr>
            <w:r>
              <w:rPr>
                <w:rFonts w:ascii="Arial" w:cs="Arial" w:eastAsia="Arial" w:hAnsi="Arial"/>
                <w:sz w:val="16"/>
                <w:szCs w:val="16"/>
                <w:i w:val="1"/>
                <w:iCs w:val="1"/>
                <w:color w:val="auto"/>
              </w:rPr>
              <w:t>for the Nine Months Ended September 30,</w:t>
            </w:r>
          </w:p>
        </w:tc>
        <w:tc>
          <w:tcPr>
            <w:tcW w:w="1940" w:type="dxa"/>
            <w:vAlign w:val="bottom"/>
            <w:tcBorders>
              <w:bottom w:val="single" w:sz="8" w:color="7F7F7F"/>
            </w:tcBorders>
          </w:tcPr>
          <w:p>
            <w:pPr>
              <w:spacing w:after="0"/>
              <w:rPr>
                <w:sz w:val="17"/>
                <w:szCs w:val="17"/>
                <w:color w:val="auto"/>
              </w:rPr>
            </w:pPr>
          </w:p>
        </w:tc>
        <w:tc>
          <w:tcPr>
            <w:tcW w:w="700" w:type="dxa"/>
            <w:vAlign w:val="bottom"/>
            <w:tcBorders>
              <w:bottom w:val="single" w:sz="8" w:color="7F7F7F"/>
            </w:tcBorders>
            <w:vMerge w:val="continue"/>
          </w:tcPr>
          <w:p>
            <w:pPr>
              <w:spacing w:after="0"/>
              <w:rPr>
                <w:sz w:val="17"/>
                <w:szCs w:val="17"/>
                <w:color w:val="auto"/>
              </w:rPr>
            </w:pPr>
          </w:p>
        </w:tc>
        <w:tc>
          <w:tcPr>
            <w:tcW w:w="380" w:type="dxa"/>
            <w:vAlign w:val="bottom"/>
            <w:tcBorders>
              <w:bottom w:val="single" w:sz="8" w:color="7F7F7F"/>
            </w:tcBorders>
          </w:tcPr>
          <w:p>
            <w:pPr>
              <w:spacing w:after="0"/>
              <w:rPr>
                <w:sz w:val="17"/>
                <w:szCs w:val="17"/>
                <w:color w:val="auto"/>
              </w:rPr>
            </w:pPr>
          </w:p>
        </w:tc>
        <w:tc>
          <w:tcPr>
            <w:tcW w:w="580" w:type="dxa"/>
            <w:vAlign w:val="bottom"/>
            <w:tcBorders>
              <w:bottom w:val="single" w:sz="8" w:color="7F7F7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20" w:type="dxa"/>
            <w:vAlign w:val="bottom"/>
            <w:shd w:val="clear" w:color="auto" w:fill="CCEEFF"/>
          </w:tcPr>
          <w:p>
            <w:pPr>
              <w:spacing w:after="0"/>
              <w:rPr>
                <w:sz w:val="20"/>
                <w:szCs w:val="20"/>
                <w:color w:val="auto"/>
              </w:rPr>
            </w:pPr>
            <w:r>
              <w:rPr>
                <w:rFonts w:ascii="Arial" w:cs="Arial" w:eastAsia="Arial" w:hAnsi="Arial"/>
                <w:sz w:val="16"/>
                <w:szCs w:val="16"/>
                <w:color w:val="auto"/>
              </w:rPr>
              <w:t>Beginning balance</w:t>
            </w:r>
          </w:p>
        </w:tc>
        <w:tc>
          <w:tcPr>
            <w:tcW w:w="19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7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111</w:t>
            </w:r>
          </w:p>
        </w:tc>
        <w:tc>
          <w:tcPr>
            <w:tcW w:w="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15"/>
        </w:trPr>
        <w:tc>
          <w:tcPr>
            <w:tcW w:w="5220" w:type="dxa"/>
            <w:vAlign w:val="bottom"/>
          </w:tcPr>
          <w:p>
            <w:pPr>
              <w:spacing w:after="0"/>
              <w:rPr>
                <w:sz w:val="20"/>
                <w:szCs w:val="20"/>
                <w:color w:val="auto"/>
              </w:rPr>
            </w:pPr>
            <w:r>
              <w:rPr>
                <w:rFonts w:ascii="Arial" w:cs="Arial" w:eastAsia="Arial" w:hAnsi="Arial"/>
                <w:sz w:val="16"/>
                <w:szCs w:val="16"/>
                <w:color w:val="auto"/>
              </w:rPr>
              <w:t>Accruals</w:t>
            </w:r>
          </w:p>
        </w:tc>
        <w:tc>
          <w:tcPr>
            <w:tcW w:w="194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22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Payments</w:t>
            </w:r>
          </w:p>
        </w:tc>
        <w:tc>
          <w:tcPr>
            <w:tcW w:w="1940" w:type="dxa"/>
            <w:vAlign w:val="bottom"/>
            <w:tcBorders>
              <w:bottom w:val="single" w:sz="8" w:color="7F7F7F"/>
            </w:tcBorders>
            <w:shd w:val="clear" w:color="auto" w:fill="CCEEFF"/>
          </w:tcPr>
          <w:p>
            <w:pPr>
              <w:spacing w:after="0"/>
              <w:rPr>
                <w:sz w:val="18"/>
                <w:szCs w:val="18"/>
                <w:color w:val="auto"/>
              </w:rPr>
            </w:pPr>
          </w:p>
        </w:tc>
        <w:tc>
          <w:tcPr>
            <w:tcW w:w="700" w:type="dxa"/>
            <w:vAlign w:val="bottom"/>
            <w:tcBorders>
              <w:bottom w:val="single" w:sz="8" w:color="7F7F7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(10)</w:t>
            </w:r>
          </w:p>
        </w:tc>
        <w:tc>
          <w:tcPr>
            <w:tcW w:w="380" w:type="dxa"/>
            <w:vAlign w:val="bottom"/>
            <w:tcBorders>
              <w:bottom w:val="single" w:sz="8" w:color="7F7F7F"/>
            </w:tcBorders>
            <w:shd w:val="clear" w:color="auto" w:fill="CCEEFF"/>
          </w:tcPr>
          <w:p>
            <w:pPr>
              <w:spacing w:after="0"/>
              <w:rPr>
                <w:sz w:val="18"/>
                <w:szCs w:val="18"/>
                <w:color w:val="auto"/>
              </w:rPr>
            </w:pPr>
          </w:p>
        </w:tc>
        <w:tc>
          <w:tcPr>
            <w:tcW w:w="58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51"/>
        </w:trPr>
        <w:tc>
          <w:tcPr>
            <w:tcW w:w="5220" w:type="dxa"/>
            <w:vAlign w:val="bottom"/>
          </w:tcPr>
          <w:p>
            <w:pPr>
              <w:spacing w:after="0"/>
              <w:rPr>
                <w:sz w:val="20"/>
                <w:szCs w:val="20"/>
                <w:color w:val="auto"/>
              </w:rPr>
            </w:pPr>
            <w:r>
              <w:rPr>
                <w:rFonts w:ascii="Arial" w:cs="Arial" w:eastAsia="Arial" w:hAnsi="Arial"/>
                <w:sz w:val="16"/>
                <w:szCs w:val="16"/>
                <w:color w:val="auto"/>
              </w:rPr>
              <w:t>Ending balance at September 30</w:t>
            </w:r>
          </w:p>
        </w:tc>
        <w:tc>
          <w:tcPr>
            <w:tcW w:w="19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ind w:right="79"/>
              <w:spacing w:after="0"/>
              <w:rPr>
                <w:sz w:val="20"/>
                <w:szCs w:val="20"/>
                <w:color w:val="auto"/>
              </w:rPr>
            </w:pPr>
            <w:r>
              <w:rPr>
                <w:rFonts w:ascii="Arial" w:cs="Arial" w:eastAsia="Arial" w:hAnsi="Arial"/>
                <w:sz w:val="16"/>
                <w:szCs w:val="16"/>
                <w:b w:val="1"/>
                <w:bCs w:val="1"/>
                <w:color w:val="auto"/>
              </w:rPr>
              <w:t>101</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54"/>
        </w:trPr>
        <w:tc>
          <w:tcPr>
            <w:tcW w:w="5220" w:type="dxa"/>
            <w:vAlign w:val="bottom"/>
            <w:tcBorders>
              <w:bottom w:val="single" w:sz="8" w:color="7F7F7F"/>
            </w:tcBorders>
          </w:tcPr>
          <w:p>
            <w:pPr>
              <w:spacing w:after="0"/>
              <w:rPr>
                <w:sz w:val="4"/>
                <w:szCs w:val="4"/>
                <w:color w:val="auto"/>
              </w:rPr>
            </w:pPr>
          </w:p>
        </w:tc>
        <w:tc>
          <w:tcPr>
            <w:tcW w:w="1940" w:type="dxa"/>
            <w:vAlign w:val="bottom"/>
            <w:tcBorders>
              <w:bottom w:val="single" w:sz="8" w:color="7F7F7F"/>
            </w:tcBorders>
          </w:tcPr>
          <w:p>
            <w:pPr>
              <w:spacing w:after="0"/>
              <w:rPr>
                <w:sz w:val="4"/>
                <w:szCs w:val="4"/>
                <w:color w:val="auto"/>
              </w:rPr>
            </w:pPr>
          </w:p>
        </w:tc>
        <w:tc>
          <w:tcPr>
            <w:tcW w:w="700" w:type="dxa"/>
            <w:vAlign w:val="bottom"/>
            <w:tcBorders>
              <w:bottom w:val="single" w:sz="8" w:color="7F7F7F"/>
            </w:tcBorders>
          </w:tcPr>
          <w:p>
            <w:pPr>
              <w:spacing w:after="0"/>
              <w:rPr>
                <w:sz w:val="4"/>
                <w:szCs w:val="4"/>
                <w:color w:val="auto"/>
              </w:rPr>
            </w:pPr>
          </w:p>
        </w:tc>
        <w:tc>
          <w:tcPr>
            <w:tcW w:w="380" w:type="dxa"/>
            <w:vAlign w:val="bottom"/>
            <w:tcBorders>
              <w:bottom w:val="single" w:sz="8" w:color="7F7F7F"/>
            </w:tcBorders>
          </w:tcPr>
          <w:p>
            <w:pPr>
              <w:spacing w:after="0"/>
              <w:rPr>
                <w:sz w:val="4"/>
                <w:szCs w:val="4"/>
                <w:color w:val="auto"/>
              </w:rPr>
            </w:pPr>
          </w:p>
        </w:tc>
        <w:tc>
          <w:tcPr>
            <w:tcW w:w="58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Current portion, ending balance at September 30</w:t>
            </w:r>
          </w:p>
        </w:tc>
        <w:tc>
          <w:tcPr>
            <w:tcW w:w="1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8</w:t>
            </w:r>
          </w:p>
        </w:tc>
        <w:tc>
          <w:tcPr>
            <w:tcW w:w="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54"/>
        </w:trPr>
        <w:tc>
          <w:tcPr>
            <w:tcW w:w="5220" w:type="dxa"/>
            <w:vAlign w:val="bottom"/>
            <w:shd w:val="clear" w:color="auto" w:fill="7F7F7F"/>
          </w:tcPr>
          <w:p>
            <w:pPr>
              <w:spacing w:after="0"/>
              <w:rPr>
                <w:sz w:val="4"/>
                <w:szCs w:val="4"/>
                <w:color w:val="auto"/>
              </w:rPr>
            </w:pPr>
          </w:p>
        </w:tc>
        <w:tc>
          <w:tcPr>
            <w:tcW w:w="1940" w:type="dxa"/>
            <w:vAlign w:val="bottom"/>
            <w:shd w:val="clear" w:color="auto" w:fill="7F7F7F"/>
          </w:tcPr>
          <w:p>
            <w:pPr>
              <w:spacing w:after="0"/>
              <w:rPr>
                <w:sz w:val="4"/>
                <w:szCs w:val="4"/>
                <w:color w:val="auto"/>
              </w:rPr>
            </w:pPr>
          </w:p>
        </w:tc>
        <w:tc>
          <w:tcPr>
            <w:tcW w:w="700" w:type="dxa"/>
            <w:vAlign w:val="bottom"/>
            <w:shd w:val="clear" w:color="auto" w:fill="7F7F7F"/>
          </w:tcPr>
          <w:p>
            <w:pPr>
              <w:spacing w:after="0"/>
              <w:rPr>
                <w:sz w:val="4"/>
                <w:szCs w:val="4"/>
                <w:color w:val="auto"/>
              </w:rPr>
            </w:pPr>
          </w:p>
        </w:tc>
        <w:tc>
          <w:tcPr>
            <w:tcW w:w="380" w:type="dxa"/>
            <w:vAlign w:val="bottom"/>
            <w:shd w:val="clear" w:color="auto" w:fill="7F7F7F"/>
          </w:tcPr>
          <w:p>
            <w:pPr>
              <w:spacing w:after="0"/>
              <w:rPr>
                <w:sz w:val="4"/>
                <w:szCs w:val="4"/>
                <w:color w:val="auto"/>
              </w:rPr>
            </w:pPr>
          </w:p>
        </w:tc>
        <w:tc>
          <w:tcPr>
            <w:tcW w:w="580" w:type="dxa"/>
            <w:vAlign w:val="bottom"/>
            <w:shd w:val="clear" w:color="auto" w:fill="7F7F7F"/>
          </w:tcPr>
          <w:p>
            <w:pPr>
              <w:spacing w:after="0"/>
              <w:rPr>
                <w:sz w:val="4"/>
                <w:szCs w:val="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100" w:right="99"/>
        <w:spacing w:after="0" w:line="227" w:lineRule="auto"/>
        <w:rPr>
          <w:sz w:val="20"/>
          <w:szCs w:val="20"/>
          <w:color w:val="auto"/>
        </w:rPr>
      </w:pPr>
      <w:r>
        <w:rPr>
          <w:rFonts w:ascii="Arial" w:cs="Arial" w:eastAsia="Arial" w:hAnsi="Arial"/>
          <w:sz w:val="18"/>
          <w:szCs w:val="18"/>
          <w:color w:val="auto"/>
        </w:rPr>
        <w:t>We have insurance coverage for a portion of the costs incurred to resolve asbestos-related claims, and we have recognized an asset for estimated insurance recoveries at September 30, 2017, and December 31, 2016.</w:t>
      </w:r>
    </w:p>
    <w:p>
      <w:pPr>
        <w:spacing w:after="0" w:line="135" w:lineRule="exact"/>
        <w:rPr>
          <w:sz w:val="20"/>
          <w:szCs w:val="20"/>
          <w:color w:val="auto"/>
        </w:rPr>
      </w:pPr>
    </w:p>
    <w:p>
      <w:pPr>
        <w:jc w:val="both"/>
        <w:ind w:left="100" w:right="99"/>
        <w:spacing w:after="0" w:line="209" w:lineRule="auto"/>
        <w:rPr>
          <w:sz w:val="20"/>
          <w:szCs w:val="20"/>
          <w:color w:val="auto"/>
        </w:rPr>
      </w:pPr>
      <w:r>
        <w:rPr>
          <w:rFonts w:ascii="Arial" w:cs="Arial" w:eastAsia="Arial" w:hAnsi="Arial"/>
          <w:sz w:val="18"/>
          <w:szCs w:val="18"/>
          <w:color w:val="auto"/>
        </w:rPr>
        <w:t>We believe that our estimates of liability for asbestos-related claims and insurance recoveries are reasonable and probable. The amounts recorded for asbestos-related liabilities and related insurance recoveries were based on currently known facts. However, future events, such as the number of new claims filed each year, average settlement costs, and insurance coverage issues, could cause the actual costs and insurance recoveries to be higher or lower than the projected amounts. Estimates also may vary in the future if strategies, activities, and outcomes of asbestos litigation materially change; federal and state laws governing asbestos litigation increase or decrease the probability or amount of compensation of claimants; and there are material changes with respect to payments made to claimants by other defendants.</w:t>
      </w:r>
    </w:p>
    <w:p>
      <w:pPr>
        <w:spacing w:after="0" w:line="116" w:lineRule="exact"/>
        <w:rPr>
          <w:sz w:val="20"/>
          <w:szCs w:val="20"/>
          <w:color w:val="auto"/>
        </w:rPr>
      </w:pPr>
    </w:p>
    <w:p>
      <w:pPr>
        <w:jc w:val="both"/>
        <w:ind w:left="100" w:right="99"/>
        <w:spacing w:after="0" w:line="214" w:lineRule="auto"/>
        <w:rPr>
          <w:sz w:val="20"/>
          <w:szCs w:val="20"/>
          <w:color w:val="auto"/>
        </w:rPr>
      </w:pPr>
      <w:r>
        <w:rPr>
          <w:rFonts w:ascii="Arial" w:cs="Arial" w:eastAsia="Arial" w:hAnsi="Arial"/>
          <w:sz w:val="18"/>
          <w:szCs w:val="18"/>
          <w:b w:val="1"/>
          <w:bCs w:val="1"/>
          <w:color w:val="auto"/>
        </w:rPr>
        <w:t xml:space="preserve">Environmental Costs </w:t>
      </w:r>
      <w:r>
        <w:rPr>
          <w:rFonts w:ascii="Arial" w:cs="Arial" w:eastAsia="Arial" w:hAnsi="Arial"/>
          <w:sz w:val="18"/>
          <w:szCs w:val="18"/>
          <w:color w:val="auto"/>
        </w:rPr>
        <w:t>– We are subject to federal, state, and local environmental laws and regulations. We</w:t>
      </w:r>
      <w:r>
        <w:rPr>
          <w:rFonts w:ascii="Arial" w:cs="Arial" w:eastAsia="Arial" w:hAnsi="Arial"/>
          <w:sz w:val="18"/>
          <w:szCs w:val="18"/>
          <w:b w:val="1"/>
          <w:bCs w:val="1"/>
          <w:color w:val="auto"/>
        </w:rPr>
        <w:t xml:space="preserve"> </w:t>
      </w:r>
      <w:r>
        <w:rPr>
          <w:rFonts w:ascii="Arial" w:cs="Arial" w:eastAsia="Arial" w:hAnsi="Arial"/>
          <w:sz w:val="18"/>
          <w:szCs w:val="18"/>
          <w:color w:val="auto"/>
        </w:rPr>
        <w:t>have identified 317 sites at which we are or may be liable for remediation costs associated with alleged contamination or for violations of environmental requirements. This includes 33 sites that are the subject of actions taken by the U.S. government, 21 of which are currently on the Superfund National Priorities List. Certain federal legislation imposes joint and several liability for the remediation of identified sites; consequently, our ultimate environmental liability may include costs relating to activities of other parties, in addition to costs relating to our own activities at each site.</w:t>
      </w:r>
    </w:p>
    <w:p>
      <w:pPr>
        <w:spacing w:after="0" w:line="135" w:lineRule="exact"/>
        <w:rPr>
          <w:sz w:val="20"/>
          <w:szCs w:val="20"/>
          <w:color w:val="auto"/>
        </w:rPr>
      </w:pPr>
    </w:p>
    <w:p>
      <w:pPr>
        <w:jc w:val="both"/>
        <w:ind w:left="100" w:right="99"/>
        <w:spacing w:after="0" w:line="213" w:lineRule="auto"/>
        <w:rPr>
          <w:sz w:val="20"/>
          <w:szCs w:val="20"/>
          <w:color w:val="auto"/>
        </w:rPr>
      </w:pPr>
      <w:r>
        <w:rPr>
          <w:rFonts w:ascii="Arial" w:cs="Arial" w:eastAsia="Arial" w:hAnsi="Arial"/>
          <w:sz w:val="18"/>
          <w:szCs w:val="18"/>
          <w:color w:val="auto"/>
        </w:rPr>
        <w:t>When we identify an environmental issue with respect to property owned, leased, or otherwise used in our business, we perform, with assistance of our consultants, environmental assessments on the property. We expense the cost of the assessments as incurred. We accrue the cost of remediation where our obligation is probable and such costs can be reasonably estimated. Our environmental liability is not discounted to present value due to the uncertainty surrounding the timing of future payments.</w:t>
      </w:r>
    </w:p>
    <w:p>
      <w:pPr>
        <w:spacing w:after="0" w:line="13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Our environmental liability activity was as follows:</w:t>
      </w:r>
    </w:p>
    <w:p>
      <w:pPr>
        <w:spacing w:after="0" w:line="179" w:lineRule="exact"/>
        <w:rPr>
          <w:sz w:val="20"/>
          <w:szCs w:val="20"/>
          <w:color w:val="auto"/>
        </w:rPr>
      </w:pPr>
    </w:p>
    <w:tbl>
      <w:tblPr>
        <w:tblLayout w:type="fixed"/>
        <w:tblInd w:w="100" w:type="dxa"/>
        <w:tblCellMar>
          <w:top w:w="0" w:type="dxa"/>
          <w:left w:w="0" w:type="dxa"/>
          <w:bottom w:w="0" w:type="dxa"/>
          <w:right w:w="0" w:type="dxa"/>
        </w:tblCellMar>
      </w:tblPr>
      <w:tr>
        <w:trPr>
          <w:trHeight w:val="256"/>
        </w:trPr>
        <w:tc>
          <w:tcPr>
            <w:tcW w:w="5220" w:type="dxa"/>
            <w:vAlign w:val="bottom"/>
            <w:tcBorders>
              <w:top w:val="single" w:sz="8" w:color="7F7F7F"/>
            </w:tcBorders>
          </w:tcPr>
          <w:p>
            <w:pPr>
              <w:spacing w:after="0"/>
              <w:rPr>
                <w:sz w:val="20"/>
                <w:szCs w:val="20"/>
                <w:color w:val="auto"/>
              </w:rPr>
            </w:pPr>
            <w:r>
              <w:rPr>
                <w:rFonts w:ascii="Arial" w:cs="Arial" w:eastAsia="Arial" w:hAnsi="Arial"/>
                <w:sz w:val="16"/>
                <w:szCs w:val="16"/>
                <w:i w:val="1"/>
                <w:iCs w:val="1"/>
                <w:color w:val="auto"/>
              </w:rPr>
              <w:t>Millions,</w:t>
            </w:r>
          </w:p>
        </w:tc>
        <w:tc>
          <w:tcPr>
            <w:tcW w:w="1940" w:type="dxa"/>
            <w:vAlign w:val="bottom"/>
            <w:tcBorders>
              <w:top w:val="single" w:sz="8" w:color="7F7F7F"/>
            </w:tcBorders>
          </w:tcPr>
          <w:p>
            <w:pPr>
              <w:spacing w:after="0"/>
              <w:rPr>
                <w:sz w:val="22"/>
                <w:szCs w:val="22"/>
                <w:color w:val="auto"/>
              </w:rPr>
            </w:pPr>
          </w:p>
        </w:tc>
        <w:tc>
          <w:tcPr>
            <w:tcW w:w="700" w:type="dxa"/>
            <w:vAlign w:val="bottom"/>
            <w:tcBorders>
              <w:top w:val="single" w:sz="8" w:color="7F7F7F"/>
            </w:tcBorders>
            <w:vMerge w:val="restart"/>
          </w:tcPr>
          <w:p>
            <w:pPr>
              <w:jc w:val="right"/>
              <w:ind w:right="79"/>
              <w:spacing w:after="0"/>
              <w:rPr>
                <w:sz w:val="20"/>
                <w:szCs w:val="20"/>
                <w:color w:val="auto"/>
              </w:rPr>
            </w:pPr>
            <w:r>
              <w:rPr>
                <w:rFonts w:ascii="Arial" w:cs="Arial" w:eastAsia="Arial" w:hAnsi="Arial"/>
                <w:sz w:val="16"/>
                <w:szCs w:val="16"/>
                <w:b w:val="1"/>
                <w:bCs w:val="1"/>
                <w:i w:val="1"/>
                <w:iCs w:val="1"/>
                <w:color w:val="auto"/>
              </w:rPr>
              <w:t>2017</w:t>
            </w:r>
          </w:p>
        </w:tc>
        <w:tc>
          <w:tcPr>
            <w:tcW w:w="380" w:type="dxa"/>
            <w:vAlign w:val="bottom"/>
            <w:tcBorders>
              <w:top w:val="single" w:sz="8" w:color="7F7F7F"/>
            </w:tcBorders>
          </w:tcPr>
          <w:p>
            <w:pPr>
              <w:spacing w:after="0"/>
              <w:rPr>
                <w:sz w:val="22"/>
                <w:szCs w:val="22"/>
                <w:color w:val="auto"/>
              </w:rPr>
            </w:pPr>
          </w:p>
        </w:tc>
        <w:tc>
          <w:tcPr>
            <w:tcW w:w="580" w:type="dxa"/>
            <w:vAlign w:val="bottom"/>
            <w:tcBorders>
              <w:top w:val="single" w:sz="8" w:color="7F7F7F"/>
            </w:tcBorders>
            <w:vMerge w:val="restart"/>
          </w:tcPr>
          <w:p>
            <w:pPr>
              <w:jc w:val="right"/>
              <w:spacing w:after="0"/>
              <w:rPr>
                <w:sz w:val="20"/>
                <w:szCs w:val="20"/>
                <w:color w:val="auto"/>
              </w:rPr>
            </w:pPr>
            <w:r>
              <w:rPr>
                <w:rFonts w:ascii="Arial" w:cs="Arial" w:eastAsia="Arial" w:hAnsi="Arial"/>
                <w:sz w:val="16"/>
                <w:szCs w:val="16"/>
                <w:i w:val="1"/>
                <w:iCs w:val="1"/>
                <w:color w:val="auto"/>
              </w:rPr>
              <w:t>2016</w:t>
            </w:r>
          </w:p>
        </w:tc>
        <w:tc>
          <w:tcPr>
            <w:tcW w:w="0" w:type="dxa"/>
            <w:vAlign w:val="bottom"/>
          </w:tcPr>
          <w:p>
            <w:pPr>
              <w:spacing w:after="0"/>
              <w:rPr>
                <w:sz w:val="1"/>
                <w:szCs w:val="1"/>
                <w:color w:val="auto"/>
              </w:rPr>
            </w:pPr>
          </w:p>
        </w:tc>
      </w:tr>
      <w:tr>
        <w:trPr>
          <w:trHeight w:val="197"/>
        </w:trPr>
        <w:tc>
          <w:tcPr>
            <w:tcW w:w="5220" w:type="dxa"/>
            <w:vAlign w:val="bottom"/>
            <w:tcBorders>
              <w:bottom w:val="single" w:sz="8" w:color="7F7F7F"/>
            </w:tcBorders>
          </w:tcPr>
          <w:p>
            <w:pPr>
              <w:spacing w:after="0"/>
              <w:rPr>
                <w:sz w:val="20"/>
                <w:szCs w:val="20"/>
                <w:color w:val="auto"/>
              </w:rPr>
            </w:pPr>
            <w:r>
              <w:rPr>
                <w:rFonts w:ascii="Arial" w:cs="Arial" w:eastAsia="Arial" w:hAnsi="Arial"/>
                <w:sz w:val="16"/>
                <w:szCs w:val="16"/>
                <w:i w:val="1"/>
                <w:iCs w:val="1"/>
                <w:color w:val="auto"/>
              </w:rPr>
              <w:t>for the Nine Months Ended September 30,</w:t>
            </w:r>
          </w:p>
        </w:tc>
        <w:tc>
          <w:tcPr>
            <w:tcW w:w="1940" w:type="dxa"/>
            <w:vAlign w:val="bottom"/>
            <w:tcBorders>
              <w:bottom w:val="single" w:sz="8" w:color="7F7F7F"/>
            </w:tcBorders>
          </w:tcPr>
          <w:p>
            <w:pPr>
              <w:spacing w:after="0"/>
              <w:rPr>
                <w:sz w:val="17"/>
                <w:szCs w:val="17"/>
                <w:color w:val="auto"/>
              </w:rPr>
            </w:pPr>
          </w:p>
        </w:tc>
        <w:tc>
          <w:tcPr>
            <w:tcW w:w="700" w:type="dxa"/>
            <w:vAlign w:val="bottom"/>
            <w:tcBorders>
              <w:bottom w:val="single" w:sz="8" w:color="7F7F7F"/>
            </w:tcBorders>
            <w:vMerge w:val="continue"/>
          </w:tcPr>
          <w:p>
            <w:pPr>
              <w:spacing w:after="0"/>
              <w:rPr>
                <w:sz w:val="17"/>
                <w:szCs w:val="17"/>
                <w:color w:val="auto"/>
              </w:rPr>
            </w:pPr>
          </w:p>
        </w:tc>
        <w:tc>
          <w:tcPr>
            <w:tcW w:w="380" w:type="dxa"/>
            <w:vAlign w:val="bottom"/>
            <w:tcBorders>
              <w:bottom w:val="single" w:sz="8" w:color="7F7F7F"/>
            </w:tcBorders>
          </w:tcPr>
          <w:p>
            <w:pPr>
              <w:spacing w:after="0"/>
              <w:rPr>
                <w:sz w:val="17"/>
                <w:szCs w:val="17"/>
                <w:color w:val="auto"/>
              </w:rPr>
            </w:pPr>
          </w:p>
        </w:tc>
        <w:tc>
          <w:tcPr>
            <w:tcW w:w="580" w:type="dxa"/>
            <w:vAlign w:val="bottom"/>
            <w:tcBorders>
              <w:bottom w:val="single" w:sz="8" w:color="7F7F7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20" w:type="dxa"/>
            <w:vAlign w:val="bottom"/>
            <w:shd w:val="clear" w:color="auto" w:fill="CCEEFF"/>
          </w:tcPr>
          <w:p>
            <w:pPr>
              <w:spacing w:after="0"/>
              <w:rPr>
                <w:sz w:val="20"/>
                <w:szCs w:val="20"/>
                <w:color w:val="auto"/>
              </w:rPr>
            </w:pPr>
            <w:r>
              <w:rPr>
                <w:rFonts w:ascii="Arial" w:cs="Arial" w:eastAsia="Arial" w:hAnsi="Arial"/>
                <w:sz w:val="16"/>
                <w:szCs w:val="16"/>
                <w:color w:val="auto"/>
              </w:rPr>
              <w:t>Beginning balance</w:t>
            </w:r>
          </w:p>
        </w:tc>
        <w:tc>
          <w:tcPr>
            <w:tcW w:w="19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7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212</w:t>
            </w:r>
          </w:p>
        </w:tc>
        <w:tc>
          <w:tcPr>
            <w:tcW w:w="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15"/>
        </w:trPr>
        <w:tc>
          <w:tcPr>
            <w:tcW w:w="5220" w:type="dxa"/>
            <w:vAlign w:val="bottom"/>
          </w:tcPr>
          <w:p>
            <w:pPr>
              <w:spacing w:after="0"/>
              <w:rPr>
                <w:sz w:val="20"/>
                <w:szCs w:val="20"/>
                <w:color w:val="auto"/>
              </w:rPr>
            </w:pPr>
            <w:r>
              <w:rPr>
                <w:rFonts w:ascii="Arial" w:cs="Arial" w:eastAsia="Arial" w:hAnsi="Arial"/>
                <w:sz w:val="16"/>
                <w:szCs w:val="16"/>
                <w:color w:val="auto"/>
              </w:rPr>
              <w:t>Accruals</w:t>
            </w:r>
          </w:p>
        </w:tc>
        <w:tc>
          <w:tcPr>
            <w:tcW w:w="1940" w:type="dxa"/>
            <w:vAlign w:val="bottom"/>
          </w:tcPr>
          <w:p>
            <w:pPr>
              <w:spacing w:after="0"/>
              <w:rPr>
                <w:sz w:val="18"/>
                <w:szCs w:val="18"/>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b w:val="1"/>
                <w:bCs w:val="1"/>
                <w:color w:val="auto"/>
              </w:rPr>
              <w:t>31</w:t>
            </w: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0"/>
        </w:trPr>
        <w:tc>
          <w:tcPr>
            <w:tcW w:w="522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Payments</w:t>
            </w:r>
          </w:p>
        </w:tc>
        <w:tc>
          <w:tcPr>
            <w:tcW w:w="1940" w:type="dxa"/>
            <w:vAlign w:val="bottom"/>
            <w:tcBorders>
              <w:bottom w:val="single" w:sz="8" w:color="7F7F7F"/>
            </w:tcBorders>
            <w:shd w:val="clear" w:color="auto" w:fill="CCEEFF"/>
          </w:tcPr>
          <w:p>
            <w:pPr>
              <w:spacing w:after="0"/>
              <w:rPr>
                <w:sz w:val="18"/>
                <w:szCs w:val="18"/>
                <w:color w:val="auto"/>
              </w:rPr>
            </w:pPr>
          </w:p>
        </w:tc>
        <w:tc>
          <w:tcPr>
            <w:tcW w:w="700" w:type="dxa"/>
            <w:vAlign w:val="bottom"/>
            <w:tcBorders>
              <w:bottom w:val="single" w:sz="8" w:color="7F7F7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(42)</w:t>
            </w:r>
          </w:p>
        </w:tc>
        <w:tc>
          <w:tcPr>
            <w:tcW w:w="380" w:type="dxa"/>
            <w:vAlign w:val="bottom"/>
            <w:tcBorders>
              <w:bottom w:val="single" w:sz="8" w:color="7F7F7F"/>
            </w:tcBorders>
            <w:shd w:val="clear" w:color="auto" w:fill="CCEEFF"/>
          </w:tcPr>
          <w:p>
            <w:pPr>
              <w:spacing w:after="0"/>
              <w:rPr>
                <w:sz w:val="18"/>
                <w:szCs w:val="18"/>
                <w:color w:val="auto"/>
              </w:rPr>
            </w:pPr>
          </w:p>
        </w:tc>
        <w:tc>
          <w:tcPr>
            <w:tcW w:w="58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51"/>
        </w:trPr>
        <w:tc>
          <w:tcPr>
            <w:tcW w:w="5220" w:type="dxa"/>
            <w:vAlign w:val="bottom"/>
          </w:tcPr>
          <w:p>
            <w:pPr>
              <w:spacing w:after="0"/>
              <w:rPr>
                <w:sz w:val="20"/>
                <w:szCs w:val="20"/>
                <w:color w:val="auto"/>
              </w:rPr>
            </w:pPr>
            <w:r>
              <w:rPr>
                <w:rFonts w:ascii="Arial" w:cs="Arial" w:eastAsia="Arial" w:hAnsi="Arial"/>
                <w:sz w:val="16"/>
                <w:szCs w:val="16"/>
                <w:color w:val="auto"/>
              </w:rPr>
              <w:t>Ending balance at September 30</w:t>
            </w:r>
          </w:p>
        </w:tc>
        <w:tc>
          <w:tcPr>
            <w:tcW w:w="19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ind w:right="79"/>
              <w:spacing w:after="0"/>
              <w:rPr>
                <w:sz w:val="20"/>
                <w:szCs w:val="20"/>
                <w:color w:val="auto"/>
              </w:rPr>
            </w:pPr>
            <w:r>
              <w:rPr>
                <w:rFonts w:ascii="Arial" w:cs="Arial" w:eastAsia="Arial" w:hAnsi="Arial"/>
                <w:sz w:val="16"/>
                <w:szCs w:val="16"/>
                <w:b w:val="1"/>
                <w:bCs w:val="1"/>
                <w:color w:val="auto"/>
              </w:rPr>
              <w:t>201</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54"/>
        </w:trPr>
        <w:tc>
          <w:tcPr>
            <w:tcW w:w="5220" w:type="dxa"/>
            <w:vAlign w:val="bottom"/>
            <w:tcBorders>
              <w:bottom w:val="single" w:sz="8" w:color="7F7F7F"/>
            </w:tcBorders>
          </w:tcPr>
          <w:p>
            <w:pPr>
              <w:spacing w:after="0"/>
              <w:rPr>
                <w:sz w:val="4"/>
                <w:szCs w:val="4"/>
                <w:color w:val="auto"/>
              </w:rPr>
            </w:pPr>
          </w:p>
        </w:tc>
        <w:tc>
          <w:tcPr>
            <w:tcW w:w="1940" w:type="dxa"/>
            <w:vAlign w:val="bottom"/>
            <w:tcBorders>
              <w:bottom w:val="single" w:sz="8" w:color="7F7F7F"/>
            </w:tcBorders>
          </w:tcPr>
          <w:p>
            <w:pPr>
              <w:spacing w:after="0"/>
              <w:rPr>
                <w:sz w:val="4"/>
                <w:szCs w:val="4"/>
                <w:color w:val="auto"/>
              </w:rPr>
            </w:pPr>
          </w:p>
        </w:tc>
        <w:tc>
          <w:tcPr>
            <w:tcW w:w="700" w:type="dxa"/>
            <w:vAlign w:val="bottom"/>
            <w:tcBorders>
              <w:bottom w:val="single" w:sz="8" w:color="7F7F7F"/>
            </w:tcBorders>
          </w:tcPr>
          <w:p>
            <w:pPr>
              <w:spacing w:after="0"/>
              <w:rPr>
                <w:sz w:val="4"/>
                <w:szCs w:val="4"/>
                <w:color w:val="auto"/>
              </w:rPr>
            </w:pPr>
          </w:p>
        </w:tc>
        <w:tc>
          <w:tcPr>
            <w:tcW w:w="380" w:type="dxa"/>
            <w:vAlign w:val="bottom"/>
            <w:tcBorders>
              <w:bottom w:val="single" w:sz="8" w:color="7F7F7F"/>
            </w:tcBorders>
          </w:tcPr>
          <w:p>
            <w:pPr>
              <w:spacing w:after="0"/>
              <w:rPr>
                <w:sz w:val="4"/>
                <w:szCs w:val="4"/>
                <w:color w:val="auto"/>
              </w:rPr>
            </w:pPr>
          </w:p>
        </w:tc>
        <w:tc>
          <w:tcPr>
            <w:tcW w:w="58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Current portion, ending balance at September 30</w:t>
            </w:r>
          </w:p>
        </w:tc>
        <w:tc>
          <w:tcPr>
            <w:tcW w:w="1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56</w:t>
            </w:r>
          </w:p>
        </w:tc>
        <w:tc>
          <w:tcPr>
            <w:tcW w:w="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54"/>
        </w:trPr>
        <w:tc>
          <w:tcPr>
            <w:tcW w:w="5220" w:type="dxa"/>
            <w:vAlign w:val="bottom"/>
            <w:shd w:val="clear" w:color="auto" w:fill="7F7F7F"/>
          </w:tcPr>
          <w:p>
            <w:pPr>
              <w:spacing w:after="0"/>
              <w:rPr>
                <w:sz w:val="4"/>
                <w:szCs w:val="4"/>
                <w:color w:val="auto"/>
              </w:rPr>
            </w:pPr>
          </w:p>
        </w:tc>
        <w:tc>
          <w:tcPr>
            <w:tcW w:w="1940" w:type="dxa"/>
            <w:vAlign w:val="bottom"/>
            <w:shd w:val="clear" w:color="auto" w:fill="7F7F7F"/>
          </w:tcPr>
          <w:p>
            <w:pPr>
              <w:spacing w:after="0"/>
              <w:rPr>
                <w:sz w:val="4"/>
                <w:szCs w:val="4"/>
                <w:color w:val="auto"/>
              </w:rPr>
            </w:pPr>
          </w:p>
        </w:tc>
        <w:tc>
          <w:tcPr>
            <w:tcW w:w="700" w:type="dxa"/>
            <w:vAlign w:val="bottom"/>
            <w:shd w:val="clear" w:color="auto" w:fill="7F7F7F"/>
          </w:tcPr>
          <w:p>
            <w:pPr>
              <w:spacing w:after="0"/>
              <w:rPr>
                <w:sz w:val="4"/>
                <w:szCs w:val="4"/>
                <w:color w:val="auto"/>
              </w:rPr>
            </w:pPr>
          </w:p>
        </w:tc>
        <w:tc>
          <w:tcPr>
            <w:tcW w:w="380" w:type="dxa"/>
            <w:vAlign w:val="bottom"/>
            <w:shd w:val="clear" w:color="auto" w:fill="7F7F7F"/>
          </w:tcPr>
          <w:p>
            <w:pPr>
              <w:spacing w:after="0"/>
              <w:rPr>
                <w:sz w:val="4"/>
                <w:szCs w:val="4"/>
                <w:color w:val="auto"/>
              </w:rPr>
            </w:pPr>
          </w:p>
        </w:tc>
        <w:tc>
          <w:tcPr>
            <w:tcW w:w="580" w:type="dxa"/>
            <w:vAlign w:val="bottom"/>
            <w:shd w:val="clear" w:color="auto" w:fill="7F7F7F"/>
          </w:tcPr>
          <w:p>
            <w:pPr>
              <w:spacing w:after="0"/>
              <w:rPr>
                <w:sz w:val="4"/>
                <w:szCs w:val="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100" w:right="99"/>
        <w:spacing w:after="0" w:line="208" w:lineRule="auto"/>
        <w:rPr>
          <w:sz w:val="20"/>
          <w:szCs w:val="20"/>
          <w:color w:val="auto"/>
        </w:rPr>
      </w:pPr>
      <w:r>
        <w:rPr>
          <w:rFonts w:ascii="Arial" w:cs="Arial" w:eastAsia="Arial" w:hAnsi="Arial"/>
          <w:sz w:val="18"/>
          <w:szCs w:val="18"/>
          <w:color w:val="auto"/>
        </w:rPr>
        <w:t>The environmental liability includes future costs for remediation and restoration of sites, as well as ongoing monitoring costs, but excludes any anticipated recoveries from third parties. Cost estimates are based on information available for each site, financial viability of other potentially responsible parties, and existing technology, laws, and regulations. The ultimate liability for remediation is difficult to determine because of the number of potentially responsible parties, site-specific cost sharing arrangements with other potentially responsible parties, the degree of contamination by various wastes, the scarcity and quality of volumetric data related to many of the sites, and the speculative nature of remediation costs. Estimates of liability may vary over time due to changes in federal, state, and local laws governing environmental remediation. Current obligations are not expected to have a material adverse effect on our consolidated results of operations, financial condition, or liquidity.</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45085</wp:posOffset>
            </wp:positionV>
            <wp:extent cx="5642610"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1" w:name="page22"/>
    <w:bookmarkEnd w:id="21"/>
    <w:p>
      <w:pPr>
        <w:ind w:left="10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jc w:val="both"/>
        <w:ind w:left="100" w:right="99"/>
        <w:spacing w:after="0" w:line="209" w:lineRule="auto"/>
        <w:rPr>
          <w:sz w:val="20"/>
          <w:szCs w:val="20"/>
          <w:color w:val="auto"/>
        </w:rPr>
      </w:pPr>
      <w:r>
        <w:rPr>
          <w:rFonts w:ascii="Arial" w:cs="Arial" w:eastAsia="Arial" w:hAnsi="Arial"/>
          <w:sz w:val="18"/>
          <w:szCs w:val="18"/>
          <w:b w:val="1"/>
          <w:bCs w:val="1"/>
          <w:color w:val="auto"/>
        </w:rPr>
        <w:t xml:space="preserve">Insurance </w:t>
      </w:r>
      <w:r>
        <w:rPr>
          <w:rFonts w:ascii="Arial" w:cs="Arial" w:eastAsia="Arial" w:hAnsi="Arial"/>
          <w:sz w:val="18"/>
          <w:szCs w:val="18"/>
          <w:color w:val="auto"/>
        </w:rPr>
        <w:t>– The Company has a consolidated, wholly-owned captive insurance subsidiary (the captive), that</w:t>
      </w:r>
      <w:r>
        <w:rPr>
          <w:rFonts w:ascii="Arial" w:cs="Arial" w:eastAsia="Arial" w:hAnsi="Arial"/>
          <w:sz w:val="18"/>
          <w:szCs w:val="18"/>
          <w:b w:val="1"/>
          <w:bCs w:val="1"/>
          <w:color w:val="auto"/>
        </w:rPr>
        <w:t xml:space="preserve"> </w:t>
      </w:r>
      <w:r>
        <w:rPr>
          <w:rFonts w:ascii="Arial" w:cs="Arial" w:eastAsia="Arial" w:hAnsi="Arial"/>
          <w:sz w:val="18"/>
          <w:szCs w:val="18"/>
          <w:color w:val="auto"/>
        </w:rPr>
        <w:t>provides insurance coverage for certain risks including FELA claims and property coverage which are subject to reinsurance. The captive entered into annual reinsurance treaty agreements that insure workers compensation, general liability, auto liability and FELA risk. The captive cedes a portion of its FELA exposure through the treaty and assumes a proportionate share of the entire risk. The captive receives direct premiums, which are netted against the Company’s premium costs in other expenses in the Condensed Consolidated Statements of Income. The treaty agreements provide for certain protections against the risk of treaty participants’ non-performance, and we do not believe our exposure to treaty participants’ non-performance is material at this time. In the event the Company leaves the reinsurance program, the Company is not relieved of its primary obligation to the policyholders for activity prior to the termination of the treaty agreements. We record both liabilities and reinsurance receivables using an actuarial analysis based on historical experience in our Condensed Consolidated Statements of Financial Position.</w:t>
      </w:r>
    </w:p>
    <w:p>
      <w:pPr>
        <w:spacing w:after="0" w:line="119" w:lineRule="exact"/>
        <w:rPr>
          <w:sz w:val="20"/>
          <w:szCs w:val="20"/>
          <w:color w:val="auto"/>
        </w:rPr>
      </w:pPr>
    </w:p>
    <w:p>
      <w:pPr>
        <w:jc w:val="both"/>
        <w:ind w:left="100" w:right="99"/>
        <w:spacing w:after="0" w:line="214" w:lineRule="auto"/>
        <w:rPr>
          <w:sz w:val="20"/>
          <w:szCs w:val="20"/>
          <w:color w:val="auto"/>
        </w:rPr>
      </w:pPr>
      <w:r>
        <w:rPr>
          <w:rFonts w:ascii="Arial" w:cs="Arial" w:eastAsia="Arial" w:hAnsi="Arial"/>
          <w:sz w:val="18"/>
          <w:szCs w:val="18"/>
          <w:b w:val="1"/>
          <w:bCs w:val="1"/>
          <w:color w:val="auto"/>
        </w:rPr>
        <w:t xml:space="preserve">Guarantees </w:t>
      </w:r>
      <w:r>
        <w:rPr>
          <w:rFonts w:ascii="Arial" w:cs="Arial" w:eastAsia="Arial" w:hAnsi="Arial"/>
          <w:sz w:val="18"/>
          <w:szCs w:val="18"/>
          <w:color w:val="auto"/>
        </w:rPr>
        <w:t>– At September 30, 2017, and December 31, 2016, we were contingently liable for $ 33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and $43 million in guarantees, respectively. The fair value of these obligations as of both September 30, 2017, and December 31, 2016 was $0. We entered into these contingent guarantees in the normal course of business, and they include guaranteed obligations related to our affiliated operations. The final guarantee expires in 2022. We are not aware of any existing event of default that would require us to satisfy these guarantees. We do not expect that these guarantees will have a material adverse effect on our consolidated financial condition, results of operations, or liquidity.</w:t>
      </w:r>
    </w:p>
    <w:p>
      <w:pPr>
        <w:spacing w:after="0" w:line="113" w:lineRule="exact"/>
        <w:rPr>
          <w:sz w:val="20"/>
          <w:szCs w:val="20"/>
          <w:color w:val="auto"/>
        </w:rPr>
      </w:pPr>
    </w:p>
    <w:p>
      <w:pPr>
        <w:jc w:val="both"/>
        <w:ind w:left="100" w:right="99"/>
        <w:spacing w:after="0" w:line="215" w:lineRule="auto"/>
        <w:rPr>
          <w:sz w:val="20"/>
          <w:szCs w:val="20"/>
          <w:color w:val="auto"/>
        </w:rPr>
      </w:pPr>
      <w:r>
        <w:rPr>
          <w:rFonts w:ascii="Arial" w:cs="Arial" w:eastAsia="Arial" w:hAnsi="Arial"/>
          <w:sz w:val="18"/>
          <w:szCs w:val="18"/>
          <w:b w:val="1"/>
          <w:bCs w:val="1"/>
          <w:color w:val="auto"/>
        </w:rPr>
        <w:t xml:space="preserve">Indemnities </w:t>
      </w:r>
      <w:r>
        <w:rPr>
          <w:rFonts w:ascii="Arial" w:cs="Arial" w:eastAsia="Arial" w:hAnsi="Arial"/>
          <w:sz w:val="18"/>
          <w:szCs w:val="18"/>
          <w:color w:val="auto"/>
        </w:rPr>
        <w:t>– We are contingently obligated under a variety of indemnification arrangements, although in</w:t>
      </w:r>
      <w:r>
        <w:rPr>
          <w:rFonts w:ascii="Arial" w:cs="Arial" w:eastAsia="Arial" w:hAnsi="Arial"/>
          <w:sz w:val="18"/>
          <w:szCs w:val="18"/>
          <w:b w:val="1"/>
          <w:bCs w:val="1"/>
          <w:color w:val="auto"/>
        </w:rPr>
        <w:t xml:space="preserve"> </w:t>
      </w:r>
      <w:r>
        <w:rPr>
          <w:rFonts w:ascii="Arial" w:cs="Arial" w:eastAsia="Arial" w:hAnsi="Arial"/>
          <w:sz w:val="18"/>
          <w:szCs w:val="18"/>
          <w:color w:val="auto"/>
        </w:rPr>
        <w:t>some cases the extent of our potential liability is limited, depending on the nature of the transactions and the agreements. Due to uncertainty as to whether claims will be made or how they will be resolved, we cannot reasonably determine the probability of an adverse claim or reasonably estimate any adverse liability or the total maximum exposure under these indemnification arrangements. We do not have any reason to believe that we will be required to make any material payments under these indemnity provisions.</w:t>
      </w:r>
    </w:p>
    <w:p>
      <w:pPr>
        <w:spacing w:after="0" w:line="116" w:lineRule="exact"/>
        <w:rPr>
          <w:sz w:val="20"/>
          <w:szCs w:val="20"/>
          <w:color w:val="auto"/>
        </w:rPr>
      </w:pPr>
    </w:p>
    <w:p>
      <w:pPr>
        <w:jc w:val="both"/>
        <w:ind w:left="100" w:right="99"/>
        <w:spacing w:after="0" w:line="228" w:lineRule="auto"/>
        <w:rPr>
          <w:sz w:val="20"/>
          <w:szCs w:val="20"/>
          <w:color w:val="auto"/>
        </w:rPr>
      </w:pPr>
      <w:r>
        <w:rPr>
          <w:rFonts w:ascii="Arial" w:cs="Arial" w:eastAsia="Arial" w:hAnsi="Arial"/>
          <w:sz w:val="18"/>
          <w:szCs w:val="18"/>
          <w:b w:val="1"/>
          <w:bCs w:val="1"/>
          <w:color w:val="auto"/>
        </w:rPr>
        <w:t xml:space="preserve">Operating Leases </w:t>
      </w:r>
      <w:r>
        <w:rPr>
          <w:rFonts w:ascii="Arial" w:cs="Arial" w:eastAsia="Arial" w:hAnsi="Arial"/>
          <w:sz w:val="18"/>
          <w:szCs w:val="18"/>
          <w:color w:val="auto"/>
        </w:rPr>
        <w:t>– At September 30, 2017, we had commitments for future minimum lease payments under</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leases with initial or remaining non-cancelable lease terms in excess of one year of approximately $2.7 billion.</w:t>
      </w:r>
    </w:p>
    <w:p>
      <w:pPr>
        <w:spacing w:after="0" w:line="11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18. Share Repurchase Program</w:t>
      </w:r>
    </w:p>
    <w:p>
      <w:pPr>
        <w:spacing w:after="0" w:line="166" w:lineRule="exact"/>
        <w:rPr>
          <w:sz w:val="20"/>
          <w:szCs w:val="20"/>
          <w:color w:val="auto"/>
        </w:rPr>
      </w:pPr>
    </w:p>
    <w:p>
      <w:pPr>
        <w:jc w:val="both"/>
        <w:ind w:left="100" w:right="99"/>
        <w:spacing w:after="0" w:line="211" w:lineRule="auto"/>
        <w:rPr>
          <w:sz w:val="20"/>
          <w:szCs w:val="20"/>
          <w:color w:val="auto"/>
        </w:rPr>
      </w:pPr>
      <w:r>
        <w:rPr>
          <w:rFonts w:ascii="Arial" w:cs="Arial" w:eastAsia="Arial" w:hAnsi="Arial"/>
          <w:sz w:val="18"/>
          <w:szCs w:val="18"/>
          <w:color w:val="auto"/>
        </w:rPr>
        <w:t>Effective January 1, 2017, our Board of Directors authorized the repurchase of up to 120 million shares of our common stock by December 31, 2020, replacing our previous repurchase program. As of September 30, 2017, we repurchased a total of $22.0 billion of our common stock since the commencement of our repurchase programs in 2007. The table below represents shares repurchased in the first three quarters of 2017 under our new repurchase program, and shares repurchased in the first three quarters of 2016 under our previous repurchase program.</w:t>
      </w:r>
    </w:p>
    <w:p>
      <w:pPr>
        <w:spacing w:after="0" w:line="172" w:lineRule="exact"/>
        <w:rPr>
          <w:sz w:val="20"/>
          <w:szCs w:val="20"/>
          <w:color w:val="auto"/>
        </w:rPr>
      </w:pPr>
    </w:p>
    <w:tbl>
      <w:tblPr>
        <w:tblLayout w:type="fixed"/>
        <w:tblInd w:w="100" w:type="dxa"/>
        <w:tblCellMar>
          <w:top w:w="0" w:type="dxa"/>
          <w:left w:w="0" w:type="dxa"/>
          <w:bottom w:w="0" w:type="dxa"/>
          <w:right w:w="0" w:type="dxa"/>
        </w:tblCellMar>
      </w:tblPr>
      <w:tr>
        <w:trPr>
          <w:trHeight w:val="237"/>
        </w:trPr>
        <w:tc>
          <w:tcPr>
            <w:tcW w:w="3900" w:type="dxa"/>
            <w:vAlign w:val="bottom"/>
            <w:tcBorders>
              <w:top w:val="single" w:sz="8" w:color="7F7F7F"/>
            </w:tcBorders>
          </w:tcPr>
          <w:p>
            <w:pPr>
              <w:spacing w:after="0"/>
              <w:rPr>
                <w:sz w:val="20"/>
                <w:szCs w:val="20"/>
                <w:color w:val="auto"/>
              </w:rPr>
            </w:pPr>
          </w:p>
        </w:tc>
        <w:tc>
          <w:tcPr>
            <w:tcW w:w="2780" w:type="dxa"/>
            <w:vAlign w:val="bottom"/>
            <w:tcBorders>
              <w:top w:val="single" w:sz="8" w:color="7F7F7F"/>
              <w:bottom w:val="single" w:sz="8" w:color="7F7F7F"/>
            </w:tcBorders>
            <w:gridSpan w:val="2"/>
          </w:tcPr>
          <w:p>
            <w:pPr>
              <w:jc w:val="right"/>
              <w:ind w:right="39"/>
              <w:spacing w:after="0"/>
              <w:rPr>
                <w:sz w:val="20"/>
                <w:szCs w:val="20"/>
                <w:color w:val="auto"/>
              </w:rPr>
            </w:pPr>
            <w:r>
              <w:rPr>
                <w:rFonts w:ascii="Arial" w:cs="Arial" w:eastAsia="Arial" w:hAnsi="Arial"/>
                <w:sz w:val="16"/>
                <w:szCs w:val="16"/>
                <w:i w:val="1"/>
                <w:iCs w:val="1"/>
                <w:color w:val="auto"/>
              </w:rPr>
              <w:t>Number of Shares Purchased</w:t>
            </w:r>
          </w:p>
        </w:tc>
        <w:tc>
          <w:tcPr>
            <w:tcW w:w="340" w:type="dxa"/>
            <w:vAlign w:val="bottom"/>
            <w:tcBorders>
              <w:top w:val="single" w:sz="8" w:color="7F7F7F"/>
              <w:bottom w:val="single" w:sz="8" w:color="7F7F7F"/>
            </w:tcBorders>
          </w:tcPr>
          <w:p>
            <w:pPr>
              <w:spacing w:after="0"/>
              <w:rPr>
                <w:sz w:val="20"/>
                <w:szCs w:val="20"/>
                <w:color w:val="auto"/>
              </w:rPr>
            </w:pPr>
          </w:p>
        </w:tc>
        <w:tc>
          <w:tcPr>
            <w:tcW w:w="1800" w:type="dxa"/>
            <w:vAlign w:val="bottom"/>
            <w:tcBorders>
              <w:top w:val="single" w:sz="8" w:color="7F7F7F"/>
              <w:bottom w:val="single" w:sz="8" w:color="7F7F7F"/>
            </w:tcBorders>
            <w:gridSpan w:val="3"/>
          </w:tcPr>
          <w:p>
            <w:pPr>
              <w:jc w:val="right"/>
              <w:spacing w:after="0"/>
              <w:rPr>
                <w:sz w:val="20"/>
                <w:szCs w:val="20"/>
                <w:color w:val="auto"/>
              </w:rPr>
            </w:pPr>
            <w:r>
              <w:rPr>
                <w:rFonts w:ascii="Arial" w:cs="Arial" w:eastAsia="Arial" w:hAnsi="Arial"/>
                <w:sz w:val="16"/>
                <w:szCs w:val="16"/>
                <w:i w:val="1"/>
                <w:iCs w:val="1"/>
                <w:color w:val="auto"/>
              </w:rPr>
              <w:t>Average Price Paid</w:t>
            </w:r>
          </w:p>
        </w:tc>
      </w:tr>
      <w:tr>
        <w:trPr>
          <w:trHeight w:val="196"/>
        </w:trPr>
        <w:tc>
          <w:tcPr>
            <w:tcW w:w="3900" w:type="dxa"/>
            <w:vAlign w:val="bottom"/>
            <w:tcBorders>
              <w:bottom w:val="single" w:sz="8" w:color="7F7F7F"/>
            </w:tcBorders>
          </w:tcPr>
          <w:p>
            <w:pPr>
              <w:spacing w:after="0"/>
              <w:rPr>
                <w:sz w:val="17"/>
                <w:szCs w:val="17"/>
                <w:color w:val="auto"/>
              </w:rPr>
            </w:pPr>
          </w:p>
        </w:tc>
        <w:tc>
          <w:tcPr>
            <w:tcW w:w="1740" w:type="dxa"/>
            <w:vAlign w:val="bottom"/>
            <w:tcBorders>
              <w:bottom w:val="single" w:sz="8" w:color="7F7F7F"/>
            </w:tcBorders>
          </w:tcPr>
          <w:p>
            <w:pPr>
              <w:jc w:val="right"/>
              <w:ind w:right="379"/>
              <w:spacing w:after="0"/>
              <w:rPr>
                <w:sz w:val="20"/>
                <w:szCs w:val="20"/>
                <w:color w:val="auto"/>
              </w:rPr>
            </w:pPr>
            <w:r>
              <w:rPr>
                <w:rFonts w:ascii="Arial" w:cs="Arial" w:eastAsia="Arial" w:hAnsi="Arial"/>
                <w:sz w:val="16"/>
                <w:szCs w:val="16"/>
                <w:b w:val="1"/>
                <w:bCs w:val="1"/>
                <w:i w:val="1"/>
                <w:iCs w:val="1"/>
                <w:color w:val="auto"/>
              </w:rPr>
              <w:t>2017</w:t>
            </w:r>
          </w:p>
        </w:tc>
        <w:tc>
          <w:tcPr>
            <w:tcW w:w="1040" w:type="dxa"/>
            <w:vAlign w:val="bottom"/>
            <w:tcBorders>
              <w:bottom w:val="single" w:sz="8" w:color="7F7F7F"/>
            </w:tcBorders>
          </w:tcPr>
          <w:p>
            <w:pPr>
              <w:jc w:val="right"/>
              <w:ind w:right="99"/>
              <w:spacing w:after="0"/>
              <w:rPr>
                <w:sz w:val="20"/>
                <w:szCs w:val="20"/>
                <w:color w:val="auto"/>
              </w:rPr>
            </w:pPr>
            <w:r>
              <w:rPr>
                <w:rFonts w:ascii="Arial" w:cs="Arial" w:eastAsia="Arial" w:hAnsi="Arial"/>
                <w:sz w:val="16"/>
                <w:szCs w:val="16"/>
                <w:i w:val="1"/>
                <w:iCs w:val="1"/>
                <w:color w:val="auto"/>
              </w:rPr>
              <w:t>2016</w:t>
            </w:r>
          </w:p>
        </w:tc>
        <w:tc>
          <w:tcPr>
            <w:tcW w:w="340" w:type="dxa"/>
            <w:vAlign w:val="bottom"/>
            <w:tcBorders>
              <w:bottom w:val="single" w:sz="8" w:color="7F7F7F"/>
            </w:tcBorders>
          </w:tcPr>
          <w:p>
            <w:pPr>
              <w:spacing w:after="0"/>
              <w:rPr>
                <w:sz w:val="17"/>
                <w:szCs w:val="17"/>
                <w:color w:val="auto"/>
              </w:rPr>
            </w:pPr>
          </w:p>
        </w:tc>
        <w:tc>
          <w:tcPr>
            <w:tcW w:w="780" w:type="dxa"/>
            <w:vAlign w:val="bottom"/>
            <w:tcBorders>
              <w:bottom w:val="single" w:sz="8" w:color="7F7F7F"/>
            </w:tcBorders>
          </w:tcPr>
          <w:p>
            <w:pPr>
              <w:jc w:val="right"/>
              <w:ind w:right="79"/>
              <w:spacing w:after="0"/>
              <w:rPr>
                <w:sz w:val="20"/>
                <w:szCs w:val="20"/>
                <w:color w:val="auto"/>
              </w:rPr>
            </w:pPr>
            <w:r>
              <w:rPr>
                <w:rFonts w:ascii="Arial" w:cs="Arial" w:eastAsia="Arial" w:hAnsi="Arial"/>
                <w:sz w:val="16"/>
                <w:szCs w:val="16"/>
                <w:b w:val="1"/>
                <w:bCs w:val="1"/>
                <w:i w:val="1"/>
                <w:iCs w:val="1"/>
                <w:color w:val="auto"/>
              </w:rPr>
              <w:t>2017</w:t>
            </w:r>
          </w:p>
        </w:tc>
        <w:tc>
          <w:tcPr>
            <w:tcW w:w="400" w:type="dxa"/>
            <w:vAlign w:val="bottom"/>
            <w:tcBorders>
              <w:bottom w:val="single" w:sz="8" w:color="7F7F7F"/>
            </w:tcBorders>
          </w:tcPr>
          <w:p>
            <w:pPr>
              <w:spacing w:after="0"/>
              <w:rPr>
                <w:sz w:val="17"/>
                <w:szCs w:val="17"/>
                <w:color w:val="auto"/>
              </w:rPr>
            </w:pPr>
          </w:p>
        </w:tc>
        <w:tc>
          <w:tcPr>
            <w:tcW w:w="62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2016</w:t>
            </w:r>
          </w:p>
        </w:tc>
      </w:tr>
      <w:tr>
        <w:trPr>
          <w:trHeight w:val="203"/>
        </w:trPr>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First quarter</w:t>
            </w:r>
          </w:p>
        </w:tc>
        <w:tc>
          <w:tcPr>
            <w:tcW w:w="1740" w:type="dxa"/>
            <w:vAlign w:val="bottom"/>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7,531,300</w:t>
            </w: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9,315,807</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106.55</w:t>
            </w:r>
          </w:p>
        </w:tc>
        <w:tc>
          <w:tcPr>
            <w:tcW w:w="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76.49</w:t>
            </w:r>
          </w:p>
        </w:tc>
      </w:tr>
      <w:tr>
        <w:trPr>
          <w:trHeight w:val="215"/>
        </w:trPr>
        <w:tc>
          <w:tcPr>
            <w:tcW w:w="3900" w:type="dxa"/>
            <w:vAlign w:val="bottom"/>
          </w:tcPr>
          <w:p>
            <w:pPr>
              <w:spacing w:after="0"/>
              <w:rPr>
                <w:sz w:val="20"/>
                <w:szCs w:val="20"/>
                <w:color w:val="auto"/>
              </w:rPr>
            </w:pPr>
            <w:r>
              <w:rPr>
                <w:rFonts w:ascii="Arial" w:cs="Arial" w:eastAsia="Arial" w:hAnsi="Arial"/>
                <w:sz w:val="16"/>
                <w:szCs w:val="16"/>
                <w:color w:val="auto"/>
              </w:rPr>
              <w:t>Second quarter</w:t>
            </w:r>
          </w:p>
        </w:tc>
        <w:tc>
          <w:tcPr>
            <w:tcW w:w="1740" w:type="dxa"/>
            <w:vAlign w:val="bottom"/>
          </w:tcPr>
          <w:p>
            <w:pPr>
              <w:jc w:val="right"/>
              <w:ind w:right="379"/>
              <w:spacing w:after="0"/>
              <w:rPr>
                <w:sz w:val="20"/>
                <w:szCs w:val="20"/>
                <w:color w:val="auto"/>
              </w:rPr>
            </w:pPr>
            <w:r>
              <w:rPr>
                <w:rFonts w:ascii="Arial" w:cs="Arial" w:eastAsia="Arial" w:hAnsi="Arial"/>
                <w:sz w:val="16"/>
                <w:szCs w:val="16"/>
                <w:b w:val="1"/>
                <w:bCs w:val="1"/>
                <w:color w:val="auto"/>
              </w:rPr>
              <w:t>7,788,283</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7,026,100</w:t>
            </w:r>
          </w:p>
        </w:tc>
        <w:tc>
          <w:tcPr>
            <w:tcW w:w="340" w:type="dxa"/>
            <w:vAlign w:val="bottom"/>
          </w:tcPr>
          <w:p>
            <w:pPr>
              <w:spacing w:after="0"/>
              <w:rPr>
                <w:sz w:val="18"/>
                <w:szCs w:val="18"/>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b w:val="1"/>
                <w:bCs w:val="1"/>
                <w:color w:val="auto"/>
              </w:rPr>
              <w:t>109.10</w:t>
            </w:r>
          </w:p>
        </w:tc>
        <w:tc>
          <w:tcPr>
            <w:tcW w:w="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85.66</w:t>
            </w:r>
          </w:p>
        </w:tc>
      </w:tr>
      <w:tr>
        <w:trPr>
          <w:trHeight w:val="224"/>
        </w:trPr>
        <w:tc>
          <w:tcPr>
            <w:tcW w:w="3900" w:type="dxa"/>
            <w:vAlign w:val="bottom"/>
            <w:tcBorders>
              <w:bottom w:val="single" w:sz="8" w:color="808080"/>
            </w:tcBorders>
            <w:shd w:val="clear" w:color="auto" w:fill="CCEEFF"/>
          </w:tcPr>
          <w:p>
            <w:pPr>
              <w:spacing w:after="0"/>
              <w:rPr>
                <w:sz w:val="20"/>
                <w:szCs w:val="20"/>
                <w:color w:val="auto"/>
              </w:rPr>
            </w:pPr>
            <w:r>
              <w:rPr>
                <w:rFonts w:ascii="Arial" w:cs="Arial" w:eastAsia="Arial" w:hAnsi="Arial"/>
                <w:sz w:val="16"/>
                <w:szCs w:val="16"/>
                <w:color w:val="auto"/>
              </w:rPr>
              <w:t>Third quarter</w:t>
            </w:r>
          </w:p>
        </w:tc>
        <w:tc>
          <w:tcPr>
            <w:tcW w:w="1740" w:type="dxa"/>
            <w:vAlign w:val="bottom"/>
            <w:tcBorders>
              <w:bottom w:val="single" w:sz="8" w:color="808080"/>
            </w:tcBorders>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11,801,755</w:t>
            </w:r>
          </w:p>
        </w:tc>
        <w:tc>
          <w:tcPr>
            <w:tcW w:w="1040" w:type="dxa"/>
            <w:vAlign w:val="bottom"/>
            <w:tcBorders>
              <w:bottom w:val="single" w:sz="8" w:color="808080"/>
            </w:tcBorders>
            <w:shd w:val="clear" w:color="auto" w:fill="CCEEFF"/>
          </w:tcPr>
          <w:p>
            <w:pPr>
              <w:jc w:val="right"/>
              <w:ind w:right="99"/>
              <w:spacing w:after="0"/>
              <w:rPr>
                <w:sz w:val="20"/>
                <w:szCs w:val="20"/>
                <w:color w:val="auto"/>
              </w:rPr>
            </w:pPr>
            <w:r>
              <w:rPr>
                <w:rFonts w:ascii="Arial" w:cs="Arial" w:eastAsia="Arial" w:hAnsi="Arial"/>
                <w:sz w:val="16"/>
                <w:szCs w:val="16"/>
                <w:color w:val="auto"/>
              </w:rPr>
              <w:t>9,088,613</w:t>
            </w:r>
          </w:p>
        </w:tc>
        <w:tc>
          <w:tcPr>
            <w:tcW w:w="340" w:type="dxa"/>
            <w:vAlign w:val="bottom"/>
            <w:tcBorders>
              <w:bottom w:val="single" w:sz="8" w:color="808080"/>
            </w:tcBorders>
            <w:shd w:val="clear" w:color="auto" w:fill="CCEEFF"/>
          </w:tcPr>
          <w:p>
            <w:pPr>
              <w:spacing w:after="0"/>
              <w:rPr>
                <w:sz w:val="19"/>
                <w:szCs w:val="19"/>
                <w:color w:val="auto"/>
              </w:rPr>
            </w:pPr>
          </w:p>
        </w:tc>
        <w:tc>
          <w:tcPr>
            <w:tcW w:w="780" w:type="dxa"/>
            <w:vAlign w:val="bottom"/>
            <w:tcBorders>
              <w:bottom w:val="single" w:sz="8" w:color="808080"/>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106.69</w:t>
            </w:r>
          </w:p>
        </w:tc>
        <w:tc>
          <w:tcPr>
            <w:tcW w:w="400" w:type="dxa"/>
            <w:vAlign w:val="bottom"/>
            <w:tcBorders>
              <w:bottom w:val="single" w:sz="8" w:color="808080"/>
            </w:tcBorders>
            <w:shd w:val="clear" w:color="auto" w:fill="CCEEFF"/>
          </w:tcPr>
          <w:p>
            <w:pPr>
              <w:spacing w:after="0"/>
              <w:rPr>
                <w:sz w:val="19"/>
                <w:szCs w:val="19"/>
                <w:color w:val="auto"/>
              </w:rPr>
            </w:pPr>
          </w:p>
        </w:tc>
        <w:tc>
          <w:tcPr>
            <w:tcW w:w="620" w:type="dxa"/>
            <w:vAlign w:val="bottom"/>
            <w:tcBorders>
              <w:bottom w:val="single" w:sz="8" w:color="808080"/>
            </w:tcBorders>
            <w:shd w:val="clear" w:color="auto" w:fill="CCEEFF"/>
          </w:tcPr>
          <w:p>
            <w:pPr>
              <w:jc w:val="right"/>
              <w:spacing w:after="0"/>
              <w:rPr>
                <w:sz w:val="20"/>
                <w:szCs w:val="20"/>
                <w:color w:val="auto"/>
              </w:rPr>
            </w:pPr>
            <w:r>
              <w:rPr>
                <w:rFonts w:ascii="Arial" w:cs="Arial" w:eastAsia="Arial" w:hAnsi="Arial"/>
                <w:sz w:val="16"/>
                <w:szCs w:val="16"/>
                <w:color w:val="auto"/>
              </w:rPr>
              <w:t>93.63</w:t>
            </w:r>
          </w:p>
        </w:tc>
      </w:tr>
      <w:tr>
        <w:trPr>
          <w:trHeight w:val="250"/>
        </w:trPr>
        <w:tc>
          <w:tcPr>
            <w:tcW w:w="3900" w:type="dxa"/>
            <w:vAlign w:val="bottom"/>
            <w:tcBorders>
              <w:bottom w:val="single" w:sz="8" w:color="808080"/>
            </w:tcBorders>
          </w:tcPr>
          <w:p>
            <w:pPr>
              <w:spacing w:after="0"/>
              <w:rPr>
                <w:sz w:val="20"/>
                <w:szCs w:val="20"/>
                <w:color w:val="auto"/>
              </w:rPr>
            </w:pPr>
            <w:r>
              <w:rPr>
                <w:rFonts w:ascii="Arial" w:cs="Arial" w:eastAsia="Arial" w:hAnsi="Arial"/>
                <w:sz w:val="16"/>
                <w:szCs w:val="16"/>
                <w:color w:val="auto"/>
              </w:rPr>
              <w:t>Total</w:t>
            </w:r>
          </w:p>
        </w:tc>
        <w:tc>
          <w:tcPr>
            <w:tcW w:w="1740" w:type="dxa"/>
            <w:vAlign w:val="bottom"/>
            <w:tcBorders>
              <w:bottom w:val="single" w:sz="8" w:color="808080"/>
            </w:tcBorders>
          </w:tcPr>
          <w:p>
            <w:pPr>
              <w:jc w:val="right"/>
              <w:ind w:right="379"/>
              <w:spacing w:after="0"/>
              <w:rPr>
                <w:sz w:val="20"/>
                <w:szCs w:val="20"/>
                <w:color w:val="auto"/>
              </w:rPr>
            </w:pPr>
            <w:r>
              <w:rPr>
                <w:rFonts w:ascii="Arial" w:cs="Arial" w:eastAsia="Arial" w:hAnsi="Arial"/>
                <w:sz w:val="16"/>
                <w:szCs w:val="16"/>
                <w:b w:val="1"/>
                <w:bCs w:val="1"/>
                <w:color w:val="auto"/>
              </w:rPr>
              <w:t>27,121,338</w:t>
            </w:r>
          </w:p>
        </w:tc>
        <w:tc>
          <w:tcPr>
            <w:tcW w:w="1040" w:type="dxa"/>
            <w:vAlign w:val="bottom"/>
            <w:tcBorders>
              <w:bottom w:val="single" w:sz="8" w:color="808080"/>
            </w:tcBorders>
          </w:tcPr>
          <w:p>
            <w:pPr>
              <w:jc w:val="right"/>
              <w:ind w:right="99"/>
              <w:spacing w:after="0"/>
              <w:rPr>
                <w:sz w:val="20"/>
                <w:szCs w:val="20"/>
                <w:color w:val="auto"/>
              </w:rPr>
            </w:pPr>
            <w:r>
              <w:rPr>
                <w:rFonts w:ascii="Arial" w:cs="Arial" w:eastAsia="Arial" w:hAnsi="Arial"/>
                <w:sz w:val="16"/>
                <w:szCs w:val="16"/>
                <w:color w:val="auto"/>
              </w:rPr>
              <w:t>25,430,520</w:t>
            </w:r>
          </w:p>
        </w:tc>
        <w:tc>
          <w:tcPr>
            <w:tcW w:w="340" w:type="dxa"/>
            <w:vAlign w:val="bottom"/>
            <w:tcBorders>
              <w:bottom w:val="single" w:sz="8" w:color="808080"/>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808080"/>
            </w:tcBorders>
          </w:tcPr>
          <w:p>
            <w:pPr>
              <w:jc w:val="right"/>
              <w:ind w:right="79"/>
              <w:spacing w:after="0"/>
              <w:rPr>
                <w:sz w:val="20"/>
                <w:szCs w:val="20"/>
                <w:color w:val="auto"/>
              </w:rPr>
            </w:pPr>
            <w:r>
              <w:rPr>
                <w:rFonts w:ascii="Arial" w:cs="Arial" w:eastAsia="Arial" w:hAnsi="Arial"/>
                <w:sz w:val="16"/>
                <w:szCs w:val="16"/>
                <w:b w:val="1"/>
                <w:bCs w:val="1"/>
                <w:color w:val="auto"/>
              </w:rPr>
              <w:t>107.34</w:t>
            </w:r>
          </w:p>
        </w:tc>
        <w:tc>
          <w:tcPr>
            <w:tcW w:w="400" w:type="dxa"/>
            <w:vAlign w:val="bottom"/>
            <w:tcBorders>
              <w:bottom w:val="single" w:sz="8" w:color="808080"/>
            </w:tcBorders>
          </w:tcPr>
          <w:p>
            <w:pPr>
              <w:jc w:val="right"/>
              <w:ind w:right="7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85.15</w:t>
            </w:r>
          </w:p>
        </w:tc>
      </w:tr>
      <w:tr>
        <w:trPr>
          <w:trHeight w:val="223"/>
        </w:trPr>
        <w:tc>
          <w:tcPr>
            <w:tcW w:w="5640" w:type="dxa"/>
            <w:vAlign w:val="bottom"/>
            <w:tcBorders>
              <w:bottom w:val="single" w:sz="8" w:color="808080"/>
            </w:tcBorders>
            <w:gridSpan w:val="2"/>
            <w:shd w:val="clear" w:color="auto" w:fill="CCEEFF"/>
          </w:tcPr>
          <w:p>
            <w:pPr>
              <w:spacing w:after="0"/>
              <w:rPr>
                <w:sz w:val="20"/>
                <w:szCs w:val="20"/>
                <w:color w:val="auto"/>
              </w:rPr>
            </w:pPr>
            <w:r>
              <w:rPr>
                <w:rFonts w:ascii="Arial" w:cs="Arial" w:eastAsia="Arial" w:hAnsi="Arial"/>
                <w:sz w:val="16"/>
                <w:szCs w:val="16"/>
                <w:color w:val="auto"/>
              </w:rPr>
              <w:t>Remaining number of shares that may be repurchased under current authority</w:t>
            </w:r>
          </w:p>
        </w:tc>
        <w:tc>
          <w:tcPr>
            <w:tcW w:w="1040" w:type="dxa"/>
            <w:vAlign w:val="bottom"/>
            <w:tcBorders>
              <w:bottom w:val="single" w:sz="8" w:color="808080"/>
            </w:tcBorders>
            <w:shd w:val="clear" w:color="auto" w:fill="CCEEFF"/>
          </w:tcPr>
          <w:p>
            <w:pPr>
              <w:spacing w:after="0"/>
              <w:rPr>
                <w:sz w:val="19"/>
                <w:szCs w:val="19"/>
                <w:color w:val="auto"/>
              </w:rPr>
            </w:pPr>
          </w:p>
        </w:tc>
        <w:tc>
          <w:tcPr>
            <w:tcW w:w="340" w:type="dxa"/>
            <w:vAlign w:val="bottom"/>
            <w:tcBorders>
              <w:bottom w:val="single" w:sz="8" w:color="808080"/>
            </w:tcBorders>
            <w:shd w:val="clear" w:color="auto" w:fill="CCEEFF"/>
          </w:tcPr>
          <w:p>
            <w:pPr>
              <w:spacing w:after="0"/>
              <w:rPr>
                <w:sz w:val="19"/>
                <w:szCs w:val="19"/>
                <w:color w:val="auto"/>
              </w:rPr>
            </w:pPr>
          </w:p>
        </w:tc>
        <w:tc>
          <w:tcPr>
            <w:tcW w:w="780" w:type="dxa"/>
            <w:vAlign w:val="bottom"/>
            <w:tcBorders>
              <w:bottom w:val="single" w:sz="8" w:color="808080"/>
            </w:tcBorders>
            <w:shd w:val="clear" w:color="auto" w:fill="CCEEFF"/>
          </w:tcPr>
          <w:p>
            <w:pPr>
              <w:spacing w:after="0"/>
              <w:rPr>
                <w:sz w:val="19"/>
                <w:szCs w:val="19"/>
                <w:color w:val="auto"/>
              </w:rPr>
            </w:pPr>
          </w:p>
        </w:tc>
        <w:tc>
          <w:tcPr>
            <w:tcW w:w="1020" w:type="dxa"/>
            <w:vAlign w:val="bottom"/>
            <w:tcBorders>
              <w:bottom w:val="single" w:sz="8" w:color="808080"/>
            </w:tcBorders>
            <w:gridSpan w:val="2"/>
            <w:shd w:val="clear" w:color="auto" w:fill="CCEEFF"/>
          </w:tcPr>
          <w:p>
            <w:pPr>
              <w:jc w:val="right"/>
              <w:spacing w:after="0"/>
              <w:rPr>
                <w:sz w:val="20"/>
                <w:szCs w:val="20"/>
                <w:color w:val="auto"/>
              </w:rPr>
            </w:pPr>
            <w:r>
              <w:rPr>
                <w:rFonts w:ascii="Arial" w:cs="Arial" w:eastAsia="Arial" w:hAnsi="Arial"/>
                <w:sz w:val="16"/>
                <w:szCs w:val="16"/>
                <w:color w:val="auto"/>
              </w:rPr>
              <w:t>92,878,662</w:t>
            </w:r>
          </w:p>
        </w:tc>
      </w:tr>
    </w:tbl>
    <w:p>
      <w:pPr>
        <w:spacing w:after="0" w:line="161" w:lineRule="exact"/>
        <w:rPr>
          <w:sz w:val="20"/>
          <w:szCs w:val="20"/>
          <w:color w:val="auto"/>
        </w:rPr>
      </w:pPr>
    </w:p>
    <w:p>
      <w:pPr>
        <w:jc w:val="both"/>
        <w:ind w:left="100" w:right="99"/>
        <w:spacing w:after="0" w:line="213" w:lineRule="auto"/>
        <w:rPr>
          <w:sz w:val="20"/>
          <w:szCs w:val="20"/>
          <w:color w:val="auto"/>
        </w:rPr>
      </w:pPr>
      <w:r>
        <w:rPr>
          <w:rFonts w:ascii="Arial" w:cs="Arial" w:eastAsia="Arial" w:hAnsi="Arial"/>
          <w:sz w:val="18"/>
          <w:szCs w:val="18"/>
          <w:color w:val="auto"/>
        </w:rPr>
        <w:t>Management's assessments of market conditions and other pertinent factors guide the timing and volume of all repurchases. We expect to fund any share repurchases under this program through cash generated from operations, the sale or lease of various operating and non-operating properties, debt issuances, and cash on hand. Repurchased shares are recorded in treasury stock at cost, which includes any applicable commissions and fees.</w:t>
      </w:r>
    </w:p>
    <w:p>
      <w:pPr>
        <w:spacing w:after="0" w:line="135" w:lineRule="exact"/>
        <w:rPr>
          <w:sz w:val="20"/>
          <w:szCs w:val="20"/>
          <w:color w:val="auto"/>
        </w:rPr>
      </w:pPr>
    </w:p>
    <w:p>
      <w:pPr>
        <w:jc w:val="both"/>
        <w:ind w:left="100" w:right="99"/>
        <w:spacing w:after="0" w:line="227" w:lineRule="auto"/>
        <w:rPr>
          <w:sz w:val="20"/>
          <w:szCs w:val="20"/>
          <w:color w:val="auto"/>
        </w:rPr>
      </w:pPr>
      <w:r>
        <w:rPr>
          <w:rFonts w:ascii="Arial" w:cs="Arial" w:eastAsia="Arial" w:hAnsi="Arial"/>
          <w:sz w:val="18"/>
          <w:szCs w:val="18"/>
          <w:color w:val="auto"/>
        </w:rPr>
        <w:t>From October 1, 2017, through October 25, 2017, we repurchased 3.15 million shares at an aggregate cost of approximately $356 million.</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45085</wp:posOffset>
            </wp:positionV>
            <wp:extent cx="5642610"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2" w:name="page23"/>
    <w:bookmarkEnd w:id="22"/>
    <w:p>
      <w:pPr>
        <w:ind w:left="10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19. Related Parties</w:t>
      </w:r>
    </w:p>
    <w:p>
      <w:pPr>
        <w:spacing w:after="0" w:line="166" w:lineRule="exact"/>
        <w:rPr>
          <w:sz w:val="20"/>
          <w:szCs w:val="20"/>
          <w:color w:val="auto"/>
        </w:rPr>
      </w:pPr>
    </w:p>
    <w:p>
      <w:pPr>
        <w:jc w:val="both"/>
        <w:ind w:left="100" w:right="99"/>
        <w:spacing w:after="0" w:line="215" w:lineRule="auto"/>
        <w:rPr>
          <w:sz w:val="20"/>
          <w:szCs w:val="20"/>
          <w:color w:val="auto"/>
        </w:rPr>
      </w:pPr>
      <w:r>
        <w:rPr>
          <w:rFonts w:ascii="Arial" w:cs="Arial" w:eastAsia="Arial" w:hAnsi="Arial"/>
          <w:sz w:val="18"/>
          <w:szCs w:val="18"/>
          <w:color w:val="auto"/>
        </w:rPr>
        <w:t xml:space="preserve">UPRR and other North American railroad companies jointly own TTX Company (TTX). UPRR has a 36.79% economic and voting interest in TTX while the other North American railroads own the remaining interest. In accordance with ASC 323 </w:t>
      </w:r>
      <w:r>
        <w:rPr>
          <w:rFonts w:ascii="Arial" w:cs="Arial" w:eastAsia="Arial" w:hAnsi="Arial"/>
          <w:sz w:val="18"/>
          <w:szCs w:val="18"/>
          <w:i w:val="1"/>
          <w:iCs w:val="1"/>
          <w:color w:val="auto"/>
        </w:rPr>
        <w:t>Investments - Equity Method and Joint Venture</w:t>
      </w:r>
      <w:r>
        <w:rPr>
          <w:rFonts w:ascii="Arial" w:cs="Arial" w:eastAsia="Arial" w:hAnsi="Arial"/>
          <w:sz w:val="18"/>
          <w:szCs w:val="18"/>
          <w:color w:val="auto"/>
        </w:rPr>
        <w:t>, UPRR applies the equity method of accounting to our investment in TTX.</w:t>
      </w:r>
    </w:p>
    <w:p>
      <w:pPr>
        <w:spacing w:after="0" w:line="136" w:lineRule="exact"/>
        <w:rPr>
          <w:sz w:val="20"/>
          <w:szCs w:val="20"/>
          <w:color w:val="auto"/>
        </w:rPr>
      </w:pPr>
    </w:p>
    <w:p>
      <w:pPr>
        <w:jc w:val="both"/>
        <w:ind w:left="100" w:right="99"/>
        <w:spacing w:after="0" w:line="215" w:lineRule="auto"/>
        <w:rPr>
          <w:sz w:val="20"/>
          <w:szCs w:val="20"/>
          <w:color w:val="auto"/>
        </w:rPr>
      </w:pPr>
      <w:r>
        <w:rPr>
          <w:rFonts w:ascii="Arial" w:cs="Arial" w:eastAsia="Arial" w:hAnsi="Arial"/>
          <w:sz w:val="18"/>
          <w:szCs w:val="18"/>
          <w:color w:val="auto"/>
        </w:rPr>
        <w:t>TTX is a railcar pooling company that owns railcars and intermodal wells to serve North America’s railroads. TTX assists railroads in meeting the needs of their customers by providing railcars in an efficient, pooled environment. All railroads have the ability to utilize TTX railcars through car hire by renting railcars at stated rates.</w:t>
      </w:r>
    </w:p>
    <w:p>
      <w:pPr>
        <w:spacing w:after="0" w:line="136" w:lineRule="exact"/>
        <w:rPr>
          <w:sz w:val="20"/>
          <w:szCs w:val="20"/>
          <w:color w:val="auto"/>
        </w:rPr>
      </w:pPr>
    </w:p>
    <w:p>
      <w:pPr>
        <w:jc w:val="both"/>
        <w:ind w:left="100" w:right="99"/>
        <w:spacing w:after="0" w:line="210" w:lineRule="auto"/>
        <w:rPr>
          <w:sz w:val="20"/>
          <w:szCs w:val="20"/>
          <w:color w:val="auto"/>
        </w:rPr>
      </w:pPr>
      <w:r>
        <w:rPr>
          <w:rFonts w:ascii="Arial" w:cs="Arial" w:eastAsia="Arial" w:hAnsi="Arial"/>
          <w:sz w:val="18"/>
          <w:szCs w:val="18"/>
          <w:color w:val="auto"/>
        </w:rPr>
        <w:t>UPRR had $935 million and $877 million recognized as investments related to TTX in our Condensed Consolidated Statements of Financial Position as of September 30, 2017, and December 31, 2016, respectively. TTX car hire expenses of $100 million and $93 million for the three months ended September 30, 2017, and 2016, respectively, and $284 million and $275 million for the nine months ended September 30, 2017 and 2016, respectively, are included in equipment and other rents in our Condensed Consolidated Statements of Income. In addition, UPRR had accounts payable to TTX of $67 million and $61 million as of September 30, 2017, and December 31, 2016, respectively.</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45085</wp:posOffset>
            </wp:positionV>
            <wp:extent cx="5642610" cy="51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3" w:name="page24"/>
    <w:bookmarkEnd w:id="23"/>
    <w:p>
      <w:pPr>
        <w:ind w:left="10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5" w:lineRule="exact"/>
        <w:rPr>
          <w:sz w:val="20"/>
          <w:szCs w:val="20"/>
          <w:color w:val="auto"/>
        </w:rPr>
      </w:pPr>
    </w:p>
    <w:p>
      <w:pPr>
        <w:ind w:left="1800"/>
        <w:spacing w:after="0"/>
        <w:rPr>
          <w:sz w:val="20"/>
          <w:szCs w:val="20"/>
          <w:color w:val="auto"/>
        </w:rPr>
      </w:pPr>
      <w:r>
        <w:rPr>
          <w:rFonts w:ascii="Arial" w:cs="Arial" w:eastAsia="Arial" w:hAnsi="Arial"/>
          <w:sz w:val="18"/>
          <w:szCs w:val="18"/>
          <w:b w:val="1"/>
          <w:bCs w:val="1"/>
          <w:color w:val="auto"/>
        </w:rPr>
        <w:t>UNION PACIFIC CORPORATION AND SUBSIDIARY COMPANIES</w:t>
      </w:r>
    </w:p>
    <w:p>
      <w:pPr>
        <w:ind w:left="3340"/>
        <w:spacing w:after="0"/>
        <w:rPr>
          <w:sz w:val="20"/>
          <w:szCs w:val="20"/>
          <w:color w:val="auto"/>
        </w:rPr>
      </w:pPr>
      <w:r>
        <w:rPr>
          <w:rFonts w:ascii="Arial" w:cs="Arial" w:eastAsia="Arial" w:hAnsi="Arial"/>
          <w:sz w:val="18"/>
          <w:szCs w:val="18"/>
          <w:b w:val="1"/>
          <w:bCs w:val="1"/>
          <w:color w:val="auto"/>
        </w:rPr>
        <w:t>RESULTS OF OPERATIONS</w:t>
      </w:r>
    </w:p>
    <w:p>
      <w:pPr>
        <w:spacing w:after="0" w:line="113"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Three and Nine Months Ended September 30, 2017, Compared to</w:t>
      </w:r>
    </w:p>
    <w:p>
      <w:pPr>
        <w:jc w:val="center"/>
        <w:spacing w:after="0"/>
        <w:rPr>
          <w:sz w:val="20"/>
          <w:szCs w:val="20"/>
          <w:color w:val="auto"/>
        </w:rPr>
      </w:pPr>
      <w:r>
        <w:rPr>
          <w:rFonts w:ascii="Arial" w:cs="Arial" w:eastAsia="Arial" w:hAnsi="Arial"/>
          <w:sz w:val="18"/>
          <w:szCs w:val="18"/>
          <w:b w:val="1"/>
          <w:bCs w:val="1"/>
          <w:color w:val="auto"/>
        </w:rPr>
        <w:t>Three and Nine Months Ended September 30, 2016</w:t>
      </w:r>
    </w:p>
    <w:p>
      <w:pPr>
        <w:spacing w:after="0" w:line="320" w:lineRule="exact"/>
        <w:rPr>
          <w:sz w:val="20"/>
          <w:szCs w:val="20"/>
          <w:color w:val="auto"/>
        </w:rPr>
      </w:pPr>
    </w:p>
    <w:p>
      <w:pPr>
        <w:jc w:val="both"/>
        <w:ind w:left="100" w:right="99"/>
        <w:spacing w:after="0" w:line="219" w:lineRule="auto"/>
        <w:rPr>
          <w:sz w:val="20"/>
          <w:szCs w:val="20"/>
          <w:color w:val="auto"/>
        </w:rPr>
      </w:pPr>
      <w:r>
        <w:rPr>
          <w:rFonts w:ascii="Arial" w:cs="Arial" w:eastAsia="Arial" w:hAnsi="Arial"/>
          <w:sz w:val="18"/>
          <w:szCs w:val="18"/>
          <w:color w:val="auto"/>
        </w:rPr>
        <w:t>For purposes of this report, unless the context otherwise requires, all references herein to “UPC”, “Corporation”, “Company”, “we”, “us”, and “our” shall mean Union Pacific Corporation and its subsidiaries, including Union Pacific Railroad Company, which we separately refer to as “UPRR” or the “Railroad”.</w:t>
      </w:r>
    </w:p>
    <w:p>
      <w:pPr>
        <w:spacing w:after="0" w:line="136" w:lineRule="exact"/>
        <w:rPr>
          <w:sz w:val="20"/>
          <w:szCs w:val="20"/>
          <w:color w:val="auto"/>
        </w:rPr>
      </w:pPr>
    </w:p>
    <w:p>
      <w:pPr>
        <w:jc w:val="both"/>
        <w:ind w:left="100" w:right="99"/>
        <w:spacing w:after="0" w:line="211" w:lineRule="auto"/>
        <w:rPr>
          <w:sz w:val="20"/>
          <w:szCs w:val="20"/>
          <w:color w:val="auto"/>
        </w:rPr>
      </w:pPr>
      <w:r>
        <w:rPr>
          <w:rFonts w:ascii="Arial" w:cs="Arial" w:eastAsia="Arial" w:hAnsi="Arial"/>
          <w:sz w:val="18"/>
          <w:szCs w:val="18"/>
          <w:color w:val="auto"/>
        </w:rPr>
        <w:t>The following discussion should be read in conjunction with the Condensed Consolidated Financial Statements and applicable notes to the Condensed Consolidated Financial Statements, Item 1, and other information included in this report. Our Condensed Consolidated Financial Statements are unaudited and reflect all adjustments (consisting only of normal and recurring adjustments) that are, in the opinion of management, necessary for their fair presentation in conformity with accounting principles generally accepted in the United States of America (GAAP).</w:t>
      </w:r>
    </w:p>
    <w:p>
      <w:pPr>
        <w:spacing w:after="0" w:line="137" w:lineRule="exact"/>
        <w:rPr>
          <w:sz w:val="20"/>
          <w:szCs w:val="20"/>
          <w:color w:val="auto"/>
        </w:rPr>
      </w:pPr>
    </w:p>
    <w:p>
      <w:pPr>
        <w:jc w:val="both"/>
        <w:ind w:left="100" w:right="99"/>
        <w:spacing w:after="0" w:line="219" w:lineRule="auto"/>
        <w:rPr>
          <w:sz w:val="20"/>
          <w:szCs w:val="20"/>
          <w:color w:val="auto"/>
        </w:rPr>
      </w:pPr>
      <w:r>
        <w:rPr>
          <w:rFonts w:ascii="Arial" w:cs="Arial" w:eastAsia="Arial" w:hAnsi="Arial"/>
          <w:sz w:val="18"/>
          <w:szCs w:val="18"/>
          <w:color w:val="auto"/>
        </w:rPr>
        <w:t>The Railroad, along with its subsidiaries and rail affiliates, is our one reportable business segment. Although we provide and analyze revenue by commodity group, we treat the financial results of the Railroad as one segment due to the integrated nature of our rail network.</w:t>
      </w:r>
    </w:p>
    <w:p>
      <w:pPr>
        <w:spacing w:after="0" w:line="11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Available Information</w:t>
      </w:r>
    </w:p>
    <w:p>
      <w:pPr>
        <w:spacing w:after="0" w:line="166" w:lineRule="exact"/>
        <w:rPr>
          <w:sz w:val="20"/>
          <w:szCs w:val="20"/>
          <w:color w:val="auto"/>
        </w:rPr>
      </w:pPr>
    </w:p>
    <w:p>
      <w:pPr>
        <w:jc w:val="both"/>
        <w:ind w:left="100" w:right="99"/>
        <w:spacing w:after="0" w:line="206" w:lineRule="auto"/>
        <w:rPr>
          <w:sz w:val="20"/>
          <w:szCs w:val="20"/>
          <w:color w:val="auto"/>
        </w:rPr>
      </w:pPr>
      <w:r>
        <w:rPr>
          <w:rFonts w:ascii="Arial" w:cs="Arial" w:eastAsia="Arial" w:hAnsi="Arial"/>
          <w:sz w:val="18"/>
          <w:szCs w:val="18"/>
          <w:color w:val="auto"/>
        </w:rPr>
        <w:t>Our Internet website is www.up.com. We make available free of charge on our website (under the “Investors” caption link) our Annual Reports on Form 10-K; our Quarterly Reports on Form 10-Q; eXtensible Business Reporting Language (XBRL) documents; our current reports on Form 8-K; our proxy statements; Forms 3, 4, and 5, filed on behalf of directors and executive officers; and amendments to any such reports filed or furnished pursuant to the Securities Exchange Act of 1934, as amended (the Exchange Act), as soon as reasonably practicable after such material is electronically filed with, or furnished to, the Securities and Exchange Commission (SEC). We also make available on our website previously filed SEC reports and exhibits via a link to EDGAR on the SEC’s Internet site at www.sec.gov. We provide these previously filed reports as a convenience and their contents reflect only information that was true and correct as of the date of the report. We assume no obligation to update this historical information. Additionally, our corporate governance materials, including By-Laws, Board Committee charters, governance guidelines and policies, and codes of conduct and ethics for directors, officers, and employees are available on our website. From time to time, the corporate governance materials on our website may be updated as necessary to comply with rules issued by the SEC and the New York Stock Exchange or as desirable to promote the effective and efficient governance of our company. Any security holder wishing to receive, without charge, a copy of any of our SEC filings or corporate governance materials should send a written request to: Corporate Secretary, Union Pacific Corporation, 1400 Douglas Street, Omaha, NE 68179.</w:t>
      </w:r>
    </w:p>
    <w:p>
      <w:pPr>
        <w:spacing w:after="0" w:line="140" w:lineRule="exact"/>
        <w:rPr>
          <w:sz w:val="20"/>
          <w:szCs w:val="20"/>
          <w:color w:val="auto"/>
        </w:rPr>
      </w:pPr>
    </w:p>
    <w:p>
      <w:pPr>
        <w:jc w:val="both"/>
        <w:ind w:left="100" w:right="99"/>
        <w:spacing w:after="0" w:line="215" w:lineRule="auto"/>
        <w:rPr>
          <w:sz w:val="20"/>
          <w:szCs w:val="20"/>
          <w:color w:val="auto"/>
        </w:rPr>
      </w:pPr>
      <w:r>
        <w:rPr>
          <w:rFonts w:ascii="Arial" w:cs="Arial" w:eastAsia="Arial" w:hAnsi="Arial"/>
          <w:sz w:val="18"/>
          <w:szCs w:val="18"/>
          <w:color w:val="auto"/>
        </w:rPr>
        <w:t>References to our website address in this report, including references in Management’s Discussion and Analysis of Financial Condition and Results of Operations, Item 2, are provided as a convenience and do not constitute, and should not be deemed, an incorporation by reference of the information contained on, or available through, the website. Therefore, such information should not be considered part of this report.</w:t>
      </w:r>
    </w:p>
    <w:p>
      <w:pPr>
        <w:spacing w:after="0" w:line="11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66" w:lineRule="exact"/>
        <w:rPr>
          <w:sz w:val="20"/>
          <w:szCs w:val="20"/>
          <w:color w:val="auto"/>
        </w:rPr>
      </w:pPr>
    </w:p>
    <w:p>
      <w:pPr>
        <w:jc w:val="both"/>
        <w:ind w:left="100" w:right="99"/>
        <w:spacing w:after="0" w:line="209" w:lineRule="auto"/>
        <w:rPr>
          <w:sz w:val="20"/>
          <w:szCs w:val="20"/>
          <w:color w:val="auto"/>
        </w:rPr>
      </w:pPr>
      <w:r>
        <w:rPr>
          <w:rFonts w:ascii="Arial" w:cs="Arial" w:eastAsia="Arial" w:hAnsi="Arial"/>
          <w:sz w:val="18"/>
          <w:szCs w:val="18"/>
          <w:color w:val="auto"/>
        </w:rPr>
        <w:t>We base our discussion and analysis of our financial condition and results of operations upon our Condensed Consolidated Financial Statements. The preparation of these financial statements requires estimation and judgment that affect the reported amounts of revenues, expenses, assets, and liabilities.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If these estimates differ materially from actual results, the impact on the Condensed Consolidated Financial Statements may be material. Our critical accounting policies are available in Item 7 of our 2016 Annual Report on Form 10-</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45085</wp:posOffset>
            </wp:positionV>
            <wp:extent cx="5642610"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4" w:name="page25"/>
    <w:bookmarkEnd w:id="24"/>
    <w:p>
      <w:pPr>
        <w:ind w:left="10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66" w:lineRule="exact"/>
        <w:rPr>
          <w:sz w:val="20"/>
          <w:szCs w:val="20"/>
          <w:color w:val="auto"/>
        </w:rPr>
      </w:pPr>
    </w:p>
    <w:p>
      <w:pPr>
        <w:jc w:val="both"/>
        <w:ind w:left="100" w:right="99"/>
        <w:spacing w:after="0" w:line="227" w:lineRule="auto"/>
        <w:rPr>
          <w:sz w:val="20"/>
          <w:szCs w:val="20"/>
          <w:color w:val="auto"/>
        </w:rPr>
      </w:pPr>
      <w:r>
        <w:rPr>
          <w:rFonts w:ascii="Arial" w:cs="Arial" w:eastAsia="Arial" w:hAnsi="Arial"/>
          <w:sz w:val="18"/>
          <w:szCs w:val="18"/>
          <w:color w:val="auto"/>
        </w:rPr>
        <w:t>K. There have not been any significant changes with respect to these policies during the first nine months of 2017.</w:t>
      </w:r>
    </w:p>
    <w:p>
      <w:pPr>
        <w:spacing w:after="0" w:line="11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RESULTS OF OPERATIONS</w:t>
      </w:r>
    </w:p>
    <w:p>
      <w:pPr>
        <w:spacing w:after="0" w:line="14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Quarterly Summary</w:t>
      </w:r>
    </w:p>
    <w:p>
      <w:pPr>
        <w:spacing w:after="0" w:line="166" w:lineRule="exact"/>
        <w:rPr>
          <w:sz w:val="20"/>
          <w:szCs w:val="20"/>
          <w:color w:val="auto"/>
        </w:rPr>
      </w:pPr>
    </w:p>
    <w:p>
      <w:pPr>
        <w:jc w:val="both"/>
        <w:ind w:left="100" w:right="99"/>
        <w:spacing w:after="0" w:line="209" w:lineRule="auto"/>
        <w:rPr>
          <w:sz w:val="20"/>
          <w:szCs w:val="20"/>
          <w:color w:val="auto"/>
        </w:rPr>
      </w:pPr>
      <w:r>
        <w:rPr>
          <w:rFonts w:ascii="Arial" w:cs="Arial" w:eastAsia="Arial" w:hAnsi="Arial"/>
          <w:sz w:val="18"/>
          <w:szCs w:val="18"/>
          <w:color w:val="auto"/>
        </w:rPr>
        <w:t>We reported earnings of $1.50 per diluted share on net income of $1.2 billion in the third quarter of 2017 compared to earnings of $1.36 per diluted share on net income of $1.1 billion for the third quarter of 2016. Freight revenues increased 4%, or $213 million, in the third quarter compared to the same period in 2016. A 5% increase in average revenue per car (ARC) resulting from mix of traffic, core pricing gains, and higher fuel surcharge revenue drove the freight revenue growth and more than offset the 1% decline in volume levels. Growth in shale drilling-related frac sand, steel, and fertilizer shipments was more than offset by declines in crude oil, grain, finished vehicles, and a number of chemical and industrial product commodities impacted by disruptions in the Southern region caused by Hurricane Harvey.</w:t>
      </w:r>
    </w:p>
    <w:p>
      <w:pPr>
        <w:spacing w:after="0" w:line="138" w:lineRule="exact"/>
        <w:rPr>
          <w:sz w:val="20"/>
          <w:szCs w:val="20"/>
          <w:color w:val="auto"/>
        </w:rPr>
      </w:pPr>
    </w:p>
    <w:p>
      <w:pPr>
        <w:jc w:val="both"/>
        <w:ind w:left="100" w:right="99"/>
        <w:spacing w:after="0" w:line="211" w:lineRule="auto"/>
        <w:rPr>
          <w:sz w:val="20"/>
          <w:szCs w:val="20"/>
          <w:color w:val="auto"/>
        </w:rPr>
      </w:pPr>
      <w:r>
        <w:rPr>
          <w:rFonts w:ascii="Arial" w:cs="Arial" w:eastAsia="Arial" w:hAnsi="Arial"/>
          <w:sz w:val="18"/>
          <w:szCs w:val="18"/>
          <w:color w:val="auto"/>
        </w:rPr>
        <w:t>Disruptions from the hurricane negatively impacted earnings by approximately $0.04 per diluted share, which consists of lost revenue and additional operating expenses. Despite the hurricane impact, we continued to align critical resources with current market demands. While volumes declined 1%, our work force levels decreased 2%, demonstrating continued progress on our resource productivity initiatives. At the end of the third quarter, approximately 800 employees across all crafts were either furloughed or in alternate work status, and approximately 1,000 locomotives were in storage.</w:t>
      </w:r>
    </w:p>
    <w:p>
      <w:pPr>
        <w:spacing w:after="0" w:line="137" w:lineRule="exact"/>
        <w:rPr>
          <w:sz w:val="20"/>
          <w:szCs w:val="20"/>
          <w:color w:val="auto"/>
        </w:rPr>
      </w:pPr>
    </w:p>
    <w:p>
      <w:pPr>
        <w:jc w:val="both"/>
        <w:ind w:left="100" w:right="99"/>
        <w:spacing w:after="0" w:line="211" w:lineRule="auto"/>
        <w:rPr>
          <w:sz w:val="20"/>
          <w:szCs w:val="20"/>
          <w:color w:val="auto"/>
        </w:rPr>
      </w:pPr>
      <w:r>
        <w:rPr>
          <w:rFonts w:ascii="Arial" w:cs="Arial" w:eastAsia="Arial" w:hAnsi="Arial"/>
          <w:sz w:val="18"/>
          <w:szCs w:val="18"/>
          <w:color w:val="auto"/>
        </w:rPr>
        <w:t>As reported to the Association of American Railroads (AAR) in the third quarter 2017, average train speed decreased 2% to 25.4 miles per hour compared to the same period of 2016, largely due to hurricane-related disruptions on our network. Continued implementation and testing of Positive Train Control across a larger portion of our network also negatively impacted overall average train speed. Average terminal dwell time increased 7% to 30.0 hours in the third quarter of 2017 compared to the same period of 2016 as a result of disruptions that negatively impacted network fluidity.</w:t>
      </w:r>
    </w:p>
    <w:p>
      <w:pPr>
        <w:spacing w:after="0" w:line="137" w:lineRule="exact"/>
        <w:rPr>
          <w:sz w:val="20"/>
          <w:szCs w:val="20"/>
          <w:color w:val="auto"/>
        </w:rPr>
      </w:pPr>
    </w:p>
    <w:p>
      <w:pPr>
        <w:jc w:val="both"/>
        <w:ind w:left="100" w:right="99"/>
        <w:spacing w:after="0" w:line="227" w:lineRule="auto"/>
        <w:rPr>
          <w:sz w:val="20"/>
          <w:szCs w:val="20"/>
          <w:color w:val="auto"/>
        </w:rPr>
      </w:pPr>
      <w:r>
        <w:rPr>
          <w:rFonts w:ascii="Arial" w:cs="Arial" w:eastAsia="Arial" w:hAnsi="Arial"/>
          <w:sz w:val="18"/>
          <w:szCs w:val="18"/>
          <w:color w:val="auto"/>
        </w:rPr>
        <w:t>In addition, as referenced in Note 3 to the Condensed Consolidated Financial Statements, our third quarter results reflect the impact of our workforce reduction plan, which includes a pre-tax charge of $84 million.</w:t>
      </w:r>
    </w:p>
    <w:p>
      <w:pPr>
        <w:spacing w:after="0" w:line="11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Operating Revenues</w:t>
      </w:r>
    </w:p>
    <w:p>
      <w:pPr>
        <w:spacing w:after="0" w:line="106" w:lineRule="exact"/>
        <w:rPr>
          <w:sz w:val="20"/>
          <w:szCs w:val="20"/>
          <w:color w:val="auto"/>
        </w:rPr>
      </w:pPr>
    </w:p>
    <w:tbl>
      <w:tblPr>
        <w:tblLayout w:type="fixed"/>
        <w:tblInd w:w="100" w:type="dxa"/>
        <w:tblCellMar>
          <w:top w:w="0" w:type="dxa"/>
          <w:left w:w="0" w:type="dxa"/>
          <w:bottom w:w="0" w:type="dxa"/>
          <w:right w:w="0" w:type="dxa"/>
        </w:tblCellMar>
      </w:tblPr>
      <w:tr>
        <w:trPr>
          <w:trHeight w:val="256"/>
        </w:trPr>
        <w:tc>
          <w:tcPr>
            <w:tcW w:w="3740" w:type="dxa"/>
            <w:vAlign w:val="bottom"/>
            <w:tcBorders>
              <w:top w:val="single" w:sz="8" w:color="7F7F7F"/>
            </w:tcBorders>
          </w:tcPr>
          <w:p>
            <w:pPr>
              <w:spacing w:after="0"/>
              <w:rPr>
                <w:sz w:val="22"/>
                <w:szCs w:val="22"/>
                <w:color w:val="auto"/>
              </w:rPr>
            </w:pPr>
          </w:p>
        </w:tc>
        <w:tc>
          <w:tcPr>
            <w:tcW w:w="1660" w:type="dxa"/>
            <w:vAlign w:val="bottom"/>
            <w:tcBorders>
              <w:top w:val="single" w:sz="8" w:color="7F7F7F"/>
            </w:tcBorders>
            <w:gridSpan w:val="4"/>
          </w:tcPr>
          <w:p>
            <w:pPr>
              <w:jc w:val="right"/>
              <w:spacing w:after="0"/>
              <w:rPr>
                <w:sz w:val="20"/>
                <w:szCs w:val="20"/>
                <w:color w:val="auto"/>
              </w:rPr>
            </w:pPr>
            <w:r>
              <w:rPr>
                <w:rFonts w:ascii="Arial" w:cs="Arial" w:eastAsia="Arial" w:hAnsi="Arial"/>
                <w:sz w:val="16"/>
                <w:szCs w:val="16"/>
                <w:i w:val="1"/>
                <w:iCs w:val="1"/>
                <w:color w:val="auto"/>
              </w:rPr>
              <w:t>Three Months Ended</w:t>
            </w:r>
          </w:p>
        </w:tc>
        <w:tc>
          <w:tcPr>
            <w:tcW w:w="620" w:type="dxa"/>
            <w:vAlign w:val="bottom"/>
            <w:tcBorders>
              <w:top w:val="single" w:sz="8" w:color="7F7F7F"/>
            </w:tcBorders>
          </w:tcPr>
          <w:p>
            <w:pPr>
              <w:spacing w:after="0"/>
              <w:rPr>
                <w:sz w:val="22"/>
                <w:szCs w:val="22"/>
                <w:color w:val="auto"/>
              </w:rPr>
            </w:pPr>
          </w:p>
        </w:tc>
        <w:tc>
          <w:tcPr>
            <w:tcW w:w="200" w:type="dxa"/>
            <w:vAlign w:val="bottom"/>
            <w:tcBorders>
              <w:top w:val="single" w:sz="8" w:color="7F7F7F"/>
            </w:tcBorders>
          </w:tcPr>
          <w:p>
            <w:pPr>
              <w:spacing w:after="0"/>
              <w:rPr>
                <w:sz w:val="22"/>
                <w:szCs w:val="22"/>
                <w:color w:val="auto"/>
              </w:rPr>
            </w:pPr>
          </w:p>
        </w:tc>
        <w:tc>
          <w:tcPr>
            <w:tcW w:w="180" w:type="dxa"/>
            <w:vAlign w:val="bottom"/>
            <w:tcBorders>
              <w:top w:val="single" w:sz="8" w:color="808080"/>
            </w:tcBorders>
          </w:tcPr>
          <w:p>
            <w:pPr>
              <w:spacing w:after="0"/>
              <w:rPr>
                <w:sz w:val="22"/>
                <w:szCs w:val="22"/>
                <w:color w:val="auto"/>
              </w:rPr>
            </w:pPr>
          </w:p>
        </w:tc>
        <w:tc>
          <w:tcPr>
            <w:tcW w:w="1700" w:type="dxa"/>
            <w:vAlign w:val="bottom"/>
            <w:tcBorders>
              <w:top w:val="single" w:sz="8" w:color="808080"/>
            </w:tcBorders>
            <w:gridSpan w:val="3"/>
          </w:tcPr>
          <w:p>
            <w:pPr>
              <w:jc w:val="right"/>
              <w:ind w:right="59"/>
              <w:spacing w:after="0"/>
              <w:rPr>
                <w:sz w:val="20"/>
                <w:szCs w:val="20"/>
                <w:color w:val="auto"/>
              </w:rPr>
            </w:pPr>
            <w:r>
              <w:rPr>
                <w:rFonts w:ascii="Arial" w:cs="Arial" w:eastAsia="Arial" w:hAnsi="Arial"/>
                <w:sz w:val="16"/>
                <w:szCs w:val="16"/>
                <w:i w:val="1"/>
                <w:iCs w:val="1"/>
                <w:color w:val="auto"/>
              </w:rPr>
              <w:t>Nine Months Ended</w:t>
            </w:r>
          </w:p>
        </w:tc>
        <w:tc>
          <w:tcPr>
            <w:tcW w:w="540" w:type="dxa"/>
            <w:vAlign w:val="bottom"/>
            <w:tcBorders>
              <w:top w:val="single" w:sz="8" w:color="808080"/>
            </w:tcBorders>
          </w:tcPr>
          <w:p>
            <w:pPr>
              <w:spacing w:after="0"/>
              <w:rPr>
                <w:sz w:val="22"/>
                <w:szCs w:val="22"/>
                <w:color w:val="auto"/>
              </w:rPr>
            </w:pPr>
          </w:p>
        </w:tc>
        <w:tc>
          <w:tcPr>
            <w:tcW w:w="180" w:type="dxa"/>
            <w:vAlign w:val="bottom"/>
            <w:tcBorders>
              <w:top w:val="single" w:sz="8" w:color="808080"/>
            </w:tcBorders>
          </w:tcPr>
          <w:p>
            <w:pPr>
              <w:spacing w:after="0"/>
              <w:rPr>
                <w:sz w:val="22"/>
                <w:szCs w:val="22"/>
                <w:color w:val="auto"/>
              </w:rPr>
            </w:pPr>
          </w:p>
        </w:tc>
      </w:tr>
      <w:tr>
        <w:trPr>
          <w:trHeight w:val="197"/>
        </w:trPr>
        <w:tc>
          <w:tcPr>
            <w:tcW w:w="3740" w:type="dxa"/>
            <w:vAlign w:val="bottom"/>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1400" w:type="dxa"/>
            <w:vAlign w:val="bottom"/>
            <w:tcBorders>
              <w:bottom w:val="single" w:sz="8" w:color="808080"/>
            </w:tcBorders>
            <w:gridSpan w:val="3"/>
          </w:tcPr>
          <w:p>
            <w:pPr>
              <w:jc w:val="right"/>
              <w:ind w:right="219"/>
              <w:spacing w:after="0"/>
              <w:rPr>
                <w:sz w:val="20"/>
                <w:szCs w:val="20"/>
                <w:color w:val="auto"/>
              </w:rPr>
            </w:pPr>
            <w:r>
              <w:rPr>
                <w:rFonts w:ascii="Arial" w:cs="Arial" w:eastAsia="Arial" w:hAnsi="Arial"/>
                <w:sz w:val="16"/>
                <w:szCs w:val="16"/>
                <w:i w:val="1"/>
                <w:iCs w:val="1"/>
                <w:color w:val="auto"/>
              </w:rPr>
              <w:t>September 30,</w:t>
            </w: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Borders>
              <w:bottom w:val="single" w:sz="8" w:color="808080"/>
            </w:tcBorders>
            <w:gridSpan w:val="3"/>
          </w:tcPr>
          <w:p>
            <w:pPr>
              <w:jc w:val="right"/>
              <w:ind w:right="239"/>
              <w:spacing w:after="0"/>
              <w:rPr>
                <w:sz w:val="20"/>
                <w:szCs w:val="20"/>
                <w:color w:val="auto"/>
              </w:rPr>
            </w:pPr>
            <w:r>
              <w:rPr>
                <w:rFonts w:ascii="Arial" w:cs="Arial" w:eastAsia="Arial" w:hAnsi="Arial"/>
                <w:sz w:val="16"/>
                <w:szCs w:val="16"/>
                <w:i w:val="1"/>
                <w:iCs w:val="1"/>
                <w:color w:val="auto"/>
              </w:rPr>
              <w:t>September 30,</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96"/>
        </w:trPr>
        <w:tc>
          <w:tcPr>
            <w:tcW w:w="3740" w:type="dxa"/>
            <w:vAlign w:val="bottom"/>
            <w:tcBorders>
              <w:bottom w:val="single" w:sz="8" w:color="808080"/>
            </w:tcBorders>
          </w:tcPr>
          <w:p>
            <w:pPr>
              <w:spacing w:after="0"/>
              <w:rPr>
                <w:sz w:val="20"/>
                <w:szCs w:val="20"/>
                <w:color w:val="auto"/>
              </w:rPr>
            </w:pPr>
            <w:r>
              <w:rPr>
                <w:rFonts w:ascii="Arial" w:cs="Arial" w:eastAsia="Arial" w:hAnsi="Arial"/>
                <w:sz w:val="16"/>
                <w:szCs w:val="16"/>
                <w:i w:val="1"/>
                <w:iCs w:val="1"/>
                <w:color w:val="auto"/>
              </w:rPr>
              <w:t>Millions</w:t>
            </w:r>
          </w:p>
        </w:tc>
        <w:tc>
          <w:tcPr>
            <w:tcW w:w="260" w:type="dxa"/>
            <w:vAlign w:val="bottom"/>
            <w:tcBorders>
              <w:bottom w:val="single" w:sz="8" w:color="808080"/>
            </w:tcBorders>
          </w:tcPr>
          <w:p>
            <w:pPr>
              <w:spacing w:after="0"/>
              <w:rPr>
                <w:sz w:val="17"/>
                <w:szCs w:val="17"/>
                <w:color w:val="auto"/>
              </w:rPr>
            </w:pPr>
          </w:p>
        </w:tc>
        <w:tc>
          <w:tcPr>
            <w:tcW w:w="600" w:type="dxa"/>
            <w:vAlign w:val="bottom"/>
            <w:tcBorders>
              <w:bottom w:val="single" w:sz="8" w:color="808080"/>
            </w:tcBorders>
          </w:tcPr>
          <w:p>
            <w:pPr>
              <w:jc w:val="right"/>
              <w:spacing w:after="0"/>
              <w:rPr>
                <w:sz w:val="20"/>
                <w:szCs w:val="20"/>
                <w:color w:val="auto"/>
              </w:rPr>
            </w:pPr>
            <w:r>
              <w:rPr>
                <w:rFonts w:ascii="Arial" w:cs="Arial" w:eastAsia="Arial" w:hAnsi="Arial"/>
                <w:sz w:val="16"/>
                <w:szCs w:val="16"/>
                <w:b w:val="1"/>
                <w:bCs w:val="1"/>
                <w:i w:val="1"/>
                <w:iCs w:val="1"/>
                <w:color w:val="auto"/>
              </w:rPr>
              <w:t>2017</w:t>
            </w:r>
          </w:p>
        </w:tc>
        <w:tc>
          <w:tcPr>
            <w:tcW w:w="260" w:type="dxa"/>
            <w:vAlign w:val="bottom"/>
            <w:tcBorders>
              <w:bottom w:val="single" w:sz="8" w:color="808080"/>
            </w:tcBorders>
          </w:tcPr>
          <w:p>
            <w:pPr>
              <w:spacing w:after="0"/>
              <w:rPr>
                <w:sz w:val="17"/>
                <w:szCs w:val="17"/>
                <w:color w:val="auto"/>
              </w:rPr>
            </w:pPr>
          </w:p>
        </w:tc>
        <w:tc>
          <w:tcPr>
            <w:tcW w:w="540" w:type="dxa"/>
            <w:vAlign w:val="bottom"/>
            <w:tcBorders>
              <w:bottom w:val="single" w:sz="8" w:color="808080"/>
            </w:tcBorders>
          </w:tcPr>
          <w:p>
            <w:pPr>
              <w:jc w:val="right"/>
              <w:spacing w:after="0"/>
              <w:rPr>
                <w:sz w:val="20"/>
                <w:szCs w:val="20"/>
                <w:color w:val="auto"/>
              </w:rPr>
            </w:pPr>
            <w:r>
              <w:rPr>
                <w:rFonts w:ascii="Arial" w:cs="Arial" w:eastAsia="Arial" w:hAnsi="Arial"/>
                <w:sz w:val="16"/>
                <w:szCs w:val="16"/>
                <w:i w:val="1"/>
                <w:iCs w:val="1"/>
                <w:color w:val="auto"/>
              </w:rPr>
              <w:t>2016</w:t>
            </w:r>
          </w:p>
        </w:tc>
        <w:tc>
          <w:tcPr>
            <w:tcW w:w="1000" w:type="dxa"/>
            <w:vAlign w:val="bottom"/>
            <w:tcBorders>
              <w:bottom w:val="single" w:sz="8" w:color="808080"/>
            </w:tcBorders>
            <w:gridSpan w:val="3"/>
          </w:tcPr>
          <w:p>
            <w:pPr>
              <w:jc w:val="center"/>
              <w:spacing w:after="0"/>
              <w:rPr>
                <w:sz w:val="20"/>
                <w:szCs w:val="20"/>
                <w:color w:val="auto"/>
              </w:rPr>
            </w:pPr>
            <w:r>
              <w:rPr>
                <w:rFonts w:ascii="Arial" w:cs="Arial" w:eastAsia="Arial" w:hAnsi="Arial"/>
                <w:sz w:val="16"/>
                <w:szCs w:val="16"/>
                <w:b w:val="1"/>
                <w:bCs w:val="1"/>
                <w:i w:val="1"/>
                <w:iCs w:val="1"/>
                <w:color w:val="auto"/>
              </w:rPr>
              <w:t>Change</w:t>
            </w:r>
          </w:p>
        </w:tc>
        <w:tc>
          <w:tcPr>
            <w:tcW w:w="820" w:type="dxa"/>
            <w:vAlign w:val="bottom"/>
            <w:tcBorders>
              <w:bottom w:val="single" w:sz="8" w:color="808080"/>
            </w:tcBorders>
          </w:tcPr>
          <w:p>
            <w:pPr>
              <w:jc w:val="right"/>
              <w:spacing w:after="0"/>
              <w:rPr>
                <w:sz w:val="20"/>
                <w:szCs w:val="20"/>
                <w:color w:val="auto"/>
              </w:rPr>
            </w:pPr>
            <w:r>
              <w:rPr>
                <w:rFonts w:ascii="Arial" w:cs="Arial" w:eastAsia="Arial" w:hAnsi="Arial"/>
                <w:sz w:val="16"/>
                <w:szCs w:val="16"/>
                <w:b w:val="1"/>
                <w:bCs w:val="1"/>
                <w:i w:val="1"/>
                <w:iCs w:val="1"/>
                <w:color w:val="auto"/>
              </w:rPr>
              <w:t>2017</w:t>
            </w:r>
          </w:p>
        </w:tc>
        <w:tc>
          <w:tcPr>
            <w:tcW w:w="260" w:type="dxa"/>
            <w:vAlign w:val="bottom"/>
            <w:tcBorders>
              <w:bottom w:val="single" w:sz="8" w:color="808080"/>
            </w:tcBorders>
          </w:tcPr>
          <w:p>
            <w:pPr>
              <w:spacing w:after="0"/>
              <w:rPr>
                <w:sz w:val="17"/>
                <w:szCs w:val="17"/>
                <w:color w:val="auto"/>
              </w:rPr>
            </w:pPr>
          </w:p>
        </w:tc>
        <w:tc>
          <w:tcPr>
            <w:tcW w:w="620" w:type="dxa"/>
            <w:vAlign w:val="bottom"/>
            <w:tcBorders>
              <w:bottom w:val="single" w:sz="8" w:color="808080"/>
            </w:tcBorders>
          </w:tcPr>
          <w:p>
            <w:pPr>
              <w:jc w:val="right"/>
              <w:spacing w:after="0"/>
              <w:rPr>
                <w:sz w:val="20"/>
                <w:szCs w:val="20"/>
                <w:color w:val="auto"/>
              </w:rPr>
            </w:pPr>
            <w:r>
              <w:rPr>
                <w:rFonts w:ascii="Arial" w:cs="Arial" w:eastAsia="Arial" w:hAnsi="Arial"/>
                <w:sz w:val="16"/>
                <w:szCs w:val="16"/>
                <w:i w:val="1"/>
                <w:iCs w:val="1"/>
                <w:color w:val="auto"/>
              </w:rPr>
              <w:t>2016</w:t>
            </w:r>
          </w:p>
        </w:tc>
        <w:tc>
          <w:tcPr>
            <w:tcW w:w="720" w:type="dxa"/>
            <w:vAlign w:val="bottom"/>
            <w:tcBorders>
              <w:bottom w:val="single" w:sz="8" w:color="808080"/>
            </w:tcBorders>
            <w:gridSpan w:val="2"/>
          </w:tcPr>
          <w:p>
            <w:pPr>
              <w:jc w:val="right"/>
              <w:spacing w:after="0"/>
              <w:rPr>
                <w:sz w:val="20"/>
                <w:szCs w:val="20"/>
                <w:color w:val="auto"/>
              </w:rPr>
            </w:pPr>
            <w:r>
              <w:rPr>
                <w:rFonts w:ascii="Arial" w:cs="Arial" w:eastAsia="Arial" w:hAnsi="Arial"/>
                <w:sz w:val="16"/>
                <w:szCs w:val="16"/>
                <w:b w:val="1"/>
                <w:bCs w:val="1"/>
                <w:i w:val="1"/>
                <w:iCs w:val="1"/>
                <w:color w:val="auto"/>
              </w:rPr>
              <w:t>Change</w:t>
            </w:r>
          </w:p>
        </w:tc>
      </w:tr>
      <w:tr>
        <w:trPr>
          <w:trHeight w:val="203"/>
        </w:trPr>
        <w:tc>
          <w:tcPr>
            <w:tcW w:w="3740" w:type="dxa"/>
            <w:vAlign w:val="bottom"/>
            <w:shd w:val="clear" w:color="auto" w:fill="CCEEFF"/>
          </w:tcPr>
          <w:p>
            <w:pPr>
              <w:spacing w:after="0"/>
              <w:rPr>
                <w:sz w:val="20"/>
                <w:szCs w:val="20"/>
                <w:color w:val="auto"/>
              </w:rPr>
            </w:pPr>
            <w:r>
              <w:rPr>
                <w:rFonts w:ascii="Arial" w:cs="Arial" w:eastAsia="Arial" w:hAnsi="Arial"/>
                <w:sz w:val="16"/>
                <w:szCs w:val="16"/>
                <w:color w:val="auto"/>
              </w:rPr>
              <w:t>Freight revenues</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5,050</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4,837</w:t>
            </w:r>
          </w:p>
        </w:tc>
        <w:tc>
          <w:tcPr>
            <w:tcW w:w="620" w:type="dxa"/>
            <w:vAlign w:val="bottom"/>
            <w:shd w:val="clear" w:color="auto" w:fill="CCEEFF"/>
          </w:tcPr>
          <w:p>
            <w:pPr>
              <w:jc w:val="center"/>
              <w:ind w:left="339"/>
              <w:spacing w:after="0"/>
              <w:rPr>
                <w:sz w:val="20"/>
                <w:szCs w:val="20"/>
                <w:color w:val="auto"/>
              </w:rPr>
            </w:pPr>
            <w:r>
              <w:rPr>
                <w:rFonts w:ascii="Arial" w:cs="Arial" w:eastAsia="Arial" w:hAnsi="Arial"/>
                <w:sz w:val="16"/>
                <w:szCs w:val="16"/>
                <w:b w:val="1"/>
                <w:bCs w:val="1"/>
                <w:color w:val="auto"/>
                <w:w w:val="89"/>
              </w:rPr>
              <w:t>4</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$ 14,750</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13,769</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r>
      <w:tr>
        <w:trPr>
          <w:trHeight w:val="210"/>
        </w:trPr>
        <w:tc>
          <w:tcPr>
            <w:tcW w:w="374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Other revenues</w:t>
            </w:r>
          </w:p>
        </w:tc>
        <w:tc>
          <w:tcPr>
            <w:tcW w:w="260" w:type="dxa"/>
            <w:vAlign w:val="bottom"/>
            <w:tcBorders>
              <w:bottom w:val="single" w:sz="8" w:color="7F7F7F"/>
            </w:tcBorders>
          </w:tcPr>
          <w:p>
            <w:pPr>
              <w:spacing w:after="0"/>
              <w:rPr>
                <w:sz w:val="18"/>
                <w:szCs w:val="18"/>
                <w:color w:val="auto"/>
              </w:rPr>
            </w:pPr>
          </w:p>
        </w:tc>
        <w:tc>
          <w:tcPr>
            <w:tcW w:w="600" w:type="dxa"/>
            <w:vAlign w:val="bottom"/>
            <w:tcBorders>
              <w:bottom w:val="single" w:sz="8" w:color="7F7F7F"/>
            </w:tcBorders>
          </w:tcPr>
          <w:p>
            <w:pPr>
              <w:jc w:val="right"/>
              <w:spacing w:after="0"/>
              <w:rPr>
                <w:sz w:val="20"/>
                <w:szCs w:val="20"/>
                <w:color w:val="auto"/>
              </w:rPr>
            </w:pPr>
            <w:r>
              <w:rPr>
                <w:rFonts w:ascii="Arial" w:cs="Arial" w:eastAsia="Arial" w:hAnsi="Arial"/>
                <w:sz w:val="16"/>
                <w:szCs w:val="16"/>
                <w:b w:val="1"/>
                <w:bCs w:val="1"/>
                <w:color w:val="auto"/>
              </w:rPr>
              <w:t>358</w:t>
            </w:r>
          </w:p>
        </w:tc>
        <w:tc>
          <w:tcPr>
            <w:tcW w:w="260" w:type="dxa"/>
            <w:vAlign w:val="bottom"/>
            <w:tcBorders>
              <w:bottom w:val="single" w:sz="8" w:color="7F7F7F"/>
            </w:tcBorders>
          </w:tcPr>
          <w:p>
            <w:pPr>
              <w:spacing w:after="0"/>
              <w:rPr>
                <w:sz w:val="18"/>
                <w:szCs w:val="18"/>
                <w:color w:val="auto"/>
              </w:rPr>
            </w:pPr>
          </w:p>
        </w:tc>
        <w:tc>
          <w:tcPr>
            <w:tcW w:w="5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337</w:t>
            </w:r>
          </w:p>
        </w:tc>
        <w:tc>
          <w:tcPr>
            <w:tcW w:w="620" w:type="dxa"/>
            <w:vAlign w:val="bottom"/>
            <w:tcBorders>
              <w:bottom w:val="single" w:sz="8" w:color="7F7F7F"/>
            </w:tcBorders>
          </w:tcPr>
          <w:p>
            <w:pPr>
              <w:jc w:val="center"/>
              <w:ind w:left="339"/>
              <w:spacing w:after="0"/>
              <w:rPr>
                <w:sz w:val="20"/>
                <w:szCs w:val="20"/>
                <w:color w:val="auto"/>
              </w:rPr>
            </w:pPr>
            <w:r>
              <w:rPr>
                <w:rFonts w:ascii="Arial" w:cs="Arial" w:eastAsia="Arial" w:hAnsi="Arial"/>
                <w:sz w:val="16"/>
                <w:szCs w:val="16"/>
                <w:b w:val="1"/>
                <w:bCs w:val="1"/>
                <w:color w:val="auto"/>
                <w:w w:val="89"/>
              </w:rPr>
              <w:t>6</w:t>
            </w:r>
          </w:p>
        </w:tc>
        <w:tc>
          <w:tcPr>
            <w:tcW w:w="200" w:type="dxa"/>
            <w:vAlign w:val="bottom"/>
            <w:tcBorders>
              <w:bottom w:val="single" w:sz="8" w:color="7F7F7F"/>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820" w:type="dxa"/>
            <w:vAlign w:val="bottom"/>
            <w:tcBorders>
              <w:bottom w:val="single" w:sz="8" w:color="808080"/>
            </w:tcBorders>
          </w:tcPr>
          <w:p>
            <w:pPr>
              <w:jc w:val="right"/>
              <w:spacing w:after="0"/>
              <w:rPr>
                <w:sz w:val="20"/>
                <w:szCs w:val="20"/>
                <w:color w:val="auto"/>
              </w:rPr>
            </w:pPr>
            <w:r>
              <w:rPr>
                <w:rFonts w:ascii="Arial" w:cs="Arial" w:eastAsia="Arial" w:hAnsi="Arial"/>
                <w:sz w:val="16"/>
                <w:szCs w:val="16"/>
                <w:b w:val="1"/>
                <w:bCs w:val="1"/>
                <w:color w:val="auto"/>
              </w:rPr>
              <w:t>1,040</w:t>
            </w:r>
          </w:p>
        </w:tc>
        <w:tc>
          <w:tcPr>
            <w:tcW w:w="260" w:type="dxa"/>
            <w:vAlign w:val="bottom"/>
            <w:tcBorders>
              <w:bottom w:val="single" w:sz="8" w:color="808080"/>
            </w:tcBorders>
          </w:tcPr>
          <w:p>
            <w:pPr>
              <w:spacing w:after="0"/>
              <w:rPr>
                <w:sz w:val="18"/>
                <w:szCs w:val="18"/>
                <w:color w:val="auto"/>
              </w:rPr>
            </w:pPr>
          </w:p>
        </w:tc>
        <w:tc>
          <w:tcPr>
            <w:tcW w:w="62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1,004</w:t>
            </w:r>
          </w:p>
        </w:tc>
        <w:tc>
          <w:tcPr>
            <w:tcW w:w="540" w:type="dxa"/>
            <w:vAlign w:val="bottom"/>
            <w:tcBorders>
              <w:bottom w:val="single" w:sz="8" w:color="808080"/>
            </w:tcBorders>
          </w:tcPr>
          <w:p>
            <w:pPr>
              <w:jc w:val="right"/>
              <w:spacing w:after="0"/>
              <w:rPr>
                <w:sz w:val="20"/>
                <w:szCs w:val="20"/>
                <w:color w:val="auto"/>
              </w:rPr>
            </w:pPr>
            <w:r>
              <w:rPr>
                <w:rFonts w:ascii="Arial" w:cs="Arial" w:eastAsia="Arial" w:hAnsi="Arial"/>
                <w:sz w:val="16"/>
                <w:szCs w:val="16"/>
                <w:b w:val="1"/>
                <w:bCs w:val="1"/>
                <w:color w:val="auto"/>
              </w:rPr>
              <w:t>4</w:t>
            </w:r>
          </w:p>
        </w:tc>
        <w:tc>
          <w:tcPr>
            <w:tcW w:w="180" w:type="dxa"/>
            <w:vAlign w:val="bottom"/>
            <w:tcBorders>
              <w:bottom w:val="single" w:sz="8" w:color="808080"/>
            </w:tcBorders>
          </w:tcPr>
          <w:p>
            <w:pPr>
              <w:spacing w:after="0"/>
              <w:rPr>
                <w:sz w:val="18"/>
                <w:szCs w:val="18"/>
                <w:color w:val="auto"/>
              </w:rPr>
            </w:pPr>
          </w:p>
        </w:tc>
      </w:tr>
      <w:tr>
        <w:trPr>
          <w:trHeight w:val="264"/>
        </w:trPr>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5,408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5,174</w:t>
            </w:r>
          </w:p>
        </w:tc>
        <w:tc>
          <w:tcPr>
            <w:tcW w:w="620" w:type="dxa"/>
            <w:vAlign w:val="bottom"/>
            <w:tcBorders>
              <w:bottom w:val="single" w:sz="8" w:color="CCEEFF"/>
            </w:tcBorders>
            <w:shd w:val="clear" w:color="auto" w:fill="CCEEFF"/>
          </w:tcPr>
          <w:p>
            <w:pPr>
              <w:jc w:val="center"/>
              <w:ind w:left="339"/>
              <w:spacing w:after="0"/>
              <w:rPr>
                <w:sz w:val="20"/>
                <w:szCs w:val="20"/>
                <w:color w:val="auto"/>
              </w:rPr>
            </w:pPr>
            <w:r>
              <w:rPr>
                <w:rFonts w:ascii="Arial" w:cs="Arial" w:eastAsia="Arial" w:hAnsi="Arial"/>
                <w:sz w:val="16"/>
                <w:szCs w:val="16"/>
                <w:b w:val="1"/>
                <w:bCs w:val="1"/>
                <w:color w:val="auto"/>
                <w:w w:val="89"/>
              </w:rPr>
              <w:t>5</w:t>
            </w:r>
          </w:p>
        </w:tc>
        <w:tc>
          <w:tcPr>
            <w:tcW w:w="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$ 15,790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14,773</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r>
      <w:tr>
        <w:trPr>
          <w:trHeight w:val="54"/>
        </w:trPr>
        <w:tc>
          <w:tcPr>
            <w:tcW w:w="3740" w:type="dxa"/>
            <w:vAlign w:val="bottom"/>
            <w:shd w:val="clear" w:color="auto" w:fill="7F7F7F"/>
          </w:tcPr>
          <w:p>
            <w:pPr>
              <w:spacing w:after="0"/>
              <w:rPr>
                <w:sz w:val="4"/>
                <w:szCs w:val="4"/>
                <w:color w:val="auto"/>
              </w:rPr>
            </w:pPr>
          </w:p>
        </w:tc>
        <w:tc>
          <w:tcPr>
            <w:tcW w:w="260" w:type="dxa"/>
            <w:vAlign w:val="bottom"/>
            <w:shd w:val="clear" w:color="auto" w:fill="7F7F7F"/>
          </w:tcPr>
          <w:p>
            <w:pPr>
              <w:spacing w:after="0"/>
              <w:rPr>
                <w:sz w:val="4"/>
                <w:szCs w:val="4"/>
                <w:color w:val="auto"/>
              </w:rPr>
            </w:pPr>
          </w:p>
        </w:tc>
        <w:tc>
          <w:tcPr>
            <w:tcW w:w="600" w:type="dxa"/>
            <w:vAlign w:val="bottom"/>
            <w:shd w:val="clear" w:color="auto" w:fill="7F7F7F"/>
          </w:tcPr>
          <w:p>
            <w:pPr>
              <w:spacing w:after="0"/>
              <w:rPr>
                <w:sz w:val="4"/>
                <w:szCs w:val="4"/>
                <w:color w:val="auto"/>
              </w:rPr>
            </w:pPr>
          </w:p>
        </w:tc>
        <w:tc>
          <w:tcPr>
            <w:tcW w:w="260" w:type="dxa"/>
            <w:vAlign w:val="bottom"/>
            <w:shd w:val="clear" w:color="auto" w:fill="7F7F7F"/>
          </w:tcPr>
          <w:p>
            <w:pPr>
              <w:spacing w:after="0"/>
              <w:rPr>
                <w:sz w:val="4"/>
                <w:szCs w:val="4"/>
                <w:color w:val="auto"/>
              </w:rPr>
            </w:pPr>
          </w:p>
        </w:tc>
        <w:tc>
          <w:tcPr>
            <w:tcW w:w="540" w:type="dxa"/>
            <w:vAlign w:val="bottom"/>
            <w:shd w:val="clear" w:color="auto" w:fill="7F7F7F"/>
          </w:tcPr>
          <w:p>
            <w:pPr>
              <w:spacing w:after="0"/>
              <w:rPr>
                <w:sz w:val="4"/>
                <w:szCs w:val="4"/>
                <w:color w:val="auto"/>
              </w:rPr>
            </w:pPr>
          </w:p>
        </w:tc>
        <w:tc>
          <w:tcPr>
            <w:tcW w:w="620" w:type="dxa"/>
            <w:vAlign w:val="bottom"/>
            <w:shd w:val="clear" w:color="auto" w:fill="7F7F7F"/>
          </w:tcPr>
          <w:p>
            <w:pPr>
              <w:spacing w:after="0"/>
              <w:rPr>
                <w:sz w:val="4"/>
                <w:szCs w:val="4"/>
                <w:color w:val="auto"/>
              </w:rPr>
            </w:pPr>
          </w:p>
        </w:tc>
        <w:tc>
          <w:tcPr>
            <w:tcW w:w="200" w:type="dxa"/>
            <w:vAlign w:val="bottom"/>
            <w:shd w:val="clear" w:color="auto" w:fill="7F7F7F"/>
          </w:tcPr>
          <w:p>
            <w:pPr>
              <w:spacing w:after="0"/>
              <w:rPr>
                <w:sz w:val="4"/>
                <w:szCs w:val="4"/>
                <w:color w:val="auto"/>
              </w:rPr>
            </w:pPr>
          </w:p>
        </w:tc>
        <w:tc>
          <w:tcPr>
            <w:tcW w:w="180" w:type="dxa"/>
            <w:vAlign w:val="bottom"/>
            <w:shd w:val="clear" w:color="auto" w:fill="808080"/>
          </w:tcPr>
          <w:p>
            <w:pPr>
              <w:spacing w:after="0"/>
              <w:rPr>
                <w:sz w:val="4"/>
                <w:szCs w:val="4"/>
                <w:color w:val="auto"/>
              </w:rPr>
            </w:pPr>
          </w:p>
        </w:tc>
        <w:tc>
          <w:tcPr>
            <w:tcW w:w="820" w:type="dxa"/>
            <w:vAlign w:val="bottom"/>
            <w:shd w:val="clear" w:color="auto" w:fill="808080"/>
          </w:tcPr>
          <w:p>
            <w:pPr>
              <w:spacing w:after="0"/>
              <w:rPr>
                <w:sz w:val="4"/>
                <w:szCs w:val="4"/>
                <w:color w:val="auto"/>
              </w:rPr>
            </w:pPr>
          </w:p>
        </w:tc>
        <w:tc>
          <w:tcPr>
            <w:tcW w:w="260" w:type="dxa"/>
            <w:vAlign w:val="bottom"/>
            <w:shd w:val="clear" w:color="auto" w:fill="808080"/>
          </w:tcPr>
          <w:p>
            <w:pPr>
              <w:spacing w:after="0"/>
              <w:rPr>
                <w:sz w:val="4"/>
                <w:szCs w:val="4"/>
                <w:color w:val="auto"/>
              </w:rPr>
            </w:pPr>
          </w:p>
        </w:tc>
        <w:tc>
          <w:tcPr>
            <w:tcW w:w="620" w:type="dxa"/>
            <w:vAlign w:val="bottom"/>
            <w:shd w:val="clear" w:color="auto" w:fill="808080"/>
          </w:tcPr>
          <w:p>
            <w:pPr>
              <w:spacing w:after="0"/>
              <w:rPr>
                <w:sz w:val="4"/>
                <w:szCs w:val="4"/>
                <w:color w:val="auto"/>
              </w:rPr>
            </w:pPr>
          </w:p>
        </w:tc>
        <w:tc>
          <w:tcPr>
            <w:tcW w:w="540" w:type="dxa"/>
            <w:vAlign w:val="bottom"/>
            <w:shd w:val="clear" w:color="auto" w:fill="808080"/>
          </w:tcPr>
          <w:p>
            <w:pPr>
              <w:spacing w:after="0"/>
              <w:rPr>
                <w:sz w:val="4"/>
                <w:szCs w:val="4"/>
                <w:color w:val="auto"/>
              </w:rPr>
            </w:pPr>
          </w:p>
        </w:tc>
        <w:tc>
          <w:tcPr>
            <w:tcW w:w="180" w:type="dxa"/>
            <w:vAlign w:val="bottom"/>
            <w:shd w:val="clear" w:color="auto" w:fill="808080"/>
          </w:tcPr>
          <w:p>
            <w:pPr>
              <w:spacing w:after="0"/>
              <w:rPr>
                <w:sz w:val="4"/>
                <w:szCs w:val="4"/>
                <w:color w:val="auto"/>
              </w:rPr>
            </w:pPr>
          </w:p>
        </w:tc>
      </w:tr>
    </w:tbl>
    <w:p>
      <w:pPr>
        <w:spacing w:after="0" w:line="161" w:lineRule="exact"/>
        <w:rPr>
          <w:sz w:val="20"/>
          <w:szCs w:val="20"/>
          <w:color w:val="auto"/>
        </w:rPr>
      </w:pPr>
    </w:p>
    <w:p>
      <w:pPr>
        <w:jc w:val="both"/>
        <w:ind w:left="100" w:right="99"/>
        <w:spacing w:after="0" w:line="210" w:lineRule="auto"/>
        <w:rPr>
          <w:sz w:val="20"/>
          <w:szCs w:val="20"/>
          <w:color w:val="auto"/>
        </w:rPr>
      </w:pPr>
      <w:r>
        <w:rPr>
          <w:rFonts w:ascii="Arial" w:cs="Arial" w:eastAsia="Arial" w:hAnsi="Arial"/>
          <w:sz w:val="18"/>
          <w:szCs w:val="18"/>
          <w:color w:val="auto"/>
        </w:rPr>
        <w:t>We generate freight revenues by transporting freight or other materials from our six commodity groups. Freight revenues vary with volume (carloads) and ARC. Changes in price, traffic mix and fuel surcharges drive ARC. We provide some of our customers with contractual incentives for meeting or exceeding specified cumulative volumes or shipping to and from specific locations, which we record as reductions to freight revenues based on the actual or projected future shipments. We recognize freight revenues as shipments move from origin to destination. We allocate freight revenues between reporting periods based on the relative transit time in each reporting period and recognize expenses as we incur them.</w:t>
      </w:r>
    </w:p>
    <w:p>
      <w:pPr>
        <w:spacing w:after="0" w:line="137" w:lineRule="exact"/>
        <w:rPr>
          <w:sz w:val="20"/>
          <w:szCs w:val="20"/>
          <w:color w:val="auto"/>
        </w:rPr>
      </w:pPr>
    </w:p>
    <w:p>
      <w:pPr>
        <w:jc w:val="both"/>
        <w:ind w:left="100" w:right="99"/>
        <w:spacing w:after="0" w:line="215" w:lineRule="auto"/>
        <w:rPr>
          <w:sz w:val="20"/>
          <w:szCs w:val="20"/>
          <w:color w:val="auto"/>
        </w:rPr>
      </w:pPr>
      <w:r>
        <w:rPr>
          <w:rFonts w:ascii="Arial" w:cs="Arial" w:eastAsia="Arial" w:hAnsi="Arial"/>
          <w:sz w:val="18"/>
          <w:szCs w:val="18"/>
          <w:color w:val="auto"/>
        </w:rPr>
        <w:t>Other revenues include revenues earned by our subsidiaries, revenues from commuter rail operations that we manage, accessorial revenues, which we earn when customers retain equipment owned or controlled by us or when we perform additional services such as switching or storage, and miscellaneous contract revenue. We recognize other revenues as we perform services or meet contractual obligations.</w:t>
      </w:r>
    </w:p>
    <w:p>
      <w:pPr>
        <w:spacing w:after="0" w:line="136" w:lineRule="exact"/>
        <w:rPr>
          <w:sz w:val="20"/>
          <w:szCs w:val="20"/>
          <w:color w:val="auto"/>
        </w:rPr>
      </w:pPr>
    </w:p>
    <w:p>
      <w:pPr>
        <w:jc w:val="both"/>
        <w:ind w:left="100" w:right="99"/>
        <w:spacing w:after="0" w:line="215" w:lineRule="auto"/>
        <w:rPr>
          <w:sz w:val="20"/>
          <w:szCs w:val="20"/>
          <w:color w:val="auto"/>
        </w:rPr>
      </w:pPr>
      <w:r>
        <w:rPr>
          <w:rFonts w:ascii="Arial" w:cs="Arial" w:eastAsia="Arial" w:hAnsi="Arial"/>
          <w:sz w:val="18"/>
          <w:szCs w:val="18"/>
          <w:color w:val="auto"/>
        </w:rPr>
        <w:t>Freight revenues increased 4% during the third quarter of 2017 compared to 2016 resulting from mix of traffic, core pricing gains, and higher fuel surcharge revenue, which more than offset the 1% decline in volume levels. Year-to-date, freight revenues increased 7% compared to 2016 resulting from mix of traffic, volume growth, core pricing gains, and higher fuel surcharge revenue.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45085</wp:posOffset>
            </wp:positionV>
            <wp:extent cx="5642610" cy="51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5" w:name="page26"/>
    <w:bookmarkEnd w:id="25"/>
    <w:p>
      <w:pPr>
        <w:ind w:left="10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66" w:lineRule="exact"/>
        <w:rPr>
          <w:sz w:val="20"/>
          <w:szCs w:val="20"/>
          <w:color w:val="auto"/>
        </w:rPr>
      </w:pPr>
    </w:p>
    <w:p>
      <w:pPr>
        <w:jc w:val="both"/>
        <w:ind w:left="100" w:right="99"/>
        <w:spacing w:after="0" w:line="211" w:lineRule="auto"/>
        <w:rPr>
          <w:sz w:val="20"/>
          <w:szCs w:val="20"/>
          <w:color w:val="auto"/>
        </w:rPr>
      </w:pPr>
      <w:r>
        <w:rPr>
          <w:rFonts w:ascii="Arial" w:cs="Arial" w:eastAsia="Arial" w:hAnsi="Arial"/>
          <w:sz w:val="18"/>
          <w:szCs w:val="18"/>
          <w:color w:val="auto"/>
        </w:rPr>
        <w:t>Each of our commodity groups includes revenue from fuel surcharges. Freight revenues from fuel surcharge programs were $ 227 million and $673 million in the third quarter and year-to-date periods of 2017 compared to $173 million and $373 million in the same periods of 2016. Higher fuel surcharge revenue resulted from higher year-over-year fuel prices, partially offset by a lag headwind in fuel surcharge recovery due to the sequential increase in fuel price during the third quarter (it can generally take up to two months for changing fuel prices to affect fuel surcharge recoveries).</w:t>
      </w:r>
    </w:p>
    <w:p>
      <w:pPr>
        <w:spacing w:after="0" w:line="137" w:lineRule="exact"/>
        <w:rPr>
          <w:sz w:val="20"/>
          <w:szCs w:val="20"/>
          <w:color w:val="auto"/>
        </w:rPr>
      </w:pPr>
    </w:p>
    <w:p>
      <w:pPr>
        <w:jc w:val="both"/>
        <w:ind w:left="100" w:right="99"/>
        <w:spacing w:after="0" w:line="227" w:lineRule="auto"/>
        <w:rPr>
          <w:sz w:val="20"/>
          <w:szCs w:val="20"/>
          <w:color w:val="auto"/>
        </w:rPr>
      </w:pPr>
      <w:r>
        <w:rPr>
          <w:rFonts w:ascii="Arial" w:cs="Arial" w:eastAsia="Arial" w:hAnsi="Arial"/>
          <w:sz w:val="18"/>
          <w:szCs w:val="18"/>
          <w:color w:val="auto"/>
        </w:rPr>
        <w:t>Other revenues increased in the third quarter and year-to-date periods of 2017 compared to 2016 due to higher subsidiary revenues, primarily those that broker intermodal and automotive services.</w:t>
      </w:r>
    </w:p>
    <w:p>
      <w:pPr>
        <w:spacing w:after="0" w:line="135" w:lineRule="exact"/>
        <w:rPr>
          <w:sz w:val="20"/>
          <w:szCs w:val="20"/>
          <w:color w:val="auto"/>
        </w:rPr>
      </w:pPr>
    </w:p>
    <w:p>
      <w:pPr>
        <w:jc w:val="both"/>
        <w:ind w:left="100" w:right="99"/>
        <w:spacing w:after="0" w:line="227" w:lineRule="auto"/>
        <w:rPr>
          <w:sz w:val="20"/>
          <w:szCs w:val="20"/>
          <w:color w:val="auto"/>
        </w:rPr>
      </w:pPr>
      <w:r>
        <w:rPr>
          <w:rFonts w:ascii="Arial" w:cs="Arial" w:eastAsia="Arial" w:hAnsi="Arial"/>
          <w:sz w:val="18"/>
          <w:szCs w:val="18"/>
          <w:color w:val="auto"/>
        </w:rPr>
        <w:t>The following tables summarize the year-over-year changes in freight revenues, revenue carloads, and ARC by commodity type:</w:t>
      </w:r>
    </w:p>
    <w:p>
      <w:pPr>
        <w:spacing w:after="0" w:line="76" w:lineRule="exact"/>
        <w:rPr>
          <w:sz w:val="20"/>
          <w:szCs w:val="20"/>
          <w:color w:val="auto"/>
        </w:rPr>
      </w:pPr>
    </w:p>
    <w:tbl>
      <w:tblPr>
        <w:tblLayout w:type="fixed"/>
        <w:tblInd w:w="100" w:type="dxa"/>
        <w:tblCellMar>
          <w:top w:w="0" w:type="dxa"/>
          <w:left w:w="0" w:type="dxa"/>
          <w:bottom w:w="0" w:type="dxa"/>
          <w:right w:w="0" w:type="dxa"/>
        </w:tblCellMar>
      </w:tblPr>
      <w:tr>
        <w:trPr>
          <w:trHeight w:val="256"/>
        </w:trPr>
        <w:tc>
          <w:tcPr>
            <w:tcW w:w="3660" w:type="dxa"/>
            <w:vAlign w:val="bottom"/>
            <w:tcBorders>
              <w:top w:val="single" w:sz="8" w:color="808080"/>
            </w:tcBorders>
          </w:tcPr>
          <w:p>
            <w:pPr>
              <w:spacing w:after="0"/>
              <w:rPr>
                <w:sz w:val="22"/>
                <w:szCs w:val="22"/>
                <w:color w:val="auto"/>
              </w:rPr>
            </w:pPr>
          </w:p>
        </w:tc>
        <w:tc>
          <w:tcPr>
            <w:tcW w:w="1680" w:type="dxa"/>
            <w:vAlign w:val="bottom"/>
            <w:tcBorders>
              <w:top w:val="single" w:sz="8" w:color="808080"/>
            </w:tcBorders>
            <w:gridSpan w:val="6"/>
          </w:tcPr>
          <w:p>
            <w:pPr>
              <w:jc w:val="center"/>
              <w:ind w:right="80"/>
              <w:spacing w:after="0"/>
              <w:rPr>
                <w:sz w:val="20"/>
                <w:szCs w:val="20"/>
                <w:color w:val="auto"/>
              </w:rPr>
            </w:pPr>
            <w:r>
              <w:rPr>
                <w:rFonts w:ascii="Arial" w:cs="Arial" w:eastAsia="Arial" w:hAnsi="Arial"/>
                <w:sz w:val="16"/>
                <w:szCs w:val="16"/>
                <w:i w:val="1"/>
                <w:iCs w:val="1"/>
                <w:color w:val="auto"/>
              </w:rPr>
              <w:t>Three Months Ended</w:t>
            </w:r>
          </w:p>
        </w:tc>
        <w:tc>
          <w:tcPr>
            <w:tcW w:w="500" w:type="dxa"/>
            <w:vAlign w:val="bottom"/>
            <w:tcBorders>
              <w:top w:val="single" w:sz="8" w:color="808080"/>
            </w:tcBorders>
          </w:tcPr>
          <w:p>
            <w:pPr>
              <w:spacing w:after="0"/>
              <w:rPr>
                <w:sz w:val="22"/>
                <w:szCs w:val="22"/>
                <w:color w:val="auto"/>
              </w:rPr>
            </w:pPr>
          </w:p>
        </w:tc>
        <w:tc>
          <w:tcPr>
            <w:tcW w:w="160" w:type="dxa"/>
            <w:vAlign w:val="bottom"/>
            <w:tcBorders>
              <w:top w:val="single" w:sz="8" w:color="808080"/>
            </w:tcBorders>
          </w:tcPr>
          <w:p>
            <w:pPr>
              <w:spacing w:after="0"/>
              <w:rPr>
                <w:sz w:val="22"/>
                <w:szCs w:val="22"/>
                <w:color w:val="auto"/>
              </w:rPr>
            </w:pPr>
          </w:p>
        </w:tc>
        <w:tc>
          <w:tcPr>
            <w:tcW w:w="180" w:type="dxa"/>
            <w:vAlign w:val="bottom"/>
            <w:tcBorders>
              <w:top w:val="single" w:sz="8" w:color="808080"/>
            </w:tcBorders>
          </w:tcPr>
          <w:p>
            <w:pPr>
              <w:spacing w:after="0"/>
              <w:rPr>
                <w:sz w:val="22"/>
                <w:szCs w:val="22"/>
                <w:color w:val="auto"/>
              </w:rPr>
            </w:pPr>
          </w:p>
        </w:tc>
        <w:tc>
          <w:tcPr>
            <w:tcW w:w="140" w:type="dxa"/>
            <w:vAlign w:val="bottom"/>
            <w:tcBorders>
              <w:top w:val="single" w:sz="8" w:color="808080"/>
            </w:tcBorders>
          </w:tcPr>
          <w:p>
            <w:pPr>
              <w:spacing w:after="0"/>
              <w:rPr>
                <w:sz w:val="22"/>
                <w:szCs w:val="22"/>
                <w:color w:val="auto"/>
              </w:rPr>
            </w:pPr>
          </w:p>
        </w:tc>
        <w:tc>
          <w:tcPr>
            <w:tcW w:w="80" w:type="dxa"/>
            <w:vAlign w:val="bottom"/>
            <w:tcBorders>
              <w:top w:val="single" w:sz="8" w:color="808080"/>
            </w:tcBorders>
          </w:tcPr>
          <w:p>
            <w:pPr>
              <w:spacing w:after="0"/>
              <w:rPr>
                <w:sz w:val="22"/>
                <w:szCs w:val="22"/>
                <w:color w:val="auto"/>
              </w:rPr>
            </w:pPr>
          </w:p>
        </w:tc>
        <w:tc>
          <w:tcPr>
            <w:tcW w:w="1660" w:type="dxa"/>
            <w:vAlign w:val="bottom"/>
            <w:tcBorders>
              <w:top w:val="single" w:sz="8" w:color="808080"/>
            </w:tcBorders>
            <w:gridSpan w:val="3"/>
          </w:tcPr>
          <w:p>
            <w:pPr>
              <w:jc w:val="center"/>
              <w:ind w:right="119"/>
              <w:spacing w:after="0"/>
              <w:rPr>
                <w:sz w:val="20"/>
                <w:szCs w:val="20"/>
                <w:color w:val="auto"/>
              </w:rPr>
            </w:pPr>
            <w:r>
              <w:rPr>
                <w:rFonts w:ascii="Arial" w:cs="Arial" w:eastAsia="Arial" w:hAnsi="Arial"/>
                <w:sz w:val="16"/>
                <w:szCs w:val="16"/>
                <w:i w:val="1"/>
                <w:iCs w:val="1"/>
                <w:color w:val="auto"/>
              </w:rPr>
              <w:t>Nine Months Ended</w:t>
            </w:r>
          </w:p>
        </w:tc>
        <w:tc>
          <w:tcPr>
            <w:tcW w:w="600" w:type="dxa"/>
            <w:vAlign w:val="bottom"/>
            <w:tcBorders>
              <w:top w:val="single" w:sz="8" w:color="808080"/>
            </w:tcBorders>
          </w:tcPr>
          <w:p>
            <w:pPr>
              <w:spacing w:after="0"/>
              <w:rPr>
                <w:sz w:val="22"/>
                <w:szCs w:val="22"/>
                <w:color w:val="auto"/>
              </w:rPr>
            </w:pPr>
          </w:p>
        </w:tc>
        <w:tc>
          <w:tcPr>
            <w:tcW w:w="16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3660" w:type="dxa"/>
            <w:vAlign w:val="bottom"/>
          </w:tcPr>
          <w:p>
            <w:pPr>
              <w:spacing w:after="0"/>
              <w:rPr>
                <w:sz w:val="20"/>
                <w:szCs w:val="20"/>
                <w:color w:val="auto"/>
              </w:rPr>
            </w:pPr>
            <w:r>
              <w:rPr>
                <w:rFonts w:ascii="Arial" w:cs="Arial" w:eastAsia="Arial" w:hAnsi="Arial"/>
                <w:sz w:val="16"/>
                <w:szCs w:val="16"/>
                <w:b w:val="1"/>
                <w:bCs w:val="1"/>
                <w:i w:val="1"/>
                <w:iCs w:val="1"/>
                <w:color w:val="auto"/>
              </w:rPr>
              <w:t>Freight Revenues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4"/>
          </w:tcPr>
          <w:p>
            <w:pPr>
              <w:jc w:val="center"/>
              <w:ind w:right="300"/>
              <w:spacing w:after="0"/>
              <w:rPr>
                <w:sz w:val="20"/>
                <w:szCs w:val="20"/>
                <w:color w:val="auto"/>
              </w:rPr>
            </w:pPr>
            <w:r>
              <w:rPr>
                <w:rFonts w:ascii="Arial" w:cs="Arial" w:eastAsia="Arial" w:hAnsi="Arial"/>
                <w:sz w:val="16"/>
                <w:szCs w:val="16"/>
                <w:i w:val="1"/>
                <w:iCs w:val="1"/>
                <w:color w:val="auto"/>
              </w:rPr>
              <w:t>September 30,</w:t>
            </w:r>
          </w:p>
        </w:tc>
        <w:tc>
          <w:tcPr>
            <w:tcW w:w="840" w:type="dxa"/>
            <w:vAlign w:val="bottom"/>
            <w:gridSpan w:val="3"/>
            <w:vMerge w:val="restart"/>
          </w:tcPr>
          <w:p>
            <w:pPr>
              <w:jc w:val="right"/>
              <w:ind w:right="180"/>
              <w:spacing w:after="0"/>
              <w:rPr>
                <w:sz w:val="20"/>
                <w:szCs w:val="20"/>
                <w:color w:val="auto"/>
              </w:rPr>
            </w:pPr>
            <w:r>
              <w:rPr>
                <w:rFonts w:ascii="Arial" w:cs="Arial" w:eastAsia="Arial" w:hAnsi="Arial"/>
                <w:sz w:val="16"/>
                <w:szCs w:val="16"/>
                <w:b w:val="1"/>
                <w:bCs w:val="1"/>
                <w:i w:val="1"/>
                <w:iCs w:val="1"/>
                <w:color w:val="auto"/>
              </w:rPr>
              <w:t>Change</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3"/>
          </w:tcPr>
          <w:p>
            <w:pPr>
              <w:jc w:val="center"/>
              <w:ind w:right="119"/>
              <w:spacing w:after="0"/>
              <w:rPr>
                <w:sz w:val="20"/>
                <w:szCs w:val="20"/>
                <w:color w:val="auto"/>
              </w:rPr>
            </w:pPr>
            <w:r>
              <w:rPr>
                <w:rFonts w:ascii="Arial" w:cs="Arial" w:eastAsia="Arial" w:hAnsi="Arial"/>
                <w:sz w:val="16"/>
                <w:szCs w:val="16"/>
                <w:i w:val="1"/>
                <w:iCs w:val="1"/>
                <w:color w:val="auto"/>
              </w:rPr>
              <w:t>September 30,</w:t>
            </w:r>
          </w:p>
        </w:tc>
        <w:tc>
          <w:tcPr>
            <w:tcW w:w="760" w:type="dxa"/>
            <w:vAlign w:val="bottom"/>
            <w:gridSpan w:val="2"/>
            <w:vMerge w:val="restart"/>
          </w:tcPr>
          <w:p>
            <w:pPr>
              <w:jc w:val="right"/>
              <w:spacing w:after="0"/>
              <w:rPr>
                <w:sz w:val="20"/>
                <w:szCs w:val="20"/>
                <w:color w:val="auto"/>
              </w:rPr>
            </w:pPr>
            <w:r>
              <w:rPr>
                <w:rFonts w:ascii="Arial" w:cs="Arial" w:eastAsia="Arial" w:hAnsi="Arial"/>
                <w:sz w:val="16"/>
                <w:szCs w:val="16"/>
                <w:b w:val="1"/>
                <w:bCs w:val="1"/>
                <w:i w:val="1"/>
                <w:iCs w:val="1"/>
                <w:color w:val="auto"/>
              </w:rPr>
              <w:t>Change</w:t>
            </w:r>
          </w:p>
        </w:tc>
        <w:tc>
          <w:tcPr>
            <w:tcW w:w="0" w:type="dxa"/>
            <w:vAlign w:val="bottom"/>
          </w:tcPr>
          <w:p>
            <w:pPr>
              <w:spacing w:after="0"/>
              <w:rPr>
                <w:sz w:val="1"/>
                <w:szCs w:val="1"/>
                <w:color w:val="auto"/>
              </w:rPr>
            </w:pPr>
          </w:p>
        </w:tc>
      </w:tr>
      <w:tr>
        <w:trPr>
          <w:trHeight w:val="196"/>
        </w:trPr>
        <w:tc>
          <w:tcPr>
            <w:tcW w:w="3660" w:type="dxa"/>
            <w:vAlign w:val="bottom"/>
            <w:tcBorders>
              <w:bottom w:val="single" w:sz="8" w:color="808080"/>
            </w:tcBorders>
          </w:tcPr>
          <w:p>
            <w:pPr>
              <w:spacing w:after="0"/>
              <w:rPr>
                <w:sz w:val="20"/>
                <w:szCs w:val="20"/>
                <w:color w:val="auto"/>
              </w:rPr>
            </w:pPr>
            <w:r>
              <w:rPr>
                <w:rFonts w:ascii="Arial" w:cs="Arial" w:eastAsia="Arial" w:hAnsi="Arial"/>
                <w:sz w:val="16"/>
                <w:szCs w:val="16"/>
                <w:i w:val="1"/>
                <w:iCs w:val="1"/>
                <w:color w:val="auto"/>
              </w:rPr>
              <w:t>Millions</w:t>
            </w:r>
          </w:p>
        </w:tc>
        <w:tc>
          <w:tcPr>
            <w:tcW w:w="60" w:type="dxa"/>
            <w:vAlign w:val="bottom"/>
            <w:tcBorders>
              <w:top w:val="single" w:sz="8" w:color="808080"/>
              <w:bottom w:val="single" w:sz="8" w:color="808080"/>
            </w:tcBorders>
          </w:tcPr>
          <w:p>
            <w:pPr>
              <w:spacing w:after="0"/>
              <w:rPr>
                <w:sz w:val="17"/>
                <w:szCs w:val="17"/>
                <w:color w:val="auto"/>
              </w:rPr>
            </w:pPr>
          </w:p>
        </w:tc>
        <w:tc>
          <w:tcPr>
            <w:tcW w:w="160" w:type="dxa"/>
            <w:vAlign w:val="bottom"/>
            <w:tcBorders>
              <w:top w:val="single" w:sz="8" w:color="808080"/>
              <w:bottom w:val="single" w:sz="8" w:color="808080"/>
            </w:tcBorders>
          </w:tcPr>
          <w:p>
            <w:pPr>
              <w:spacing w:after="0"/>
              <w:rPr>
                <w:sz w:val="17"/>
                <w:szCs w:val="17"/>
                <w:color w:val="auto"/>
              </w:rPr>
            </w:pPr>
          </w:p>
        </w:tc>
        <w:tc>
          <w:tcPr>
            <w:tcW w:w="640" w:type="dxa"/>
            <w:vAlign w:val="bottom"/>
            <w:tcBorders>
              <w:top w:val="single" w:sz="8" w:color="808080"/>
              <w:bottom w:val="single" w:sz="8" w:color="808080"/>
            </w:tcBorders>
          </w:tcPr>
          <w:p>
            <w:pPr>
              <w:jc w:val="right"/>
              <w:ind w:right="19"/>
              <w:spacing w:after="0"/>
              <w:rPr>
                <w:sz w:val="20"/>
                <w:szCs w:val="20"/>
                <w:color w:val="auto"/>
              </w:rPr>
            </w:pPr>
            <w:r>
              <w:rPr>
                <w:rFonts w:ascii="Arial" w:cs="Arial" w:eastAsia="Arial" w:hAnsi="Arial"/>
                <w:sz w:val="16"/>
                <w:szCs w:val="16"/>
                <w:b w:val="1"/>
                <w:bCs w:val="1"/>
                <w:i w:val="1"/>
                <w:iCs w:val="1"/>
                <w:color w:val="auto"/>
              </w:rPr>
              <w:t>2017</w:t>
            </w:r>
          </w:p>
        </w:tc>
        <w:tc>
          <w:tcPr>
            <w:tcW w:w="220" w:type="dxa"/>
            <w:vAlign w:val="bottom"/>
            <w:tcBorders>
              <w:top w:val="single" w:sz="8" w:color="808080"/>
              <w:bottom w:val="single" w:sz="8" w:color="808080"/>
            </w:tcBorders>
          </w:tcPr>
          <w:p>
            <w:pPr>
              <w:spacing w:after="0"/>
              <w:rPr>
                <w:sz w:val="17"/>
                <w:szCs w:val="17"/>
                <w:color w:val="auto"/>
              </w:rPr>
            </w:pPr>
          </w:p>
        </w:tc>
        <w:tc>
          <w:tcPr>
            <w:tcW w:w="54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6"/>
                <w:szCs w:val="16"/>
                <w:i w:val="1"/>
                <w:iCs w:val="1"/>
                <w:color w:val="auto"/>
              </w:rPr>
              <w:t>2016</w:t>
            </w:r>
          </w:p>
        </w:tc>
        <w:tc>
          <w:tcPr>
            <w:tcW w:w="60" w:type="dxa"/>
            <w:vAlign w:val="bottom"/>
            <w:tcBorders>
              <w:bottom w:val="single" w:sz="8" w:color="808080"/>
            </w:tcBorders>
          </w:tcPr>
          <w:p>
            <w:pPr>
              <w:spacing w:after="0"/>
              <w:rPr>
                <w:sz w:val="17"/>
                <w:szCs w:val="17"/>
                <w:color w:val="auto"/>
              </w:rPr>
            </w:pPr>
          </w:p>
        </w:tc>
        <w:tc>
          <w:tcPr>
            <w:tcW w:w="840" w:type="dxa"/>
            <w:vAlign w:val="bottom"/>
            <w:tcBorders>
              <w:bottom w:val="single" w:sz="8" w:color="808080"/>
            </w:tcBorders>
            <w:gridSpan w:val="3"/>
            <w:vMerge w:val="continue"/>
          </w:tcPr>
          <w:p>
            <w:pPr>
              <w:spacing w:after="0"/>
              <w:rPr>
                <w:sz w:val="17"/>
                <w:szCs w:val="17"/>
                <w:color w:val="auto"/>
              </w:rPr>
            </w:pPr>
          </w:p>
        </w:tc>
        <w:tc>
          <w:tcPr>
            <w:tcW w:w="140" w:type="dxa"/>
            <w:vAlign w:val="bottom"/>
            <w:tcBorders>
              <w:top w:val="single" w:sz="8" w:color="808080"/>
              <w:bottom w:val="single" w:sz="8" w:color="808080"/>
            </w:tcBorders>
          </w:tcPr>
          <w:p>
            <w:pPr>
              <w:spacing w:after="0"/>
              <w:rPr>
                <w:sz w:val="17"/>
                <w:szCs w:val="17"/>
                <w:color w:val="auto"/>
              </w:rPr>
            </w:pPr>
          </w:p>
        </w:tc>
        <w:tc>
          <w:tcPr>
            <w:tcW w:w="80" w:type="dxa"/>
            <w:vAlign w:val="bottom"/>
            <w:tcBorders>
              <w:top w:val="single" w:sz="8" w:color="808080"/>
              <w:bottom w:val="single" w:sz="8" w:color="808080"/>
            </w:tcBorders>
          </w:tcPr>
          <w:p>
            <w:pPr>
              <w:spacing w:after="0"/>
              <w:rPr>
                <w:sz w:val="17"/>
                <w:szCs w:val="17"/>
                <w:color w:val="auto"/>
              </w:rPr>
            </w:pPr>
          </w:p>
        </w:tc>
        <w:tc>
          <w:tcPr>
            <w:tcW w:w="780" w:type="dxa"/>
            <w:vAlign w:val="bottom"/>
            <w:tcBorders>
              <w:top w:val="single" w:sz="8" w:color="808080"/>
              <w:bottom w:val="single" w:sz="8" w:color="808080"/>
            </w:tcBorders>
          </w:tcPr>
          <w:p>
            <w:pPr>
              <w:jc w:val="right"/>
              <w:ind w:right="19"/>
              <w:spacing w:after="0"/>
              <w:rPr>
                <w:sz w:val="20"/>
                <w:szCs w:val="20"/>
                <w:color w:val="auto"/>
              </w:rPr>
            </w:pPr>
            <w:r>
              <w:rPr>
                <w:rFonts w:ascii="Arial" w:cs="Arial" w:eastAsia="Arial" w:hAnsi="Arial"/>
                <w:sz w:val="16"/>
                <w:szCs w:val="16"/>
                <w:b w:val="1"/>
                <w:bCs w:val="1"/>
                <w:i w:val="1"/>
                <w:iCs w:val="1"/>
                <w:color w:val="auto"/>
              </w:rPr>
              <w:t>2017</w:t>
            </w:r>
          </w:p>
        </w:tc>
        <w:tc>
          <w:tcPr>
            <w:tcW w:w="240" w:type="dxa"/>
            <w:vAlign w:val="bottom"/>
            <w:tcBorders>
              <w:top w:val="single" w:sz="8" w:color="808080"/>
              <w:bottom w:val="single" w:sz="8" w:color="808080"/>
            </w:tcBorders>
          </w:tcPr>
          <w:p>
            <w:pPr>
              <w:spacing w:after="0"/>
              <w:rPr>
                <w:sz w:val="17"/>
                <w:szCs w:val="17"/>
                <w:color w:val="auto"/>
              </w:rPr>
            </w:pPr>
          </w:p>
        </w:tc>
        <w:tc>
          <w:tcPr>
            <w:tcW w:w="64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6"/>
                <w:szCs w:val="16"/>
                <w:i w:val="1"/>
                <w:iCs w:val="1"/>
                <w:color w:val="auto"/>
              </w:rPr>
              <w:t>2016</w:t>
            </w:r>
          </w:p>
        </w:tc>
        <w:tc>
          <w:tcPr>
            <w:tcW w:w="760" w:type="dxa"/>
            <w:vAlign w:val="bottom"/>
            <w:tcBorders>
              <w:bottom w:val="single" w:sz="8" w:color="808080"/>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spacing w:after="0"/>
              <w:rPr>
                <w:sz w:val="20"/>
                <w:szCs w:val="20"/>
                <w:color w:val="auto"/>
              </w:rPr>
            </w:pPr>
            <w:r>
              <w:rPr>
                <w:rFonts w:ascii="Arial" w:cs="Arial" w:eastAsia="Arial" w:hAnsi="Arial"/>
                <w:sz w:val="16"/>
                <w:szCs w:val="16"/>
                <w:color w:val="auto"/>
              </w:rPr>
              <w:t>Agricultural Products</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6"/>
                <w:szCs w:val="16"/>
                <w:b w:val="1"/>
                <w:bCs w:val="1"/>
                <w:color w:val="auto"/>
              </w:rPr>
              <w:t>$</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914</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937</w:t>
            </w:r>
          </w:p>
        </w:tc>
        <w:tc>
          <w:tcPr>
            <w:tcW w:w="6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(2) %</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2,763</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2,664</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w:t>
            </w:r>
          </w:p>
        </w:tc>
        <w:tc>
          <w:tcPr>
            <w:tcW w:w="0" w:type="dxa"/>
            <w:vAlign w:val="bottom"/>
          </w:tcPr>
          <w:p>
            <w:pPr>
              <w:spacing w:after="0"/>
              <w:rPr>
                <w:sz w:val="1"/>
                <w:szCs w:val="1"/>
                <w:color w:val="auto"/>
              </w:rPr>
            </w:pPr>
          </w:p>
        </w:tc>
      </w:tr>
      <w:tr>
        <w:trPr>
          <w:trHeight w:val="215"/>
        </w:trPr>
        <w:tc>
          <w:tcPr>
            <w:tcW w:w="3660" w:type="dxa"/>
            <w:vAlign w:val="bottom"/>
          </w:tcPr>
          <w:p>
            <w:pPr>
              <w:spacing w:after="0"/>
              <w:rPr>
                <w:sz w:val="20"/>
                <w:szCs w:val="20"/>
                <w:color w:val="auto"/>
              </w:rPr>
            </w:pPr>
            <w:r>
              <w:rPr>
                <w:rFonts w:ascii="Arial" w:cs="Arial" w:eastAsia="Arial" w:hAnsi="Arial"/>
                <w:sz w:val="16"/>
                <w:szCs w:val="16"/>
                <w:color w:val="auto"/>
              </w:rPr>
              <w:t>Automotive</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b w:val="1"/>
                <w:bCs w:val="1"/>
                <w:color w:val="auto"/>
              </w:rPr>
              <w:t>469</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485</w:t>
            </w: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1,486</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1,483</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60" w:type="dxa"/>
            <w:vAlign w:val="bottom"/>
            <w:shd w:val="clear" w:color="auto" w:fill="CCEEFF"/>
          </w:tcPr>
          <w:p>
            <w:pPr>
              <w:spacing w:after="0"/>
              <w:rPr>
                <w:sz w:val="20"/>
                <w:szCs w:val="20"/>
                <w:color w:val="auto"/>
              </w:rPr>
            </w:pPr>
            <w:r>
              <w:rPr>
                <w:rFonts w:ascii="Arial" w:cs="Arial" w:eastAsia="Arial" w:hAnsi="Arial"/>
                <w:sz w:val="16"/>
                <w:szCs w:val="16"/>
                <w:color w:val="auto"/>
              </w:rPr>
              <w:t>Chemicals</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896</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2,679</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2,617</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60" w:type="dxa"/>
            <w:vAlign w:val="bottom"/>
          </w:tcPr>
          <w:p>
            <w:pPr>
              <w:spacing w:after="0"/>
              <w:rPr>
                <w:sz w:val="20"/>
                <w:szCs w:val="20"/>
                <w:color w:val="auto"/>
              </w:rPr>
            </w:pPr>
            <w:r>
              <w:rPr>
                <w:rFonts w:ascii="Arial" w:cs="Arial" w:eastAsia="Arial" w:hAnsi="Arial"/>
                <w:sz w:val="16"/>
                <w:szCs w:val="16"/>
                <w:color w:val="auto"/>
              </w:rPr>
              <w:t>Coal</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b w:val="1"/>
                <w:bCs w:val="1"/>
                <w:color w:val="auto"/>
              </w:rPr>
              <w:t>711</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728</w:t>
            </w: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1,978</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1,741</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60" w:type="dxa"/>
            <w:vAlign w:val="bottom"/>
            <w:shd w:val="clear" w:color="auto" w:fill="CCEEFF"/>
          </w:tcPr>
          <w:p>
            <w:pPr>
              <w:spacing w:after="0"/>
              <w:rPr>
                <w:sz w:val="20"/>
                <w:szCs w:val="20"/>
                <w:color w:val="auto"/>
              </w:rPr>
            </w:pPr>
            <w:r>
              <w:rPr>
                <w:rFonts w:ascii="Arial" w:cs="Arial" w:eastAsia="Arial" w:hAnsi="Arial"/>
                <w:sz w:val="16"/>
                <w:szCs w:val="16"/>
                <w:color w:val="auto"/>
              </w:rPr>
              <w:t>Industrial Products</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1,079</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3,016</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2,519</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tcBorders>
              <w:bottom w:val="single" w:sz="8" w:color="808080"/>
            </w:tcBorders>
          </w:tcPr>
          <w:p>
            <w:pPr>
              <w:spacing w:after="0"/>
              <w:rPr>
                <w:sz w:val="20"/>
                <w:szCs w:val="20"/>
                <w:color w:val="auto"/>
              </w:rPr>
            </w:pPr>
            <w:r>
              <w:rPr>
                <w:rFonts w:ascii="Arial" w:cs="Arial" w:eastAsia="Arial" w:hAnsi="Arial"/>
                <w:sz w:val="16"/>
                <w:szCs w:val="16"/>
                <w:color w:val="auto"/>
              </w:rPr>
              <w:t>Intermodal</w:t>
            </w:r>
          </w:p>
        </w:tc>
        <w:tc>
          <w:tcPr>
            <w:tcW w:w="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jc w:val="right"/>
              <w:ind w:right="19"/>
              <w:spacing w:after="0"/>
              <w:rPr>
                <w:sz w:val="20"/>
                <w:szCs w:val="20"/>
                <w:color w:val="auto"/>
              </w:rPr>
            </w:pPr>
            <w:r>
              <w:rPr>
                <w:rFonts w:ascii="Arial" w:cs="Arial" w:eastAsia="Arial" w:hAnsi="Arial"/>
                <w:sz w:val="16"/>
                <w:szCs w:val="16"/>
                <w:b w:val="1"/>
                <w:bCs w:val="1"/>
                <w:color w:val="auto"/>
              </w:rPr>
              <w:t>981</w:t>
            </w:r>
          </w:p>
        </w:tc>
        <w:tc>
          <w:tcPr>
            <w:tcW w:w="220" w:type="dxa"/>
            <w:vAlign w:val="bottom"/>
            <w:tcBorders>
              <w:bottom w:val="single" w:sz="8" w:color="808080"/>
            </w:tcBorders>
          </w:tcPr>
          <w:p>
            <w:pPr>
              <w:spacing w:after="0"/>
              <w:rPr>
                <w:sz w:val="18"/>
                <w:szCs w:val="18"/>
                <w:color w:val="auto"/>
              </w:rPr>
            </w:pPr>
          </w:p>
        </w:tc>
        <w:tc>
          <w:tcPr>
            <w:tcW w:w="54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957</w:t>
            </w:r>
          </w:p>
        </w:tc>
        <w:tc>
          <w:tcPr>
            <w:tcW w:w="60" w:type="dxa"/>
            <w:vAlign w:val="bottom"/>
            <w:tcBorders>
              <w:bottom w:val="single" w:sz="8" w:color="808080"/>
            </w:tcBorders>
          </w:tcPr>
          <w:p>
            <w:pPr>
              <w:spacing w:after="0"/>
              <w:rPr>
                <w:sz w:val="18"/>
                <w:szCs w:val="18"/>
                <w:color w:val="auto"/>
              </w:rPr>
            </w:pPr>
          </w:p>
        </w:tc>
        <w:tc>
          <w:tcPr>
            <w:tcW w:w="500" w:type="dxa"/>
            <w:vAlign w:val="bottom"/>
            <w:tcBorders>
              <w:bottom w:val="single" w:sz="8" w:color="808080"/>
            </w:tcBorders>
          </w:tcPr>
          <w:p>
            <w:pPr>
              <w:jc w:val="right"/>
              <w:spacing w:after="0"/>
              <w:rPr>
                <w:sz w:val="20"/>
                <w:szCs w:val="20"/>
                <w:color w:val="auto"/>
              </w:rPr>
            </w:pPr>
            <w:r>
              <w:rPr>
                <w:rFonts w:ascii="Arial" w:cs="Arial" w:eastAsia="Arial" w:hAnsi="Arial"/>
                <w:sz w:val="16"/>
                <w:szCs w:val="16"/>
                <w:b w:val="1"/>
                <w:bCs w:val="1"/>
                <w:color w:val="auto"/>
              </w:rPr>
              <w:t>3</w:t>
            </w:r>
          </w:p>
        </w:tc>
        <w:tc>
          <w:tcPr>
            <w:tcW w:w="16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780" w:type="dxa"/>
            <w:vAlign w:val="bottom"/>
            <w:tcBorders>
              <w:bottom w:val="single" w:sz="8" w:color="808080"/>
            </w:tcBorders>
          </w:tcPr>
          <w:p>
            <w:pPr>
              <w:jc w:val="right"/>
              <w:ind w:right="19"/>
              <w:spacing w:after="0"/>
              <w:rPr>
                <w:sz w:val="20"/>
                <w:szCs w:val="20"/>
                <w:color w:val="auto"/>
              </w:rPr>
            </w:pPr>
            <w:r>
              <w:rPr>
                <w:rFonts w:ascii="Arial" w:cs="Arial" w:eastAsia="Arial" w:hAnsi="Arial"/>
                <w:sz w:val="16"/>
                <w:szCs w:val="16"/>
                <w:b w:val="1"/>
                <w:bCs w:val="1"/>
                <w:color w:val="auto"/>
              </w:rPr>
              <w:t>2,828</w:t>
            </w:r>
          </w:p>
        </w:tc>
        <w:tc>
          <w:tcPr>
            <w:tcW w:w="24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2,745</w:t>
            </w:r>
          </w:p>
        </w:tc>
        <w:tc>
          <w:tcPr>
            <w:tcW w:w="600" w:type="dxa"/>
            <w:vAlign w:val="bottom"/>
            <w:tcBorders>
              <w:bottom w:val="single" w:sz="8" w:color="808080"/>
            </w:tcBorders>
          </w:tcPr>
          <w:p>
            <w:pPr>
              <w:jc w:val="right"/>
              <w:spacing w:after="0"/>
              <w:rPr>
                <w:sz w:val="20"/>
                <w:szCs w:val="20"/>
                <w:color w:val="auto"/>
              </w:rPr>
            </w:pPr>
            <w:r>
              <w:rPr>
                <w:rFonts w:ascii="Arial" w:cs="Arial" w:eastAsia="Arial" w:hAnsi="Arial"/>
                <w:sz w:val="16"/>
                <w:szCs w:val="16"/>
                <w:b w:val="1"/>
                <w:bCs w:val="1"/>
                <w:color w:val="auto"/>
              </w:rPr>
              <w:t>3</w:t>
            </w:r>
          </w:p>
        </w:tc>
        <w:tc>
          <w:tcPr>
            <w:tcW w:w="16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5,050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4,837</w:t>
            </w:r>
          </w:p>
        </w:tc>
        <w:tc>
          <w:tcPr>
            <w:tcW w:w="6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c>
          <w:tcPr>
            <w:tcW w:w="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w w:val="98"/>
              </w:rPr>
              <w:t>%</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14,750</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13,769</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w:t>
            </w:r>
          </w:p>
        </w:tc>
        <w:tc>
          <w:tcPr>
            <w:tcW w:w="0" w:type="dxa"/>
            <w:vAlign w:val="bottom"/>
          </w:tcPr>
          <w:p>
            <w:pPr>
              <w:spacing w:after="0"/>
              <w:rPr>
                <w:sz w:val="1"/>
                <w:szCs w:val="1"/>
                <w:color w:val="auto"/>
              </w:rPr>
            </w:pPr>
          </w:p>
        </w:tc>
      </w:tr>
      <w:tr>
        <w:trPr>
          <w:trHeight w:val="331"/>
        </w:trPr>
        <w:tc>
          <w:tcPr>
            <w:tcW w:w="3660" w:type="dxa"/>
            <w:vAlign w:val="bottom"/>
            <w:tcBorders>
              <w:top w:val="single" w:sz="8" w:color="808080"/>
              <w:bottom w:val="single" w:sz="8" w:color="808080"/>
            </w:tcBorders>
          </w:tcPr>
          <w:p>
            <w:pPr>
              <w:spacing w:after="0"/>
              <w:rPr>
                <w:sz w:val="24"/>
                <w:szCs w:val="24"/>
                <w:color w:val="auto"/>
              </w:rPr>
            </w:pPr>
          </w:p>
        </w:tc>
        <w:tc>
          <w:tcPr>
            <w:tcW w:w="60" w:type="dxa"/>
            <w:vAlign w:val="bottom"/>
            <w:tcBorders>
              <w:top w:val="single" w:sz="8" w:color="808080"/>
              <w:bottom w:val="single" w:sz="8" w:color="808080"/>
            </w:tcBorders>
          </w:tcPr>
          <w:p>
            <w:pPr>
              <w:spacing w:after="0"/>
              <w:rPr>
                <w:sz w:val="24"/>
                <w:szCs w:val="24"/>
                <w:color w:val="auto"/>
              </w:rPr>
            </w:pPr>
          </w:p>
        </w:tc>
        <w:tc>
          <w:tcPr>
            <w:tcW w:w="1620" w:type="dxa"/>
            <w:vAlign w:val="bottom"/>
            <w:tcBorders>
              <w:top w:val="single" w:sz="8" w:color="808080"/>
              <w:bottom w:val="single" w:sz="8" w:color="808080"/>
            </w:tcBorders>
            <w:gridSpan w:val="5"/>
          </w:tcPr>
          <w:p>
            <w:pPr>
              <w:spacing w:after="0"/>
              <w:rPr>
                <w:sz w:val="24"/>
                <w:szCs w:val="24"/>
                <w:color w:val="auto"/>
              </w:rPr>
            </w:pPr>
          </w:p>
        </w:tc>
        <w:tc>
          <w:tcPr>
            <w:tcW w:w="500" w:type="dxa"/>
            <w:vAlign w:val="bottom"/>
            <w:tcBorders>
              <w:top w:val="single" w:sz="8" w:color="808080"/>
              <w:bottom w:val="single" w:sz="8" w:color="808080"/>
            </w:tcBorders>
          </w:tcPr>
          <w:p>
            <w:pPr>
              <w:spacing w:after="0"/>
              <w:rPr>
                <w:sz w:val="24"/>
                <w:szCs w:val="24"/>
                <w:color w:val="auto"/>
              </w:rPr>
            </w:pPr>
          </w:p>
        </w:tc>
        <w:tc>
          <w:tcPr>
            <w:tcW w:w="160" w:type="dxa"/>
            <w:vAlign w:val="bottom"/>
            <w:tcBorders>
              <w:top w:val="single" w:sz="8" w:color="808080"/>
              <w:bottom w:val="single" w:sz="8" w:color="808080"/>
            </w:tcBorders>
          </w:tcPr>
          <w:p>
            <w:pPr>
              <w:spacing w:after="0"/>
              <w:rPr>
                <w:sz w:val="24"/>
                <w:szCs w:val="24"/>
                <w:color w:val="auto"/>
              </w:rPr>
            </w:pPr>
          </w:p>
        </w:tc>
        <w:tc>
          <w:tcPr>
            <w:tcW w:w="180" w:type="dxa"/>
            <w:vAlign w:val="bottom"/>
            <w:tcBorders>
              <w:top w:val="single" w:sz="8" w:color="808080"/>
              <w:bottom w:val="single" w:sz="8" w:color="808080"/>
            </w:tcBorders>
          </w:tcPr>
          <w:p>
            <w:pPr>
              <w:spacing w:after="0"/>
              <w:rPr>
                <w:sz w:val="24"/>
                <w:szCs w:val="24"/>
                <w:color w:val="auto"/>
              </w:rPr>
            </w:pPr>
          </w:p>
        </w:tc>
        <w:tc>
          <w:tcPr>
            <w:tcW w:w="140" w:type="dxa"/>
            <w:vAlign w:val="bottom"/>
            <w:tcBorders>
              <w:top w:val="single" w:sz="8" w:color="808080"/>
              <w:bottom w:val="single" w:sz="8" w:color="808080"/>
            </w:tcBorders>
          </w:tcPr>
          <w:p>
            <w:pPr>
              <w:spacing w:after="0"/>
              <w:rPr>
                <w:sz w:val="24"/>
                <w:szCs w:val="24"/>
                <w:color w:val="auto"/>
              </w:rPr>
            </w:pPr>
          </w:p>
        </w:tc>
        <w:tc>
          <w:tcPr>
            <w:tcW w:w="80" w:type="dxa"/>
            <w:vAlign w:val="bottom"/>
            <w:tcBorders>
              <w:top w:val="single" w:sz="8" w:color="808080"/>
              <w:bottom w:val="single" w:sz="8" w:color="808080"/>
            </w:tcBorders>
          </w:tcPr>
          <w:p>
            <w:pPr>
              <w:spacing w:after="0"/>
              <w:rPr>
                <w:sz w:val="24"/>
                <w:szCs w:val="24"/>
                <w:color w:val="auto"/>
              </w:rPr>
            </w:pPr>
          </w:p>
        </w:tc>
        <w:tc>
          <w:tcPr>
            <w:tcW w:w="1660" w:type="dxa"/>
            <w:vAlign w:val="bottom"/>
            <w:tcBorders>
              <w:top w:val="single" w:sz="8" w:color="808080"/>
              <w:bottom w:val="single" w:sz="8" w:color="808080"/>
            </w:tcBorders>
            <w:gridSpan w:val="3"/>
          </w:tcPr>
          <w:p>
            <w:pPr>
              <w:spacing w:after="0"/>
              <w:rPr>
                <w:sz w:val="24"/>
                <w:szCs w:val="24"/>
                <w:color w:val="auto"/>
              </w:rPr>
            </w:pPr>
          </w:p>
        </w:tc>
        <w:tc>
          <w:tcPr>
            <w:tcW w:w="600" w:type="dxa"/>
            <w:vAlign w:val="bottom"/>
            <w:tcBorders>
              <w:top w:val="single" w:sz="8" w:color="808080"/>
              <w:bottom w:val="single" w:sz="8" w:color="808080"/>
            </w:tcBorders>
          </w:tcPr>
          <w:p>
            <w:pPr>
              <w:spacing w:after="0"/>
              <w:rPr>
                <w:sz w:val="24"/>
                <w:szCs w:val="24"/>
                <w:color w:val="auto"/>
              </w:rPr>
            </w:pPr>
          </w:p>
        </w:tc>
        <w:tc>
          <w:tcPr>
            <w:tcW w:w="160" w:type="dxa"/>
            <w:vAlign w:val="bottom"/>
            <w:tcBorders>
              <w:top w:val="single" w:sz="8" w:color="808080"/>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20" w:type="dxa"/>
            <w:vAlign w:val="bottom"/>
            <w:gridSpan w:val="5"/>
          </w:tcPr>
          <w:p>
            <w:pPr>
              <w:ind w:left="60"/>
              <w:spacing w:after="0"/>
              <w:rPr>
                <w:sz w:val="20"/>
                <w:szCs w:val="20"/>
                <w:color w:val="auto"/>
              </w:rPr>
            </w:pPr>
            <w:r>
              <w:rPr>
                <w:rFonts w:ascii="Arial" w:cs="Arial" w:eastAsia="Arial" w:hAnsi="Arial"/>
                <w:sz w:val="16"/>
                <w:szCs w:val="16"/>
                <w:i w:val="1"/>
                <w:iCs w:val="1"/>
                <w:color w:val="auto"/>
              </w:rPr>
              <w:t>Three Months Ended</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3"/>
          </w:tcPr>
          <w:p>
            <w:pPr>
              <w:jc w:val="right"/>
              <w:ind w:right="79"/>
              <w:spacing w:after="0"/>
              <w:rPr>
                <w:sz w:val="20"/>
                <w:szCs w:val="20"/>
                <w:color w:val="auto"/>
              </w:rPr>
            </w:pPr>
            <w:r>
              <w:rPr>
                <w:rFonts w:ascii="Arial" w:cs="Arial" w:eastAsia="Arial" w:hAnsi="Arial"/>
                <w:sz w:val="16"/>
                <w:szCs w:val="16"/>
                <w:i w:val="1"/>
                <w:iCs w:val="1"/>
                <w:color w:val="auto"/>
              </w:rPr>
              <w:t>Nine Months Ended</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660" w:type="dxa"/>
            <w:vAlign w:val="bottom"/>
          </w:tcPr>
          <w:p>
            <w:pPr>
              <w:spacing w:after="0"/>
              <w:rPr>
                <w:sz w:val="20"/>
                <w:szCs w:val="20"/>
                <w:color w:val="auto"/>
              </w:rPr>
            </w:pPr>
            <w:r>
              <w:rPr>
                <w:rFonts w:ascii="Arial" w:cs="Arial" w:eastAsia="Arial" w:hAnsi="Arial"/>
                <w:sz w:val="16"/>
                <w:szCs w:val="16"/>
                <w:b w:val="1"/>
                <w:bCs w:val="1"/>
                <w:i w:val="1"/>
                <w:iCs w:val="1"/>
                <w:color w:val="auto"/>
              </w:rPr>
              <w:t>Revenue Carloads</w:t>
            </w:r>
          </w:p>
        </w:tc>
        <w:tc>
          <w:tcPr>
            <w:tcW w:w="60" w:type="dxa"/>
            <w:vAlign w:val="bottom"/>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1460" w:type="dxa"/>
            <w:vAlign w:val="bottom"/>
            <w:tcBorders>
              <w:bottom w:val="single" w:sz="8" w:color="808080"/>
            </w:tcBorders>
            <w:gridSpan w:val="4"/>
          </w:tcPr>
          <w:p>
            <w:pPr>
              <w:jc w:val="right"/>
              <w:ind w:right="280"/>
              <w:spacing w:after="0"/>
              <w:rPr>
                <w:sz w:val="20"/>
                <w:szCs w:val="20"/>
                <w:color w:val="auto"/>
              </w:rPr>
            </w:pPr>
            <w:r>
              <w:rPr>
                <w:rFonts w:ascii="Arial" w:cs="Arial" w:eastAsia="Arial" w:hAnsi="Arial"/>
                <w:sz w:val="16"/>
                <w:szCs w:val="16"/>
                <w:i w:val="1"/>
                <w:iCs w:val="1"/>
                <w:color w:val="auto"/>
              </w:rPr>
              <w:t>September 30,</w:t>
            </w:r>
          </w:p>
        </w:tc>
        <w:tc>
          <w:tcPr>
            <w:tcW w:w="840" w:type="dxa"/>
            <w:vAlign w:val="bottom"/>
            <w:gridSpan w:val="3"/>
            <w:vMerge w:val="restart"/>
          </w:tcPr>
          <w:p>
            <w:pPr>
              <w:jc w:val="right"/>
              <w:ind w:right="60"/>
              <w:spacing w:after="0"/>
              <w:rPr>
                <w:sz w:val="20"/>
                <w:szCs w:val="20"/>
                <w:color w:val="auto"/>
              </w:rPr>
            </w:pPr>
            <w:r>
              <w:rPr>
                <w:rFonts w:ascii="Arial" w:cs="Arial" w:eastAsia="Arial" w:hAnsi="Arial"/>
                <w:sz w:val="16"/>
                <w:szCs w:val="16"/>
                <w:b w:val="1"/>
                <w:bCs w:val="1"/>
                <w:i w:val="1"/>
                <w:iCs w:val="1"/>
                <w:color w:val="auto"/>
              </w:rPr>
              <w:t>Change</w:t>
            </w:r>
          </w:p>
        </w:tc>
        <w:tc>
          <w:tcPr>
            <w:tcW w:w="140" w:type="dxa"/>
            <w:vAlign w:val="bottom"/>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1660" w:type="dxa"/>
            <w:vAlign w:val="bottom"/>
            <w:tcBorders>
              <w:bottom w:val="single" w:sz="8" w:color="808080"/>
            </w:tcBorders>
            <w:gridSpan w:val="3"/>
          </w:tcPr>
          <w:p>
            <w:pPr>
              <w:jc w:val="right"/>
              <w:ind w:right="259"/>
              <w:spacing w:after="0"/>
              <w:rPr>
                <w:sz w:val="20"/>
                <w:szCs w:val="20"/>
                <w:color w:val="auto"/>
              </w:rPr>
            </w:pPr>
            <w:r>
              <w:rPr>
                <w:rFonts w:ascii="Arial" w:cs="Arial" w:eastAsia="Arial" w:hAnsi="Arial"/>
                <w:sz w:val="16"/>
                <w:szCs w:val="16"/>
                <w:i w:val="1"/>
                <w:iCs w:val="1"/>
                <w:color w:val="auto"/>
              </w:rPr>
              <w:t>September 30,</w:t>
            </w:r>
          </w:p>
        </w:tc>
        <w:tc>
          <w:tcPr>
            <w:tcW w:w="760" w:type="dxa"/>
            <w:vAlign w:val="bottom"/>
            <w:gridSpan w:val="2"/>
            <w:vMerge w:val="restart"/>
          </w:tcPr>
          <w:p>
            <w:pPr>
              <w:jc w:val="right"/>
              <w:spacing w:after="0"/>
              <w:rPr>
                <w:sz w:val="20"/>
                <w:szCs w:val="20"/>
                <w:color w:val="auto"/>
              </w:rPr>
            </w:pPr>
            <w:r>
              <w:rPr>
                <w:rFonts w:ascii="Arial" w:cs="Arial" w:eastAsia="Arial" w:hAnsi="Arial"/>
                <w:sz w:val="16"/>
                <w:szCs w:val="16"/>
                <w:b w:val="1"/>
                <w:bCs w:val="1"/>
                <w:i w:val="1"/>
                <w:iCs w:val="1"/>
                <w:color w:val="auto"/>
              </w:rPr>
              <w:t>Change</w:t>
            </w:r>
          </w:p>
        </w:tc>
        <w:tc>
          <w:tcPr>
            <w:tcW w:w="0" w:type="dxa"/>
            <w:vAlign w:val="bottom"/>
          </w:tcPr>
          <w:p>
            <w:pPr>
              <w:spacing w:after="0"/>
              <w:rPr>
                <w:sz w:val="1"/>
                <w:szCs w:val="1"/>
                <w:color w:val="auto"/>
              </w:rPr>
            </w:pPr>
          </w:p>
        </w:tc>
      </w:tr>
      <w:tr>
        <w:trPr>
          <w:trHeight w:val="196"/>
        </w:trPr>
        <w:tc>
          <w:tcPr>
            <w:tcW w:w="3660" w:type="dxa"/>
            <w:vAlign w:val="bottom"/>
            <w:tcBorders>
              <w:bottom w:val="single" w:sz="8" w:color="808080"/>
            </w:tcBorders>
          </w:tcPr>
          <w:p>
            <w:pPr>
              <w:spacing w:after="0"/>
              <w:rPr>
                <w:sz w:val="20"/>
                <w:szCs w:val="20"/>
                <w:color w:val="auto"/>
              </w:rPr>
            </w:pPr>
            <w:r>
              <w:rPr>
                <w:rFonts w:ascii="Arial" w:cs="Arial" w:eastAsia="Arial" w:hAnsi="Arial"/>
                <w:sz w:val="16"/>
                <w:szCs w:val="16"/>
                <w:i w:val="1"/>
                <w:iCs w:val="1"/>
                <w:color w:val="auto"/>
              </w:rPr>
              <w:t>Thousands,</w:t>
            </w:r>
          </w:p>
        </w:tc>
        <w:tc>
          <w:tcPr>
            <w:tcW w:w="6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640" w:type="dxa"/>
            <w:vAlign w:val="bottom"/>
            <w:tcBorders>
              <w:bottom w:val="single" w:sz="8" w:color="808080"/>
            </w:tcBorders>
          </w:tcPr>
          <w:p>
            <w:pPr>
              <w:jc w:val="right"/>
              <w:spacing w:after="0"/>
              <w:rPr>
                <w:sz w:val="20"/>
                <w:szCs w:val="20"/>
                <w:color w:val="auto"/>
              </w:rPr>
            </w:pPr>
            <w:r>
              <w:rPr>
                <w:rFonts w:ascii="Arial" w:cs="Arial" w:eastAsia="Arial" w:hAnsi="Arial"/>
                <w:sz w:val="16"/>
                <w:szCs w:val="16"/>
                <w:b w:val="1"/>
                <w:bCs w:val="1"/>
                <w:i w:val="1"/>
                <w:iCs w:val="1"/>
                <w:color w:val="auto"/>
              </w:rPr>
              <w:t>2017</w:t>
            </w:r>
          </w:p>
        </w:tc>
        <w:tc>
          <w:tcPr>
            <w:tcW w:w="220" w:type="dxa"/>
            <w:vAlign w:val="bottom"/>
            <w:tcBorders>
              <w:bottom w:val="single" w:sz="8" w:color="808080"/>
            </w:tcBorders>
          </w:tcPr>
          <w:p>
            <w:pPr>
              <w:spacing w:after="0"/>
              <w:rPr>
                <w:sz w:val="17"/>
                <w:szCs w:val="17"/>
                <w:color w:val="auto"/>
              </w:rPr>
            </w:pPr>
          </w:p>
        </w:tc>
        <w:tc>
          <w:tcPr>
            <w:tcW w:w="600" w:type="dxa"/>
            <w:vAlign w:val="bottom"/>
            <w:tcBorders>
              <w:bottom w:val="single" w:sz="8" w:color="808080"/>
            </w:tcBorders>
            <w:gridSpan w:val="2"/>
          </w:tcPr>
          <w:p>
            <w:pPr>
              <w:jc w:val="right"/>
              <w:ind w:right="40"/>
              <w:spacing w:after="0"/>
              <w:rPr>
                <w:sz w:val="20"/>
                <w:szCs w:val="20"/>
                <w:color w:val="auto"/>
              </w:rPr>
            </w:pPr>
            <w:r>
              <w:rPr>
                <w:rFonts w:ascii="Arial" w:cs="Arial" w:eastAsia="Arial" w:hAnsi="Arial"/>
                <w:sz w:val="16"/>
                <w:szCs w:val="16"/>
                <w:i w:val="1"/>
                <w:iCs w:val="1"/>
                <w:color w:val="auto"/>
              </w:rPr>
              <w:t>2016</w:t>
            </w:r>
          </w:p>
        </w:tc>
        <w:tc>
          <w:tcPr>
            <w:tcW w:w="840" w:type="dxa"/>
            <w:vAlign w:val="bottom"/>
            <w:tcBorders>
              <w:bottom w:val="single" w:sz="8" w:color="808080"/>
            </w:tcBorders>
            <w:gridSpan w:val="3"/>
            <w:vMerge w:val="continue"/>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jc w:val="right"/>
              <w:spacing w:after="0"/>
              <w:rPr>
                <w:sz w:val="20"/>
                <w:szCs w:val="20"/>
                <w:color w:val="auto"/>
              </w:rPr>
            </w:pPr>
            <w:r>
              <w:rPr>
                <w:rFonts w:ascii="Arial" w:cs="Arial" w:eastAsia="Arial" w:hAnsi="Arial"/>
                <w:sz w:val="16"/>
                <w:szCs w:val="16"/>
                <w:b w:val="1"/>
                <w:bCs w:val="1"/>
                <w:i w:val="1"/>
                <w:iCs w:val="1"/>
                <w:color w:val="auto"/>
              </w:rPr>
              <w:t>2017</w:t>
            </w:r>
          </w:p>
        </w:tc>
        <w:tc>
          <w:tcPr>
            <w:tcW w:w="240" w:type="dxa"/>
            <w:vAlign w:val="bottom"/>
            <w:tcBorders>
              <w:bottom w:val="single" w:sz="8" w:color="808080"/>
            </w:tcBorders>
          </w:tcPr>
          <w:p>
            <w:pPr>
              <w:spacing w:after="0"/>
              <w:rPr>
                <w:sz w:val="17"/>
                <w:szCs w:val="17"/>
                <w:color w:val="auto"/>
              </w:rPr>
            </w:pPr>
          </w:p>
        </w:tc>
        <w:tc>
          <w:tcPr>
            <w:tcW w:w="640" w:type="dxa"/>
            <w:vAlign w:val="bottom"/>
            <w:tcBorders>
              <w:bottom w:val="single" w:sz="8" w:color="808080"/>
            </w:tcBorders>
          </w:tcPr>
          <w:p>
            <w:pPr>
              <w:jc w:val="right"/>
              <w:spacing w:after="0"/>
              <w:rPr>
                <w:sz w:val="20"/>
                <w:szCs w:val="20"/>
                <w:color w:val="auto"/>
              </w:rPr>
            </w:pPr>
            <w:r>
              <w:rPr>
                <w:rFonts w:ascii="Arial" w:cs="Arial" w:eastAsia="Arial" w:hAnsi="Arial"/>
                <w:sz w:val="16"/>
                <w:szCs w:val="16"/>
                <w:i w:val="1"/>
                <w:iCs w:val="1"/>
                <w:color w:val="auto"/>
              </w:rPr>
              <w:t>2016</w:t>
            </w:r>
          </w:p>
        </w:tc>
        <w:tc>
          <w:tcPr>
            <w:tcW w:w="760" w:type="dxa"/>
            <w:vAlign w:val="bottom"/>
            <w:tcBorders>
              <w:bottom w:val="single" w:sz="8" w:color="808080"/>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spacing w:after="0"/>
              <w:rPr>
                <w:sz w:val="20"/>
                <w:szCs w:val="20"/>
                <w:color w:val="auto"/>
              </w:rPr>
            </w:pPr>
            <w:r>
              <w:rPr>
                <w:rFonts w:ascii="Arial" w:cs="Arial" w:eastAsia="Arial" w:hAnsi="Arial"/>
                <w:sz w:val="16"/>
                <w:szCs w:val="16"/>
                <w:color w:val="auto"/>
              </w:rPr>
              <w:t>Agricultural Products</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232</w:t>
            </w:r>
          </w:p>
        </w:tc>
        <w:tc>
          <w:tcPr>
            <w:tcW w:w="2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258</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(10) %</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719</w:t>
            </w: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 %</w:t>
            </w:r>
          </w:p>
        </w:tc>
        <w:tc>
          <w:tcPr>
            <w:tcW w:w="0" w:type="dxa"/>
            <w:vAlign w:val="bottom"/>
          </w:tcPr>
          <w:p>
            <w:pPr>
              <w:spacing w:after="0"/>
              <w:rPr>
                <w:sz w:val="1"/>
                <w:szCs w:val="1"/>
                <w:color w:val="auto"/>
              </w:rPr>
            </w:pPr>
          </w:p>
        </w:tc>
      </w:tr>
      <w:tr>
        <w:trPr>
          <w:trHeight w:val="215"/>
        </w:trPr>
        <w:tc>
          <w:tcPr>
            <w:tcW w:w="3660" w:type="dxa"/>
            <w:vAlign w:val="bottom"/>
          </w:tcPr>
          <w:p>
            <w:pPr>
              <w:spacing w:after="0"/>
              <w:rPr>
                <w:sz w:val="20"/>
                <w:szCs w:val="20"/>
                <w:color w:val="auto"/>
              </w:rPr>
            </w:pPr>
            <w:r>
              <w:rPr>
                <w:rFonts w:ascii="Arial" w:cs="Arial" w:eastAsia="Arial" w:hAnsi="Arial"/>
                <w:sz w:val="16"/>
                <w:szCs w:val="16"/>
                <w:color w:val="auto"/>
              </w:rPr>
              <w:t>Automotive</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200</w:t>
            </w:r>
          </w:p>
        </w:tc>
        <w:tc>
          <w:tcPr>
            <w:tcW w:w="2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210</w:t>
            </w:r>
          </w:p>
        </w:tc>
        <w:tc>
          <w:tcPr>
            <w:tcW w:w="660" w:type="dxa"/>
            <w:vAlign w:val="bottom"/>
            <w:gridSpan w:val="2"/>
          </w:tcPr>
          <w:p>
            <w:pPr>
              <w:jc w:val="right"/>
              <w:spacing w:after="0"/>
              <w:rPr>
                <w:sz w:val="20"/>
                <w:szCs w:val="20"/>
                <w:color w:val="auto"/>
              </w:rPr>
            </w:pPr>
            <w:r>
              <w:rPr>
                <w:rFonts w:ascii="Arial" w:cs="Arial" w:eastAsia="Arial" w:hAnsi="Arial"/>
                <w:sz w:val="16"/>
                <w:szCs w:val="16"/>
                <w:b w:val="1"/>
                <w:bCs w:val="1"/>
                <w:color w:val="auto"/>
              </w:rPr>
              <w:t>(5)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627</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644</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60" w:type="dxa"/>
            <w:vAlign w:val="bottom"/>
            <w:shd w:val="clear" w:color="auto" w:fill="CCEEFF"/>
          </w:tcPr>
          <w:p>
            <w:pPr>
              <w:spacing w:after="0"/>
              <w:rPr>
                <w:sz w:val="20"/>
                <w:szCs w:val="20"/>
                <w:color w:val="auto"/>
              </w:rPr>
            </w:pPr>
            <w:r>
              <w:rPr>
                <w:rFonts w:ascii="Arial" w:cs="Arial" w:eastAsia="Arial" w:hAnsi="Arial"/>
                <w:sz w:val="16"/>
                <w:szCs w:val="16"/>
                <w:color w:val="auto"/>
              </w:rPr>
              <w:t>Chemicals</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259</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274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785</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60" w:type="dxa"/>
            <w:vAlign w:val="bottom"/>
          </w:tcPr>
          <w:p>
            <w:pPr>
              <w:spacing w:after="0"/>
              <w:rPr>
                <w:sz w:val="20"/>
                <w:szCs w:val="20"/>
                <w:color w:val="auto"/>
              </w:rPr>
            </w:pPr>
            <w:r>
              <w:rPr>
                <w:rFonts w:ascii="Arial" w:cs="Arial" w:eastAsia="Arial" w:hAnsi="Arial"/>
                <w:sz w:val="16"/>
                <w:szCs w:val="16"/>
                <w:color w:val="auto"/>
              </w:rPr>
              <w:t>Coal</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331</w:t>
            </w:r>
          </w:p>
        </w:tc>
        <w:tc>
          <w:tcPr>
            <w:tcW w:w="2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341</w:t>
            </w:r>
          </w:p>
        </w:tc>
        <w:tc>
          <w:tcPr>
            <w:tcW w:w="660" w:type="dxa"/>
            <w:vAlign w:val="bottom"/>
            <w:gridSpan w:val="2"/>
          </w:tcPr>
          <w:p>
            <w:pPr>
              <w:jc w:val="right"/>
              <w:spacing w:after="0"/>
              <w:rPr>
                <w:sz w:val="20"/>
                <w:szCs w:val="20"/>
                <w:color w:val="auto"/>
              </w:rPr>
            </w:pPr>
            <w:r>
              <w:rPr>
                <w:rFonts w:ascii="Arial" w:cs="Arial" w:eastAsia="Arial" w:hAnsi="Arial"/>
                <w:sz w:val="16"/>
                <w:szCs w:val="16"/>
                <w:b w:val="1"/>
                <w:bCs w:val="1"/>
                <w:color w:val="auto"/>
              </w:rPr>
              <w:t>(3)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920</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846</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60" w:type="dxa"/>
            <w:vAlign w:val="bottom"/>
            <w:shd w:val="clear" w:color="auto" w:fill="CCEEFF"/>
          </w:tcPr>
          <w:p>
            <w:pPr>
              <w:spacing w:after="0"/>
              <w:rPr>
                <w:sz w:val="20"/>
                <w:szCs w:val="20"/>
                <w:color w:val="auto"/>
              </w:rPr>
            </w:pPr>
            <w:r>
              <w:rPr>
                <w:rFonts w:ascii="Arial" w:cs="Arial" w:eastAsia="Arial" w:hAnsi="Arial"/>
                <w:sz w:val="16"/>
                <w:szCs w:val="16"/>
                <w:color w:val="auto"/>
              </w:rPr>
              <w:t>Industrial Products</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325</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283</w:t>
            </w:r>
          </w:p>
        </w:tc>
        <w:tc>
          <w:tcPr>
            <w:tcW w:w="66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918</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tcBorders>
              <w:bottom w:val="single" w:sz="8" w:color="808080"/>
            </w:tcBorders>
          </w:tcPr>
          <w:p>
            <w:pPr>
              <w:spacing w:after="0"/>
              <w:rPr>
                <w:sz w:val="20"/>
                <w:szCs w:val="20"/>
                <w:color w:val="auto"/>
              </w:rPr>
            </w:pPr>
            <w:r>
              <w:rPr>
                <w:rFonts w:ascii="Arial" w:cs="Arial" w:eastAsia="Arial" w:hAnsi="Arial"/>
                <w:sz w:val="16"/>
                <w:szCs w:val="16"/>
                <w:color w:val="auto"/>
              </w:rPr>
              <w:t>Intermodal [a]</w:t>
            </w:r>
          </w:p>
        </w:tc>
        <w:tc>
          <w:tcPr>
            <w:tcW w:w="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jc w:val="right"/>
              <w:spacing w:after="0"/>
              <w:rPr>
                <w:sz w:val="20"/>
                <w:szCs w:val="20"/>
                <w:color w:val="auto"/>
              </w:rPr>
            </w:pPr>
            <w:r>
              <w:rPr>
                <w:rFonts w:ascii="Arial" w:cs="Arial" w:eastAsia="Arial" w:hAnsi="Arial"/>
                <w:sz w:val="16"/>
                <w:szCs w:val="16"/>
                <w:b w:val="1"/>
                <w:bCs w:val="1"/>
                <w:color w:val="auto"/>
              </w:rPr>
              <w:t>841</w:t>
            </w:r>
          </w:p>
        </w:tc>
        <w:tc>
          <w:tcPr>
            <w:tcW w:w="220" w:type="dxa"/>
            <w:vAlign w:val="bottom"/>
            <w:tcBorders>
              <w:bottom w:val="single" w:sz="8" w:color="808080"/>
            </w:tcBorders>
          </w:tcPr>
          <w:p>
            <w:pPr>
              <w:spacing w:after="0"/>
              <w:rPr>
                <w:sz w:val="18"/>
                <w:szCs w:val="18"/>
                <w:color w:val="auto"/>
              </w:rPr>
            </w:pPr>
          </w:p>
        </w:tc>
        <w:tc>
          <w:tcPr>
            <w:tcW w:w="600" w:type="dxa"/>
            <w:vAlign w:val="bottom"/>
            <w:tcBorders>
              <w:bottom w:val="single" w:sz="8" w:color="808080"/>
            </w:tcBorders>
            <w:gridSpan w:val="2"/>
          </w:tcPr>
          <w:p>
            <w:pPr>
              <w:jc w:val="right"/>
              <w:ind w:right="40"/>
              <w:spacing w:after="0"/>
              <w:rPr>
                <w:sz w:val="20"/>
                <w:szCs w:val="20"/>
                <w:color w:val="auto"/>
              </w:rPr>
            </w:pPr>
            <w:r>
              <w:rPr>
                <w:rFonts w:ascii="Arial" w:cs="Arial" w:eastAsia="Arial" w:hAnsi="Arial"/>
                <w:sz w:val="16"/>
                <w:szCs w:val="16"/>
                <w:color w:val="auto"/>
              </w:rPr>
              <w:t>838</w:t>
            </w:r>
          </w:p>
        </w:tc>
        <w:tc>
          <w:tcPr>
            <w:tcW w:w="5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780" w:type="dxa"/>
            <w:vAlign w:val="bottom"/>
            <w:tcBorders>
              <w:bottom w:val="single" w:sz="8" w:color="808080"/>
            </w:tcBorders>
          </w:tcPr>
          <w:p>
            <w:pPr>
              <w:jc w:val="right"/>
              <w:spacing w:after="0"/>
              <w:rPr>
                <w:sz w:val="20"/>
                <w:szCs w:val="20"/>
                <w:color w:val="auto"/>
              </w:rPr>
            </w:pPr>
            <w:r>
              <w:rPr>
                <w:rFonts w:ascii="Arial" w:cs="Arial" w:eastAsia="Arial" w:hAnsi="Arial"/>
                <w:sz w:val="16"/>
                <w:szCs w:val="16"/>
                <w:b w:val="1"/>
                <w:bCs w:val="1"/>
                <w:color w:val="auto"/>
              </w:rPr>
              <w:t>2,452</w:t>
            </w:r>
          </w:p>
        </w:tc>
        <w:tc>
          <w:tcPr>
            <w:tcW w:w="24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2,435</w:t>
            </w:r>
          </w:p>
        </w:tc>
        <w:tc>
          <w:tcPr>
            <w:tcW w:w="600" w:type="dxa"/>
            <w:vAlign w:val="bottom"/>
            <w:tcBorders>
              <w:bottom w:val="single" w:sz="8" w:color="808080"/>
            </w:tcBorders>
          </w:tcPr>
          <w:p>
            <w:pPr>
              <w:jc w:val="right"/>
              <w:spacing w:after="0"/>
              <w:rPr>
                <w:sz w:val="20"/>
                <w:szCs w:val="20"/>
                <w:color w:val="auto"/>
              </w:rPr>
            </w:pPr>
            <w:r>
              <w:rPr>
                <w:rFonts w:ascii="Arial" w:cs="Arial" w:eastAsia="Arial" w:hAnsi="Arial"/>
                <w:sz w:val="16"/>
                <w:szCs w:val="16"/>
                <w:b w:val="1"/>
                <w:bCs w:val="1"/>
                <w:color w:val="auto"/>
              </w:rPr>
              <w:t>1</w:t>
            </w:r>
          </w:p>
        </w:tc>
        <w:tc>
          <w:tcPr>
            <w:tcW w:w="16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2,188</w:t>
            </w:r>
          </w:p>
        </w:tc>
        <w:tc>
          <w:tcPr>
            <w:tcW w:w="2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2,204</w:t>
            </w:r>
          </w:p>
        </w:tc>
        <w:tc>
          <w:tcPr>
            <w:tcW w:w="8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 %</w:t>
            </w: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6,421</w:t>
            </w:r>
          </w:p>
        </w:tc>
        <w:tc>
          <w:tcPr>
            <w:tcW w:w="2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6,296</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w:t>
            </w:r>
          </w:p>
        </w:tc>
        <w:tc>
          <w:tcPr>
            <w:tcW w:w="0" w:type="dxa"/>
            <w:vAlign w:val="bottom"/>
          </w:tcPr>
          <w:p>
            <w:pPr>
              <w:spacing w:after="0"/>
              <w:rPr>
                <w:sz w:val="1"/>
                <w:szCs w:val="1"/>
                <w:color w:val="auto"/>
              </w:rPr>
            </w:pPr>
          </w:p>
        </w:tc>
      </w:tr>
      <w:tr>
        <w:trPr>
          <w:trHeight w:val="331"/>
        </w:trPr>
        <w:tc>
          <w:tcPr>
            <w:tcW w:w="3660" w:type="dxa"/>
            <w:vAlign w:val="bottom"/>
            <w:tcBorders>
              <w:top w:val="single" w:sz="8" w:color="808080"/>
              <w:bottom w:val="single" w:sz="8" w:color="7F7F7F"/>
            </w:tcBorders>
          </w:tcPr>
          <w:p>
            <w:pPr>
              <w:spacing w:after="0"/>
              <w:rPr>
                <w:sz w:val="24"/>
                <w:szCs w:val="24"/>
                <w:color w:val="auto"/>
              </w:rPr>
            </w:pPr>
          </w:p>
        </w:tc>
        <w:tc>
          <w:tcPr>
            <w:tcW w:w="1680" w:type="dxa"/>
            <w:vAlign w:val="bottom"/>
            <w:tcBorders>
              <w:top w:val="single" w:sz="8" w:color="808080"/>
              <w:bottom w:val="single" w:sz="8" w:color="7F7F7F"/>
            </w:tcBorders>
            <w:gridSpan w:val="6"/>
          </w:tcPr>
          <w:p>
            <w:pPr>
              <w:spacing w:after="0"/>
              <w:rPr>
                <w:sz w:val="24"/>
                <w:szCs w:val="24"/>
                <w:color w:val="auto"/>
              </w:rPr>
            </w:pPr>
          </w:p>
        </w:tc>
        <w:tc>
          <w:tcPr>
            <w:tcW w:w="500" w:type="dxa"/>
            <w:vAlign w:val="bottom"/>
            <w:tcBorders>
              <w:top w:val="single" w:sz="8" w:color="808080"/>
              <w:bottom w:val="single" w:sz="8" w:color="7F7F7F"/>
            </w:tcBorders>
          </w:tcPr>
          <w:p>
            <w:pPr>
              <w:spacing w:after="0"/>
              <w:rPr>
                <w:sz w:val="24"/>
                <w:szCs w:val="24"/>
                <w:color w:val="auto"/>
              </w:rPr>
            </w:pPr>
          </w:p>
        </w:tc>
        <w:tc>
          <w:tcPr>
            <w:tcW w:w="160" w:type="dxa"/>
            <w:vAlign w:val="bottom"/>
            <w:tcBorders>
              <w:top w:val="single" w:sz="8" w:color="808080"/>
              <w:bottom w:val="single" w:sz="8" w:color="7F7F7F"/>
            </w:tcBorders>
          </w:tcPr>
          <w:p>
            <w:pPr>
              <w:spacing w:after="0"/>
              <w:rPr>
                <w:sz w:val="24"/>
                <w:szCs w:val="24"/>
                <w:color w:val="auto"/>
              </w:rPr>
            </w:pPr>
          </w:p>
        </w:tc>
        <w:tc>
          <w:tcPr>
            <w:tcW w:w="180" w:type="dxa"/>
            <w:vAlign w:val="bottom"/>
            <w:tcBorders>
              <w:top w:val="single" w:sz="8" w:color="808080"/>
              <w:bottom w:val="single" w:sz="8" w:color="808080"/>
            </w:tcBorders>
          </w:tcPr>
          <w:p>
            <w:pPr>
              <w:spacing w:after="0"/>
              <w:rPr>
                <w:sz w:val="24"/>
                <w:szCs w:val="24"/>
                <w:color w:val="auto"/>
              </w:rPr>
            </w:pPr>
          </w:p>
        </w:tc>
        <w:tc>
          <w:tcPr>
            <w:tcW w:w="140" w:type="dxa"/>
            <w:vAlign w:val="bottom"/>
            <w:tcBorders>
              <w:top w:val="single" w:sz="8" w:color="808080"/>
              <w:bottom w:val="single" w:sz="8" w:color="808080"/>
            </w:tcBorders>
          </w:tcPr>
          <w:p>
            <w:pPr>
              <w:spacing w:after="0"/>
              <w:rPr>
                <w:sz w:val="24"/>
                <w:szCs w:val="24"/>
                <w:color w:val="auto"/>
              </w:rPr>
            </w:pPr>
          </w:p>
        </w:tc>
        <w:tc>
          <w:tcPr>
            <w:tcW w:w="80" w:type="dxa"/>
            <w:vAlign w:val="bottom"/>
            <w:tcBorders>
              <w:top w:val="single" w:sz="8" w:color="808080"/>
              <w:bottom w:val="single" w:sz="8" w:color="808080"/>
            </w:tcBorders>
          </w:tcPr>
          <w:p>
            <w:pPr>
              <w:spacing w:after="0"/>
              <w:rPr>
                <w:sz w:val="24"/>
                <w:szCs w:val="24"/>
                <w:color w:val="auto"/>
              </w:rPr>
            </w:pPr>
          </w:p>
        </w:tc>
        <w:tc>
          <w:tcPr>
            <w:tcW w:w="1660" w:type="dxa"/>
            <w:vAlign w:val="bottom"/>
            <w:tcBorders>
              <w:top w:val="single" w:sz="8" w:color="808080"/>
              <w:bottom w:val="single" w:sz="8" w:color="808080"/>
            </w:tcBorders>
            <w:gridSpan w:val="3"/>
          </w:tcPr>
          <w:p>
            <w:pPr>
              <w:spacing w:after="0"/>
              <w:rPr>
                <w:sz w:val="24"/>
                <w:szCs w:val="24"/>
                <w:color w:val="auto"/>
              </w:rPr>
            </w:pPr>
          </w:p>
        </w:tc>
        <w:tc>
          <w:tcPr>
            <w:tcW w:w="600" w:type="dxa"/>
            <w:vAlign w:val="bottom"/>
            <w:tcBorders>
              <w:top w:val="single" w:sz="8" w:color="808080"/>
              <w:bottom w:val="single" w:sz="8" w:color="808080"/>
            </w:tcBorders>
          </w:tcPr>
          <w:p>
            <w:pPr>
              <w:spacing w:after="0"/>
              <w:rPr>
                <w:sz w:val="24"/>
                <w:szCs w:val="24"/>
                <w:color w:val="auto"/>
              </w:rPr>
            </w:pPr>
          </w:p>
        </w:tc>
        <w:tc>
          <w:tcPr>
            <w:tcW w:w="160" w:type="dxa"/>
            <w:vAlign w:val="bottom"/>
            <w:tcBorders>
              <w:top w:val="single" w:sz="8" w:color="808080"/>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660" w:type="dxa"/>
            <w:vAlign w:val="bottom"/>
          </w:tcPr>
          <w:p>
            <w:pPr>
              <w:spacing w:after="0"/>
              <w:rPr>
                <w:sz w:val="17"/>
                <w:szCs w:val="17"/>
                <w:color w:val="auto"/>
              </w:rPr>
            </w:pPr>
          </w:p>
        </w:tc>
        <w:tc>
          <w:tcPr>
            <w:tcW w:w="1680" w:type="dxa"/>
            <w:vAlign w:val="bottom"/>
            <w:gridSpan w:val="6"/>
          </w:tcPr>
          <w:p>
            <w:pPr>
              <w:jc w:val="center"/>
              <w:ind w:right="80"/>
              <w:spacing w:after="0"/>
              <w:rPr>
                <w:sz w:val="20"/>
                <w:szCs w:val="20"/>
                <w:color w:val="auto"/>
              </w:rPr>
            </w:pPr>
            <w:r>
              <w:rPr>
                <w:rFonts w:ascii="Arial" w:cs="Arial" w:eastAsia="Arial" w:hAnsi="Arial"/>
                <w:sz w:val="16"/>
                <w:szCs w:val="16"/>
                <w:i w:val="1"/>
                <w:iCs w:val="1"/>
                <w:color w:val="auto"/>
              </w:rPr>
              <w:t>Three Months Ended</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3"/>
          </w:tcPr>
          <w:p>
            <w:pPr>
              <w:jc w:val="center"/>
              <w:ind w:right="119"/>
              <w:spacing w:after="0"/>
              <w:rPr>
                <w:sz w:val="20"/>
                <w:szCs w:val="20"/>
                <w:color w:val="auto"/>
              </w:rPr>
            </w:pPr>
            <w:r>
              <w:rPr>
                <w:rFonts w:ascii="Arial" w:cs="Arial" w:eastAsia="Arial" w:hAnsi="Arial"/>
                <w:sz w:val="16"/>
                <w:szCs w:val="16"/>
                <w:i w:val="1"/>
                <w:iCs w:val="1"/>
                <w:color w:val="auto"/>
              </w:rPr>
              <w:t>Nine Months Ended</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4"/>
          </w:tcPr>
          <w:p>
            <w:pPr>
              <w:jc w:val="center"/>
              <w:ind w:right="300"/>
              <w:spacing w:after="0"/>
              <w:rPr>
                <w:sz w:val="20"/>
                <w:szCs w:val="20"/>
                <w:color w:val="auto"/>
              </w:rPr>
            </w:pPr>
            <w:r>
              <w:rPr>
                <w:rFonts w:ascii="Arial" w:cs="Arial" w:eastAsia="Arial" w:hAnsi="Arial"/>
                <w:sz w:val="16"/>
                <w:szCs w:val="16"/>
                <w:i w:val="1"/>
                <w:iCs w:val="1"/>
                <w:color w:val="auto"/>
              </w:rPr>
              <w:t>September 30,</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3"/>
          </w:tcPr>
          <w:p>
            <w:pPr>
              <w:jc w:val="center"/>
              <w:ind w:right="119"/>
              <w:spacing w:after="0"/>
              <w:rPr>
                <w:sz w:val="20"/>
                <w:szCs w:val="20"/>
                <w:color w:val="auto"/>
              </w:rPr>
            </w:pPr>
            <w:r>
              <w:rPr>
                <w:rFonts w:ascii="Arial" w:cs="Arial" w:eastAsia="Arial" w:hAnsi="Arial"/>
                <w:sz w:val="16"/>
                <w:szCs w:val="16"/>
                <w:i w:val="1"/>
                <w:iCs w:val="1"/>
                <w:color w:val="auto"/>
              </w:rPr>
              <w:t>September 30,</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60" w:type="dxa"/>
            <w:vAlign w:val="bottom"/>
            <w:tcBorders>
              <w:bottom w:val="single" w:sz="8" w:color="808080"/>
            </w:tcBorders>
          </w:tcPr>
          <w:p>
            <w:pPr>
              <w:spacing w:after="0"/>
              <w:rPr>
                <w:sz w:val="20"/>
                <w:szCs w:val="20"/>
                <w:color w:val="auto"/>
              </w:rPr>
            </w:pPr>
            <w:r>
              <w:rPr>
                <w:rFonts w:ascii="Arial" w:cs="Arial" w:eastAsia="Arial" w:hAnsi="Arial"/>
                <w:sz w:val="16"/>
                <w:szCs w:val="16"/>
                <w:b w:val="1"/>
                <w:bCs w:val="1"/>
                <w:i w:val="1"/>
                <w:iCs w:val="1"/>
                <w:color w:val="auto"/>
              </w:rPr>
              <w:t>Average Revenue per Car</w:t>
            </w:r>
          </w:p>
        </w:tc>
        <w:tc>
          <w:tcPr>
            <w:tcW w:w="60" w:type="dxa"/>
            <w:vAlign w:val="bottom"/>
            <w:tcBorders>
              <w:top w:val="single" w:sz="8" w:color="808080"/>
              <w:bottom w:val="single" w:sz="8" w:color="808080"/>
            </w:tcBorders>
          </w:tcPr>
          <w:p>
            <w:pPr>
              <w:spacing w:after="0"/>
              <w:rPr>
                <w:sz w:val="17"/>
                <w:szCs w:val="17"/>
                <w:color w:val="auto"/>
              </w:rPr>
            </w:pPr>
          </w:p>
        </w:tc>
        <w:tc>
          <w:tcPr>
            <w:tcW w:w="160" w:type="dxa"/>
            <w:vAlign w:val="bottom"/>
            <w:tcBorders>
              <w:top w:val="single" w:sz="8" w:color="808080"/>
              <w:bottom w:val="single" w:sz="8" w:color="808080"/>
            </w:tcBorders>
          </w:tcPr>
          <w:p>
            <w:pPr>
              <w:spacing w:after="0"/>
              <w:rPr>
                <w:sz w:val="17"/>
                <w:szCs w:val="17"/>
                <w:color w:val="auto"/>
              </w:rPr>
            </w:pPr>
          </w:p>
        </w:tc>
        <w:tc>
          <w:tcPr>
            <w:tcW w:w="640" w:type="dxa"/>
            <w:vAlign w:val="bottom"/>
            <w:tcBorders>
              <w:top w:val="single" w:sz="8" w:color="808080"/>
              <w:bottom w:val="single" w:sz="8" w:color="808080"/>
            </w:tcBorders>
          </w:tcPr>
          <w:p>
            <w:pPr>
              <w:jc w:val="right"/>
              <w:ind w:right="19"/>
              <w:spacing w:after="0"/>
              <w:rPr>
                <w:sz w:val="20"/>
                <w:szCs w:val="20"/>
                <w:color w:val="auto"/>
              </w:rPr>
            </w:pPr>
            <w:r>
              <w:rPr>
                <w:rFonts w:ascii="Arial" w:cs="Arial" w:eastAsia="Arial" w:hAnsi="Arial"/>
                <w:sz w:val="16"/>
                <w:szCs w:val="16"/>
                <w:b w:val="1"/>
                <w:bCs w:val="1"/>
                <w:i w:val="1"/>
                <w:iCs w:val="1"/>
                <w:color w:val="auto"/>
              </w:rPr>
              <w:t>2017</w:t>
            </w:r>
          </w:p>
        </w:tc>
        <w:tc>
          <w:tcPr>
            <w:tcW w:w="220" w:type="dxa"/>
            <w:vAlign w:val="bottom"/>
            <w:tcBorders>
              <w:top w:val="single" w:sz="8" w:color="808080"/>
              <w:bottom w:val="single" w:sz="8" w:color="808080"/>
            </w:tcBorders>
          </w:tcPr>
          <w:p>
            <w:pPr>
              <w:spacing w:after="0"/>
              <w:rPr>
                <w:sz w:val="17"/>
                <w:szCs w:val="17"/>
                <w:color w:val="auto"/>
              </w:rPr>
            </w:pPr>
          </w:p>
        </w:tc>
        <w:tc>
          <w:tcPr>
            <w:tcW w:w="54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6"/>
                <w:szCs w:val="16"/>
                <w:i w:val="1"/>
                <w:iCs w:val="1"/>
                <w:color w:val="auto"/>
              </w:rPr>
              <w:t>2016</w:t>
            </w:r>
          </w:p>
        </w:tc>
        <w:tc>
          <w:tcPr>
            <w:tcW w:w="60" w:type="dxa"/>
            <w:vAlign w:val="bottom"/>
            <w:tcBorders>
              <w:bottom w:val="single" w:sz="8" w:color="808080"/>
            </w:tcBorders>
          </w:tcPr>
          <w:p>
            <w:pPr>
              <w:spacing w:after="0"/>
              <w:rPr>
                <w:sz w:val="17"/>
                <w:szCs w:val="17"/>
                <w:color w:val="auto"/>
              </w:rPr>
            </w:pPr>
          </w:p>
        </w:tc>
        <w:tc>
          <w:tcPr>
            <w:tcW w:w="840" w:type="dxa"/>
            <w:vAlign w:val="bottom"/>
            <w:tcBorders>
              <w:bottom w:val="single" w:sz="8" w:color="808080"/>
            </w:tcBorders>
            <w:gridSpan w:val="3"/>
          </w:tcPr>
          <w:p>
            <w:pPr>
              <w:jc w:val="right"/>
              <w:ind w:right="180"/>
              <w:spacing w:after="0"/>
              <w:rPr>
                <w:sz w:val="20"/>
                <w:szCs w:val="20"/>
                <w:color w:val="auto"/>
              </w:rPr>
            </w:pPr>
            <w:r>
              <w:rPr>
                <w:rFonts w:ascii="Arial" w:cs="Arial" w:eastAsia="Arial" w:hAnsi="Arial"/>
                <w:sz w:val="16"/>
                <w:szCs w:val="16"/>
                <w:b w:val="1"/>
                <w:bCs w:val="1"/>
                <w:i w:val="1"/>
                <w:iCs w:val="1"/>
                <w:color w:val="auto"/>
              </w:rPr>
              <w:t>Change</w:t>
            </w:r>
          </w:p>
        </w:tc>
        <w:tc>
          <w:tcPr>
            <w:tcW w:w="140" w:type="dxa"/>
            <w:vAlign w:val="bottom"/>
            <w:tcBorders>
              <w:top w:val="single" w:sz="8" w:color="808080"/>
              <w:bottom w:val="single" w:sz="8" w:color="808080"/>
            </w:tcBorders>
          </w:tcPr>
          <w:p>
            <w:pPr>
              <w:spacing w:after="0"/>
              <w:rPr>
                <w:sz w:val="17"/>
                <w:szCs w:val="17"/>
                <w:color w:val="auto"/>
              </w:rPr>
            </w:pPr>
          </w:p>
        </w:tc>
        <w:tc>
          <w:tcPr>
            <w:tcW w:w="80" w:type="dxa"/>
            <w:vAlign w:val="bottom"/>
            <w:tcBorders>
              <w:top w:val="single" w:sz="8" w:color="808080"/>
              <w:bottom w:val="single" w:sz="8" w:color="808080"/>
            </w:tcBorders>
          </w:tcPr>
          <w:p>
            <w:pPr>
              <w:spacing w:after="0"/>
              <w:rPr>
                <w:sz w:val="17"/>
                <w:szCs w:val="17"/>
                <w:color w:val="auto"/>
              </w:rPr>
            </w:pPr>
          </w:p>
        </w:tc>
        <w:tc>
          <w:tcPr>
            <w:tcW w:w="780" w:type="dxa"/>
            <w:vAlign w:val="bottom"/>
            <w:tcBorders>
              <w:top w:val="single" w:sz="8" w:color="808080"/>
              <w:bottom w:val="single" w:sz="8" w:color="808080"/>
            </w:tcBorders>
          </w:tcPr>
          <w:p>
            <w:pPr>
              <w:jc w:val="right"/>
              <w:ind w:right="19"/>
              <w:spacing w:after="0"/>
              <w:rPr>
                <w:sz w:val="20"/>
                <w:szCs w:val="20"/>
                <w:color w:val="auto"/>
              </w:rPr>
            </w:pPr>
            <w:r>
              <w:rPr>
                <w:rFonts w:ascii="Arial" w:cs="Arial" w:eastAsia="Arial" w:hAnsi="Arial"/>
                <w:sz w:val="16"/>
                <w:szCs w:val="16"/>
                <w:b w:val="1"/>
                <w:bCs w:val="1"/>
                <w:i w:val="1"/>
                <w:iCs w:val="1"/>
                <w:color w:val="auto"/>
              </w:rPr>
              <w:t>2017</w:t>
            </w:r>
          </w:p>
        </w:tc>
        <w:tc>
          <w:tcPr>
            <w:tcW w:w="240" w:type="dxa"/>
            <w:vAlign w:val="bottom"/>
            <w:tcBorders>
              <w:top w:val="single" w:sz="8" w:color="808080"/>
              <w:bottom w:val="single" w:sz="8" w:color="808080"/>
            </w:tcBorders>
          </w:tcPr>
          <w:p>
            <w:pPr>
              <w:spacing w:after="0"/>
              <w:rPr>
                <w:sz w:val="17"/>
                <w:szCs w:val="17"/>
                <w:color w:val="auto"/>
              </w:rPr>
            </w:pPr>
          </w:p>
        </w:tc>
        <w:tc>
          <w:tcPr>
            <w:tcW w:w="64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6"/>
                <w:szCs w:val="16"/>
                <w:i w:val="1"/>
                <w:iCs w:val="1"/>
                <w:color w:val="auto"/>
              </w:rPr>
              <w:t>2016</w:t>
            </w:r>
          </w:p>
        </w:tc>
        <w:tc>
          <w:tcPr>
            <w:tcW w:w="760" w:type="dxa"/>
            <w:vAlign w:val="bottom"/>
            <w:tcBorders>
              <w:bottom w:val="single" w:sz="8" w:color="808080"/>
            </w:tcBorders>
            <w:gridSpan w:val="2"/>
          </w:tcPr>
          <w:p>
            <w:pPr>
              <w:jc w:val="right"/>
              <w:spacing w:after="0"/>
              <w:rPr>
                <w:sz w:val="20"/>
                <w:szCs w:val="20"/>
                <w:color w:val="auto"/>
              </w:rPr>
            </w:pPr>
            <w:r>
              <w:rPr>
                <w:rFonts w:ascii="Arial" w:cs="Arial" w:eastAsia="Arial" w:hAnsi="Arial"/>
                <w:sz w:val="16"/>
                <w:szCs w:val="16"/>
                <w:b w:val="1"/>
                <w:bCs w:val="1"/>
                <w:i w:val="1"/>
                <w:iCs w:val="1"/>
                <w:color w:val="auto"/>
              </w:rPr>
              <w:t>Change</w:t>
            </w: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spacing w:after="0"/>
              <w:rPr>
                <w:sz w:val="20"/>
                <w:szCs w:val="20"/>
                <w:color w:val="auto"/>
              </w:rPr>
            </w:pPr>
            <w:r>
              <w:rPr>
                <w:rFonts w:ascii="Arial" w:cs="Arial" w:eastAsia="Arial" w:hAnsi="Arial"/>
                <w:sz w:val="16"/>
                <w:szCs w:val="16"/>
                <w:color w:val="auto"/>
              </w:rPr>
              <w:t>Agricultural Products</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6"/>
                <w:szCs w:val="16"/>
                <w:b w:val="1"/>
                <w:bCs w:val="1"/>
                <w:color w:val="auto"/>
              </w:rPr>
              <w:t>$</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3,951</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3,637</w:t>
            </w: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w w:val="98"/>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3,844</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3,691</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w:t>
            </w:r>
          </w:p>
        </w:tc>
        <w:tc>
          <w:tcPr>
            <w:tcW w:w="0" w:type="dxa"/>
            <w:vAlign w:val="bottom"/>
          </w:tcPr>
          <w:p>
            <w:pPr>
              <w:spacing w:after="0"/>
              <w:rPr>
                <w:sz w:val="1"/>
                <w:szCs w:val="1"/>
                <w:color w:val="auto"/>
              </w:rPr>
            </w:pPr>
          </w:p>
        </w:tc>
      </w:tr>
      <w:tr>
        <w:trPr>
          <w:trHeight w:val="215"/>
        </w:trPr>
        <w:tc>
          <w:tcPr>
            <w:tcW w:w="3660" w:type="dxa"/>
            <w:vAlign w:val="bottom"/>
          </w:tcPr>
          <w:p>
            <w:pPr>
              <w:spacing w:after="0"/>
              <w:rPr>
                <w:sz w:val="20"/>
                <w:szCs w:val="20"/>
                <w:color w:val="auto"/>
              </w:rPr>
            </w:pPr>
            <w:r>
              <w:rPr>
                <w:rFonts w:ascii="Arial" w:cs="Arial" w:eastAsia="Arial" w:hAnsi="Arial"/>
                <w:sz w:val="16"/>
                <w:szCs w:val="16"/>
                <w:color w:val="auto"/>
              </w:rPr>
              <w:t>Automotive</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b w:val="1"/>
                <w:bCs w:val="1"/>
                <w:color w:val="auto"/>
              </w:rPr>
              <w:t>2,341</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2,310</w:t>
            </w: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2,370</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2,302</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60" w:type="dxa"/>
            <w:vAlign w:val="bottom"/>
            <w:shd w:val="clear" w:color="auto" w:fill="CCEEFF"/>
          </w:tcPr>
          <w:p>
            <w:pPr>
              <w:spacing w:after="0"/>
              <w:rPr>
                <w:sz w:val="20"/>
                <w:szCs w:val="20"/>
                <w:color w:val="auto"/>
              </w:rPr>
            </w:pPr>
            <w:r>
              <w:rPr>
                <w:rFonts w:ascii="Arial" w:cs="Arial" w:eastAsia="Arial" w:hAnsi="Arial"/>
                <w:sz w:val="16"/>
                <w:szCs w:val="16"/>
                <w:color w:val="auto"/>
              </w:rPr>
              <w:t>Chemicals</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3,457</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3,201</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3,412</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3,206</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60" w:type="dxa"/>
            <w:vAlign w:val="bottom"/>
          </w:tcPr>
          <w:p>
            <w:pPr>
              <w:spacing w:after="0"/>
              <w:rPr>
                <w:sz w:val="20"/>
                <w:szCs w:val="20"/>
                <w:color w:val="auto"/>
              </w:rPr>
            </w:pPr>
            <w:r>
              <w:rPr>
                <w:rFonts w:ascii="Arial" w:cs="Arial" w:eastAsia="Arial" w:hAnsi="Arial"/>
                <w:sz w:val="16"/>
                <w:szCs w:val="16"/>
                <w:color w:val="auto"/>
              </w:rPr>
              <w:t>Coal</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b w:val="1"/>
                <w:bCs w:val="1"/>
                <w:color w:val="auto"/>
              </w:rPr>
              <w:t>2,143</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2,134</w:t>
            </w: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2,150</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2,057</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60" w:type="dxa"/>
            <w:vAlign w:val="bottom"/>
            <w:shd w:val="clear" w:color="auto" w:fill="CCEEFF"/>
          </w:tcPr>
          <w:p>
            <w:pPr>
              <w:spacing w:after="0"/>
              <w:rPr>
                <w:sz w:val="20"/>
                <w:szCs w:val="20"/>
                <w:color w:val="auto"/>
              </w:rPr>
            </w:pPr>
            <w:r>
              <w:rPr>
                <w:rFonts w:ascii="Arial" w:cs="Arial" w:eastAsia="Arial" w:hAnsi="Arial"/>
                <w:sz w:val="16"/>
                <w:szCs w:val="16"/>
                <w:color w:val="auto"/>
              </w:rPr>
              <w:t>Industrial Products</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3,325</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3,019</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3,287</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3,028</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tcBorders>
              <w:bottom w:val="single" w:sz="8" w:color="808080"/>
            </w:tcBorders>
          </w:tcPr>
          <w:p>
            <w:pPr>
              <w:spacing w:after="0"/>
              <w:rPr>
                <w:sz w:val="20"/>
                <w:szCs w:val="20"/>
                <w:color w:val="auto"/>
              </w:rPr>
            </w:pPr>
            <w:r>
              <w:rPr>
                <w:rFonts w:ascii="Arial" w:cs="Arial" w:eastAsia="Arial" w:hAnsi="Arial"/>
                <w:sz w:val="16"/>
                <w:szCs w:val="16"/>
                <w:color w:val="auto"/>
              </w:rPr>
              <w:t>Intermodal [a]</w:t>
            </w:r>
          </w:p>
        </w:tc>
        <w:tc>
          <w:tcPr>
            <w:tcW w:w="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jc w:val="right"/>
              <w:ind w:right="19"/>
              <w:spacing w:after="0"/>
              <w:rPr>
                <w:sz w:val="20"/>
                <w:szCs w:val="20"/>
                <w:color w:val="auto"/>
              </w:rPr>
            </w:pPr>
            <w:r>
              <w:rPr>
                <w:rFonts w:ascii="Arial" w:cs="Arial" w:eastAsia="Arial" w:hAnsi="Arial"/>
                <w:sz w:val="16"/>
                <w:szCs w:val="16"/>
                <w:b w:val="1"/>
                <w:bCs w:val="1"/>
                <w:color w:val="auto"/>
              </w:rPr>
              <w:t>1,166</w:t>
            </w:r>
          </w:p>
        </w:tc>
        <w:tc>
          <w:tcPr>
            <w:tcW w:w="220" w:type="dxa"/>
            <w:vAlign w:val="bottom"/>
            <w:tcBorders>
              <w:bottom w:val="single" w:sz="8" w:color="808080"/>
            </w:tcBorders>
          </w:tcPr>
          <w:p>
            <w:pPr>
              <w:spacing w:after="0"/>
              <w:rPr>
                <w:sz w:val="18"/>
                <w:szCs w:val="18"/>
                <w:color w:val="auto"/>
              </w:rPr>
            </w:pPr>
          </w:p>
        </w:tc>
        <w:tc>
          <w:tcPr>
            <w:tcW w:w="54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1,141</w:t>
            </w:r>
          </w:p>
        </w:tc>
        <w:tc>
          <w:tcPr>
            <w:tcW w:w="60" w:type="dxa"/>
            <w:vAlign w:val="bottom"/>
            <w:tcBorders>
              <w:bottom w:val="single" w:sz="8" w:color="808080"/>
            </w:tcBorders>
          </w:tcPr>
          <w:p>
            <w:pPr>
              <w:spacing w:after="0"/>
              <w:rPr>
                <w:sz w:val="18"/>
                <w:szCs w:val="18"/>
                <w:color w:val="auto"/>
              </w:rPr>
            </w:pPr>
          </w:p>
        </w:tc>
        <w:tc>
          <w:tcPr>
            <w:tcW w:w="500" w:type="dxa"/>
            <w:vAlign w:val="bottom"/>
            <w:tcBorders>
              <w:bottom w:val="single" w:sz="8" w:color="808080"/>
            </w:tcBorders>
          </w:tcPr>
          <w:p>
            <w:pPr>
              <w:jc w:val="right"/>
              <w:spacing w:after="0"/>
              <w:rPr>
                <w:sz w:val="20"/>
                <w:szCs w:val="20"/>
                <w:color w:val="auto"/>
              </w:rPr>
            </w:pPr>
            <w:r>
              <w:rPr>
                <w:rFonts w:ascii="Arial" w:cs="Arial" w:eastAsia="Arial" w:hAnsi="Arial"/>
                <w:sz w:val="16"/>
                <w:szCs w:val="16"/>
                <w:b w:val="1"/>
                <w:bCs w:val="1"/>
                <w:color w:val="auto"/>
              </w:rPr>
              <w:t>2</w:t>
            </w:r>
          </w:p>
        </w:tc>
        <w:tc>
          <w:tcPr>
            <w:tcW w:w="16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780" w:type="dxa"/>
            <w:vAlign w:val="bottom"/>
            <w:tcBorders>
              <w:bottom w:val="single" w:sz="8" w:color="808080"/>
            </w:tcBorders>
          </w:tcPr>
          <w:p>
            <w:pPr>
              <w:jc w:val="right"/>
              <w:ind w:right="19"/>
              <w:spacing w:after="0"/>
              <w:rPr>
                <w:sz w:val="20"/>
                <w:szCs w:val="20"/>
                <w:color w:val="auto"/>
              </w:rPr>
            </w:pPr>
            <w:r>
              <w:rPr>
                <w:rFonts w:ascii="Arial" w:cs="Arial" w:eastAsia="Arial" w:hAnsi="Arial"/>
                <w:sz w:val="16"/>
                <w:szCs w:val="16"/>
                <w:b w:val="1"/>
                <w:bCs w:val="1"/>
                <w:color w:val="auto"/>
              </w:rPr>
              <w:t>1,153</w:t>
            </w:r>
          </w:p>
        </w:tc>
        <w:tc>
          <w:tcPr>
            <w:tcW w:w="24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1,127</w:t>
            </w:r>
          </w:p>
        </w:tc>
        <w:tc>
          <w:tcPr>
            <w:tcW w:w="600" w:type="dxa"/>
            <w:vAlign w:val="bottom"/>
            <w:tcBorders>
              <w:bottom w:val="single" w:sz="8" w:color="808080"/>
            </w:tcBorders>
          </w:tcPr>
          <w:p>
            <w:pPr>
              <w:jc w:val="right"/>
              <w:spacing w:after="0"/>
              <w:rPr>
                <w:sz w:val="20"/>
                <w:szCs w:val="20"/>
                <w:color w:val="auto"/>
              </w:rPr>
            </w:pPr>
            <w:r>
              <w:rPr>
                <w:rFonts w:ascii="Arial" w:cs="Arial" w:eastAsia="Arial" w:hAnsi="Arial"/>
                <w:sz w:val="16"/>
                <w:szCs w:val="16"/>
                <w:b w:val="1"/>
                <w:bCs w:val="1"/>
                <w:color w:val="auto"/>
              </w:rPr>
              <w:t>2</w:t>
            </w:r>
          </w:p>
        </w:tc>
        <w:tc>
          <w:tcPr>
            <w:tcW w:w="16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Average</w:t>
            </w:r>
          </w:p>
        </w:tc>
        <w:tc>
          <w:tcPr>
            <w:tcW w:w="2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2,307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2,195</w:t>
            </w:r>
          </w:p>
        </w:tc>
        <w:tc>
          <w:tcPr>
            <w:tcW w:w="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w:t>
            </w:r>
          </w:p>
        </w:tc>
        <w:tc>
          <w:tcPr>
            <w:tcW w:w="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w w:val="98"/>
              </w:rPr>
              <w:t>%</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2,297</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2,187</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w:t>
            </w:r>
          </w:p>
        </w:tc>
        <w:tc>
          <w:tcPr>
            <w:tcW w:w="0" w:type="dxa"/>
            <w:vAlign w:val="bottom"/>
          </w:tcPr>
          <w:p>
            <w:pPr>
              <w:spacing w:after="0"/>
              <w:rPr>
                <w:sz w:val="1"/>
                <w:szCs w:val="1"/>
                <w:color w:val="auto"/>
              </w:rPr>
            </w:pPr>
          </w:p>
        </w:tc>
      </w:tr>
      <w:tr>
        <w:trPr>
          <w:trHeight w:val="54"/>
        </w:trPr>
        <w:tc>
          <w:tcPr>
            <w:tcW w:w="3660" w:type="dxa"/>
            <w:vAlign w:val="bottom"/>
            <w:shd w:val="clear" w:color="auto" w:fill="808080"/>
          </w:tcPr>
          <w:p>
            <w:pPr>
              <w:spacing w:after="0"/>
              <w:rPr>
                <w:sz w:val="4"/>
                <w:szCs w:val="4"/>
                <w:color w:val="auto"/>
              </w:rPr>
            </w:pPr>
          </w:p>
        </w:tc>
        <w:tc>
          <w:tcPr>
            <w:tcW w:w="60" w:type="dxa"/>
            <w:vAlign w:val="bottom"/>
            <w:shd w:val="clear" w:color="auto" w:fill="808080"/>
          </w:tcPr>
          <w:p>
            <w:pPr>
              <w:spacing w:after="0"/>
              <w:rPr>
                <w:sz w:val="4"/>
                <w:szCs w:val="4"/>
                <w:color w:val="auto"/>
              </w:rPr>
            </w:pPr>
          </w:p>
        </w:tc>
        <w:tc>
          <w:tcPr>
            <w:tcW w:w="160" w:type="dxa"/>
            <w:vAlign w:val="bottom"/>
            <w:shd w:val="clear" w:color="auto" w:fill="808080"/>
          </w:tcPr>
          <w:p>
            <w:pPr>
              <w:spacing w:after="0"/>
              <w:rPr>
                <w:sz w:val="4"/>
                <w:szCs w:val="4"/>
                <w:color w:val="auto"/>
              </w:rPr>
            </w:pPr>
          </w:p>
        </w:tc>
        <w:tc>
          <w:tcPr>
            <w:tcW w:w="640" w:type="dxa"/>
            <w:vAlign w:val="bottom"/>
            <w:shd w:val="clear" w:color="auto" w:fill="808080"/>
          </w:tcPr>
          <w:p>
            <w:pPr>
              <w:spacing w:after="0"/>
              <w:rPr>
                <w:sz w:val="4"/>
                <w:szCs w:val="4"/>
                <w:color w:val="auto"/>
              </w:rPr>
            </w:pPr>
          </w:p>
        </w:tc>
        <w:tc>
          <w:tcPr>
            <w:tcW w:w="220" w:type="dxa"/>
            <w:vAlign w:val="bottom"/>
            <w:shd w:val="clear" w:color="auto" w:fill="808080"/>
          </w:tcPr>
          <w:p>
            <w:pPr>
              <w:spacing w:after="0"/>
              <w:rPr>
                <w:sz w:val="4"/>
                <w:szCs w:val="4"/>
                <w:color w:val="auto"/>
              </w:rPr>
            </w:pPr>
          </w:p>
        </w:tc>
        <w:tc>
          <w:tcPr>
            <w:tcW w:w="540" w:type="dxa"/>
            <w:vAlign w:val="bottom"/>
            <w:shd w:val="clear" w:color="auto" w:fill="808080"/>
          </w:tcPr>
          <w:p>
            <w:pPr>
              <w:spacing w:after="0"/>
              <w:rPr>
                <w:sz w:val="4"/>
                <w:szCs w:val="4"/>
                <w:color w:val="auto"/>
              </w:rPr>
            </w:pPr>
          </w:p>
        </w:tc>
        <w:tc>
          <w:tcPr>
            <w:tcW w:w="60" w:type="dxa"/>
            <w:vAlign w:val="bottom"/>
            <w:shd w:val="clear" w:color="auto" w:fill="808080"/>
          </w:tcPr>
          <w:p>
            <w:pPr>
              <w:spacing w:after="0"/>
              <w:rPr>
                <w:sz w:val="4"/>
                <w:szCs w:val="4"/>
                <w:color w:val="auto"/>
              </w:rPr>
            </w:pPr>
          </w:p>
        </w:tc>
        <w:tc>
          <w:tcPr>
            <w:tcW w:w="500" w:type="dxa"/>
            <w:vAlign w:val="bottom"/>
            <w:shd w:val="clear" w:color="auto" w:fill="808080"/>
          </w:tcPr>
          <w:p>
            <w:pPr>
              <w:spacing w:after="0"/>
              <w:rPr>
                <w:sz w:val="4"/>
                <w:szCs w:val="4"/>
                <w:color w:val="auto"/>
              </w:rPr>
            </w:pPr>
          </w:p>
        </w:tc>
        <w:tc>
          <w:tcPr>
            <w:tcW w:w="160" w:type="dxa"/>
            <w:vAlign w:val="bottom"/>
            <w:shd w:val="clear" w:color="auto" w:fill="808080"/>
          </w:tcPr>
          <w:p>
            <w:pPr>
              <w:spacing w:after="0"/>
              <w:rPr>
                <w:sz w:val="4"/>
                <w:szCs w:val="4"/>
                <w:color w:val="auto"/>
              </w:rPr>
            </w:pPr>
          </w:p>
        </w:tc>
        <w:tc>
          <w:tcPr>
            <w:tcW w:w="180" w:type="dxa"/>
            <w:vAlign w:val="bottom"/>
            <w:shd w:val="clear" w:color="auto" w:fill="808080"/>
          </w:tcPr>
          <w:p>
            <w:pPr>
              <w:spacing w:after="0"/>
              <w:rPr>
                <w:sz w:val="4"/>
                <w:szCs w:val="4"/>
                <w:color w:val="auto"/>
              </w:rPr>
            </w:pPr>
          </w:p>
        </w:tc>
        <w:tc>
          <w:tcPr>
            <w:tcW w:w="140" w:type="dxa"/>
            <w:vAlign w:val="bottom"/>
            <w:shd w:val="clear" w:color="auto" w:fill="808080"/>
          </w:tcPr>
          <w:p>
            <w:pPr>
              <w:spacing w:after="0"/>
              <w:rPr>
                <w:sz w:val="4"/>
                <w:szCs w:val="4"/>
                <w:color w:val="auto"/>
              </w:rPr>
            </w:pPr>
          </w:p>
        </w:tc>
        <w:tc>
          <w:tcPr>
            <w:tcW w:w="80" w:type="dxa"/>
            <w:vAlign w:val="bottom"/>
            <w:shd w:val="clear" w:color="auto" w:fill="808080"/>
          </w:tcPr>
          <w:p>
            <w:pPr>
              <w:spacing w:after="0"/>
              <w:rPr>
                <w:sz w:val="4"/>
                <w:szCs w:val="4"/>
                <w:color w:val="auto"/>
              </w:rPr>
            </w:pPr>
          </w:p>
        </w:tc>
        <w:tc>
          <w:tcPr>
            <w:tcW w:w="780" w:type="dxa"/>
            <w:vAlign w:val="bottom"/>
            <w:shd w:val="clear" w:color="auto" w:fill="808080"/>
          </w:tcPr>
          <w:p>
            <w:pPr>
              <w:spacing w:after="0"/>
              <w:rPr>
                <w:sz w:val="4"/>
                <w:szCs w:val="4"/>
                <w:color w:val="auto"/>
              </w:rPr>
            </w:pPr>
          </w:p>
        </w:tc>
        <w:tc>
          <w:tcPr>
            <w:tcW w:w="240" w:type="dxa"/>
            <w:vAlign w:val="bottom"/>
            <w:shd w:val="clear" w:color="auto" w:fill="808080"/>
          </w:tcPr>
          <w:p>
            <w:pPr>
              <w:spacing w:after="0"/>
              <w:rPr>
                <w:sz w:val="4"/>
                <w:szCs w:val="4"/>
                <w:color w:val="auto"/>
              </w:rPr>
            </w:pPr>
          </w:p>
        </w:tc>
        <w:tc>
          <w:tcPr>
            <w:tcW w:w="640" w:type="dxa"/>
            <w:vAlign w:val="bottom"/>
            <w:shd w:val="clear" w:color="auto" w:fill="808080"/>
          </w:tcPr>
          <w:p>
            <w:pPr>
              <w:spacing w:after="0"/>
              <w:rPr>
                <w:sz w:val="4"/>
                <w:szCs w:val="4"/>
                <w:color w:val="auto"/>
              </w:rPr>
            </w:pPr>
          </w:p>
        </w:tc>
        <w:tc>
          <w:tcPr>
            <w:tcW w:w="600" w:type="dxa"/>
            <w:vAlign w:val="bottom"/>
            <w:shd w:val="clear" w:color="auto" w:fill="808080"/>
          </w:tcPr>
          <w:p>
            <w:pPr>
              <w:spacing w:after="0"/>
              <w:rPr>
                <w:sz w:val="4"/>
                <w:szCs w:val="4"/>
                <w:color w:val="auto"/>
              </w:rPr>
            </w:pPr>
          </w:p>
        </w:tc>
        <w:tc>
          <w:tcPr>
            <w:tcW w:w="160" w:type="dxa"/>
            <w:vAlign w:val="bottom"/>
            <w:shd w:val="clear" w:color="auto" w:fill="808080"/>
          </w:tcPr>
          <w:p>
            <w:pPr>
              <w:spacing w:after="0"/>
              <w:rPr>
                <w:sz w:val="4"/>
                <w:szCs w:val="4"/>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460" w:hanging="355"/>
        <w:spacing w:after="0"/>
        <w:tabs>
          <w:tab w:leader="none" w:pos="460"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Each intermodal container or trailer equals one carload.</w:t>
      </w:r>
    </w:p>
    <w:p>
      <w:pPr>
        <w:spacing w:after="0" w:line="140" w:lineRule="exact"/>
        <w:rPr>
          <w:sz w:val="20"/>
          <w:szCs w:val="20"/>
          <w:color w:val="auto"/>
        </w:rPr>
      </w:pPr>
    </w:p>
    <w:p>
      <w:pPr>
        <w:jc w:val="both"/>
        <w:ind w:left="100" w:right="99"/>
        <w:spacing w:after="0" w:line="213" w:lineRule="auto"/>
        <w:rPr>
          <w:sz w:val="20"/>
          <w:szCs w:val="20"/>
          <w:color w:val="auto"/>
        </w:rPr>
      </w:pPr>
      <w:r>
        <w:rPr>
          <w:rFonts w:ascii="Arial" w:cs="Arial" w:eastAsia="Arial" w:hAnsi="Arial"/>
          <w:sz w:val="18"/>
          <w:szCs w:val="18"/>
          <w:i w:val="1"/>
          <w:iCs w:val="1"/>
          <w:color w:val="auto"/>
        </w:rPr>
        <w:t xml:space="preserve">Agricultural Products </w:t>
      </w:r>
      <w:r>
        <w:rPr>
          <w:rFonts w:ascii="Arial" w:cs="Arial" w:eastAsia="Arial" w:hAnsi="Arial"/>
          <w:sz w:val="18"/>
          <w:szCs w:val="18"/>
          <w:color w:val="auto"/>
        </w:rPr>
        <w:t>– Freight revenue from agricultural products shipments decreased 2% in the third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of 2017 compared to 2016 due to a 10% decrease in volume, partially offset by core pricing gains, mix of traffic, and higher fuel surcharge revenue. Grain shipments declined 17% in the third quarter compared to 2016 due to a strong South American crop that displaced a portion of domestic exports. For the year-to-date period, freight revenue increased 4% driven by core pricing gains and higher fuel surcharge revenue. Volumes were flat for the year-to-date period as third quarter declines offset growth in the first half of the year driven by strong export demand for wheat.</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45085</wp:posOffset>
            </wp:positionV>
            <wp:extent cx="5642610" cy="51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6" w:name="page27"/>
    <w:bookmarkEnd w:id="26"/>
    <w:p>
      <w:pPr>
        <w:ind w:left="10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8" w:lineRule="exact"/>
        <w:rPr>
          <w:sz w:val="20"/>
          <w:szCs w:val="20"/>
          <w:color w:val="auto"/>
        </w:rPr>
      </w:pPr>
    </w:p>
    <w:p>
      <w:pPr>
        <w:jc w:val="both"/>
        <w:ind w:left="100" w:right="99"/>
        <w:spacing w:after="0"/>
        <w:rPr>
          <w:sz w:val="20"/>
          <w:szCs w:val="20"/>
          <w:color w:val="auto"/>
        </w:rPr>
      </w:pPr>
      <w:r>
        <w:rPr>
          <w:rFonts w:ascii="Arial" w:cs="Arial" w:eastAsia="Arial" w:hAnsi="Arial"/>
          <w:sz w:val="18"/>
          <w:szCs w:val="18"/>
          <w:i w:val="1"/>
          <w:iCs w:val="1"/>
          <w:color w:val="auto"/>
        </w:rPr>
        <w:t xml:space="preserve">Automotive </w:t>
      </w:r>
      <w:r>
        <w:rPr>
          <w:rFonts w:ascii="Arial" w:cs="Arial" w:eastAsia="Arial" w:hAnsi="Arial"/>
          <w:sz w:val="18"/>
          <w:szCs w:val="18"/>
          <w:color w:val="auto"/>
        </w:rPr>
        <w:t>– Freight revenue from automotive shipments in the third quarter decreased 3%, and was flat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year-to-date period of 2017 compared to 2016. Volume declined in both periods, but was more pronounced in the third quarter compared to 2016. Conversely, higher fuel surcharge revenue and core pricing gains partially offset the lower volumes and negative mix in traffic in both periods. Finished vehicle shipments decreased 9% and 7% in the third quarter and year-to-date periods respectively, resulting from lower domestic sales and reduced vehicle production for certain manufacturers. Automotive parts shipments were flat in the third quarter but grew 2% in the year-to-date period driven by continued growth in truck-to-rail conversions.</w:t>
      </w:r>
    </w:p>
    <w:p>
      <w:pPr>
        <w:spacing w:after="0" w:line="131" w:lineRule="exact"/>
        <w:rPr>
          <w:sz w:val="20"/>
          <w:szCs w:val="20"/>
          <w:color w:val="auto"/>
        </w:rPr>
      </w:pPr>
    </w:p>
    <w:p>
      <w:pPr>
        <w:jc w:val="both"/>
        <w:ind w:left="100" w:right="99"/>
        <w:spacing w:after="0" w:line="212" w:lineRule="auto"/>
        <w:rPr>
          <w:sz w:val="20"/>
          <w:szCs w:val="20"/>
          <w:color w:val="auto"/>
        </w:rPr>
      </w:pPr>
      <w:r>
        <w:rPr>
          <w:rFonts w:ascii="Arial" w:cs="Arial" w:eastAsia="Arial" w:hAnsi="Arial"/>
          <w:sz w:val="18"/>
          <w:szCs w:val="18"/>
          <w:i w:val="1"/>
          <w:iCs w:val="1"/>
          <w:color w:val="auto"/>
        </w:rPr>
        <w:t xml:space="preserve">Chemicals </w:t>
      </w:r>
      <w:r>
        <w:rPr>
          <w:rFonts w:ascii="Arial" w:cs="Arial" w:eastAsia="Arial" w:hAnsi="Arial"/>
          <w:sz w:val="18"/>
          <w:szCs w:val="18"/>
          <w:color w:val="auto"/>
        </w:rPr>
        <w:t>– Freight revenue from chemical shipments increased 2% in both the third quarter and year-to-date</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of 2017 compared to 2016 primarily due to mix of traffic, core pricing gains and higher fuel surcharge revenue, partially offset by volume declines of 5% and 4% in those same periods. Petroleum shipments declined 20% and 27% respectively, resulting from continued declines in crude oil volumes impacted by low crude oil prices and available pipeline capacity. In addition, plastics and industrial chemical shipments were negatively impacted by disruptions caused by the hurricane, both declining 6% during the third quarter versus 2016. These decreases were partially offset by growth in export fertilizer shipments in both periods compared to 2016.</w:t>
      </w:r>
    </w:p>
    <w:p>
      <w:pPr>
        <w:spacing w:after="0" w:line="117" w:lineRule="exact"/>
        <w:rPr>
          <w:sz w:val="20"/>
          <w:szCs w:val="20"/>
          <w:color w:val="auto"/>
        </w:rPr>
      </w:pPr>
    </w:p>
    <w:p>
      <w:pPr>
        <w:jc w:val="both"/>
        <w:ind w:left="100" w:right="99"/>
        <w:spacing w:after="0" w:line="212" w:lineRule="auto"/>
        <w:rPr>
          <w:sz w:val="20"/>
          <w:szCs w:val="20"/>
          <w:color w:val="auto"/>
        </w:rPr>
      </w:pPr>
      <w:r>
        <w:rPr>
          <w:rFonts w:ascii="Arial" w:cs="Arial" w:eastAsia="Arial" w:hAnsi="Arial"/>
          <w:sz w:val="18"/>
          <w:szCs w:val="18"/>
          <w:i w:val="1"/>
          <w:iCs w:val="1"/>
          <w:color w:val="auto"/>
        </w:rPr>
        <w:t xml:space="preserve">Coal </w:t>
      </w:r>
      <w:r>
        <w:rPr>
          <w:rFonts w:ascii="Arial" w:cs="Arial" w:eastAsia="Arial" w:hAnsi="Arial"/>
          <w:sz w:val="18"/>
          <w:szCs w:val="18"/>
          <w:color w:val="auto"/>
        </w:rPr>
        <w:t>– Freight revenue from coal shipments decreased 2% in the third quarter of 2017 compared to 2016 due</w:t>
      </w:r>
      <w:r>
        <w:rPr>
          <w:rFonts w:ascii="Arial" w:cs="Arial" w:eastAsia="Arial" w:hAnsi="Arial"/>
          <w:sz w:val="18"/>
          <w:szCs w:val="18"/>
          <w:i w:val="1"/>
          <w:iCs w:val="1"/>
          <w:color w:val="auto"/>
        </w:rPr>
        <w:t xml:space="preserve"> </w:t>
      </w:r>
      <w:r>
        <w:rPr>
          <w:rFonts w:ascii="Arial" w:cs="Arial" w:eastAsia="Arial" w:hAnsi="Arial"/>
          <w:sz w:val="18"/>
          <w:szCs w:val="18"/>
          <w:color w:val="auto"/>
        </w:rPr>
        <w:t>to lower volume resulting from utility outages and more moderate summer weather conditions, partially offset by mix of traffic and higher fuel surcharge revenue. Year-to-date, freight revenue increased 14% compared to 2016 driven by strong volume growth in the first half of the year due to higher year-over-year natural gas prices and lower inventory levels at utilities. Shipments out of the Powder River Basin (PRB) decreased 4% in the third quarter, but grew 8% for the year-to-date period compared to 2016. Shipments out of Colorado and Utah increased 5% and 10% in the third quarter and year-to-date periods respectively, compared to 2016 driven by stronger export demand to Asia and Europe.</w:t>
      </w:r>
    </w:p>
    <w:p>
      <w:pPr>
        <w:spacing w:after="0" w:line="117" w:lineRule="exact"/>
        <w:rPr>
          <w:sz w:val="20"/>
          <w:szCs w:val="20"/>
          <w:color w:val="auto"/>
        </w:rPr>
      </w:pPr>
    </w:p>
    <w:p>
      <w:pPr>
        <w:jc w:val="both"/>
        <w:ind w:left="100" w:right="99"/>
        <w:spacing w:after="0" w:line="215" w:lineRule="auto"/>
        <w:rPr>
          <w:sz w:val="20"/>
          <w:szCs w:val="20"/>
          <w:color w:val="auto"/>
        </w:rPr>
      </w:pPr>
      <w:r>
        <w:rPr>
          <w:rFonts w:ascii="Arial" w:cs="Arial" w:eastAsia="Arial" w:hAnsi="Arial"/>
          <w:sz w:val="18"/>
          <w:szCs w:val="18"/>
          <w:i w:val="1"/>
          <w:iCs w:val="1"/>
          <w:color w:val="auto"/>
        </w:rPr>
        <w:t xml:space="preserve">Industrial Products </w:t>
      </w:r>
      <w:r>
        <w:rPr>
          <w:rFonts w:ascii="Arial" w:cs="Arial" w:eastAsia="Arial" w:hAnsi="Arial"/>
          <w:sz w:val="18"/>
          <w:szCs w:val="18"/>
          <w:color w:val="auto"/>
        </w:rPr>
        <w:t>– Freight revenue from industrial products shipments increased 26% and 20%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third quarter and year-to-date periods of 2016 as a result of volume growth, mix of traffic, core pricing gains, and higher fuel surcharge revenue. Increased shale drilling activity and proppant intensity per drilling well drove substantial volume growth in frac sand shipments in both periods compared to 2016. Conversely, rock shipments for both periods declined versus 2016 due to inclement weather in the West in the first half of the year, combined with the hurricane impact and decreased construction activity in South Texas.</w:t>
      </w:r>
    </w:p>
    <w:p>
      <w:pPr>
        <w:spacing w:after="0" w:line="116" w:lineRule="exact"/>
        <w:rPr>
          <w:sz w:val="20"/>
          <w:szCs w:val="20"/>
          <w:color w:val="auto"/>
        </w:rPr>
      </w:pPr>
    </w:p>
    <w:p>
      <w:pPr>
        <w:jc w:val="both"/>
        <w:ind w:left="100" w:right="99"/>
        <w:spacing w:after="0" w:line="217" w:lineRule="auto"/>
        <w:rPr>
          <w:sz w:val="20"/>
          <w:szCs w:val="20"/>
          <w:color w:val="auto"/>
        </w:rPr>
      </w:pPr>
      <w:r>
        <w:rPr>
          <w:rFonts w:ascii="Arial" w:cs="Arial" w:eastAsia="Arial" w:hAnsi="Arial"/>
          <w:sz w:val="18"/>
          <w:szCs w:val="18"/>
          <w:i w:val="1"/>
          <w:iCs w:val="1"/>
          <w:color w:val="auto"/>
        </w:rPr>
        <w:t xml:space="preserve">Intermodal </w:t>
      </w:r>
      <w:r>
        <w:rPr>
          <w:rFonts w:ascii="Arial" w:cs="Arial" w:eastAsia="Arial" w:hAnsi="Arial"/>
          <w:sz w:val="18"/>
          <w:szCs w:val="18"/>
          <w:color w:val="auto"/>
        </w:rPr>
        <w:t>– Freight revenue from intermodal shipments increased 3% compared to the third quarter and nine-month periods of 2016 due to higher fuel surcharge revenue and slight volume gains. International shipments grew 1% in both periods compared to 2016 driven by increased westbound backhaul shipments. Domestic shipments decreased 1% in the third quarter but were flat in the nine-month period compared to 2016 due to available truck capacity.</w:t>
      </w:r>
    </w:p>
    <w:p>
      <w:pPr>
        <w:spacing w:after="0" w:line="118" w:lineRule="exact"/>
        <w:rPr>
          <w:sz w:val="20"/>
          <w:szCs w:val="20"/>
          <w:color w:val="auto"/>
        </w:rPr>
      </w:pPr>
    </w:p>
    <w:p>
      <w:pPr>
        <w:jc w:val="both"/>
        <w:ind w:left="100" w:right="99"/>
        <w:spacing w:after="0" w:line="215" w:lineRule="auto"/>
        <w:rPr>
          <w:sz w:val="20"/>
          <w:szCs w:val="20"/>
          <w:color w:val="auto"/>
        </w:rPr>
      </w:pPr>
      <w:r>
        <w:rPr>
          <w:rFonts w:ascii="Arial" w:cs="Arial" w:eastAsia="Arial" w:hAnsi="Arial"/>
          <w:sz w:val="18"/>
          <w:szCs w:val="18"/>
          <w:i w:val="1"/>
          <w:iCs w:val="1"/>
          <w:color w:val="auto"/>
        </w:rPr>
        <w:t xml:space="preserve">Mexico Business – </w:t>
      </w:r>
      <w:r>
        <w:rPr>
          <w:rFonts w:ascii="Arial" w:cs="Arial" w:eastAsia="Arial" w:hAnsi="Arial"/>
          <w:sz w:val="18"/>
          <w:szCs w:val="18"/>
          <w:color w:val="auto"/>
        </w:rPr>
        <w:t>Each of our commodity groups includes revenue from shipments to and from Mexico.</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from Mexico business decreased 2% to $555 million in the third quarter of 2017 compared to 2016 primarily due to a 3% decline in volume resulting from lower grain and auto parts shipments. Core pricing gains and higher fuel surcharge revenue partially offset the reduced volume levels. For the nine-month period, freight revenue increased 3% to $1,697 million compared to 2016 driven by fuel surcharge revenue and core pricing gains, partially offset by a 1% decline in volume levels.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45085</wp:posOffset>
            </wp:positionV>
            <wp:extent cx="5642610" cy="51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7" w:name="page28"/>
    <w:bookmarkEnd w:id="27"/>
    <w:p>
      <w:pPr>
        <w:ind w:left="10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Operating Expenses</w:t>
      </w:r>
    </w:p>
    <w:p>
      <w:pPr>
        <w:spacing w:after="0" w:line="106" w:lineRule="exact"/>
        <w:rPr>
          <w:sz w:val="20"/>
          <w:szCs w:val="20"/>
          <w:color w:val="auto"/>
        </w:rPr>
      </w:pPr>
    </w:p>
    <w:tbl>
      <w:tblPr>
        <w:tblLayout w:type="fixed"/>
        <w:tblInd w:w="100" w:type="dxa"/>
        <w:tblCellMar>
          <w:top w:w="0" w:type="dxa"/>
          <w:left w:w="0" w:type="dxa"/>
          <w:bottom w:w="0" w:type="dxa"/>
          <w:right w:w="0" w:type="dxa"/>
        </w:tblCellMar>
      </w:tblPr>
      <w:tr>
        <w:trPr>
          <w:trHeight w:val="256"/>
        </w:trPr>
        <w:tc>
          <w:tcPr>
            <w:tcW w:w="3740" w:type="dxa"/>
            <w:vAlign w:val="bottom"/>
            <w:tcBorders>
              <w:top w:val="single" w:sz="8" w:color="7F7F7F"/>
            </w:tcBorders>
          </w:tcPr>
          <w:p>
            <w:pPr>
              <w:spacing w:after="0"/>
              <w:rPr>
                <w:sz w:val="22"/>
                <w:szCs w:val="22"/>
                <w:color w:val="auto"/>
              </w:rPr>
            </w:pPr>
          </w:p>
        </w:tc>
        <w:tc>
          <w:tcPr>
            <w:tcW w:w="1640" w:type="dxa"/>
            <w:vAlign w:val="bottom"/>
            <w:tcBorders>
              <w:top w:val="single" w:sz="8" w:color="7F7F7F"/>
            </w:tcBorders>
            <w:gridSpan w:val="5"/>
          </w:tcPr>
          <w:p>
            <w:pPr>
              <w:jc w:val="right"/>
              <w:spacing w:after="0"/>
              <w:rPr>
                <w:sz w:val="20"/>
                <w:szCs w:val="20"/>
                <w:color w:val="auto"/>
              </w:rPr>
            </w:pPr>
            <w:r>
              <w:rPr>
                <w:rFonts w:ascii="Arial" w:cs="Arial" w:eastAsia="Arial" w:hAnsi="Arial"/>
                <w:sz w:val="16"/>
                <w:szCs w:val="16"/>
                <w:i w:val="1"/>
                <w:iCs w:val="1"/>
                <w:color w:val="auto"/>
              </w:rPr>
              <w:t>Three Months Ended</w:t>
            </w:r>
          </w:p>
        </w:tc>
        <w:tc>
          <w:tcPr>
            <w:tcW w:w="660" w:type="dxa"/>
            <w:vAlign w:val="bottom"/>
            <w:tcBorders>
              <w:top w:val="single" w:sz="8" w:color="7F7F7F"/>
            </w:tcBorders>
          </w:tcPr>
          <w:p>
            <w:pPr>
              <w:spacing w:after="0"/>
              <w:rPr>
                <w:sz w:val="22"/>
                <w:szCs w:val="22"/>
                <w:color w:val="auto"/>
              </w:rPr>
            </w:pPr>
          </w:p>
        </w:tc>
        <w:tc>
          <w:tcPr>
            <w:tcW w:w="160" w:type="dxa"/>
            <w:vAlign w:val="bottom"/>
            <w:tcBorders>
              <w:top w:val="single" w:sz="8" w:color="7F7F7F"/>
            </w:tcBorders>
          </w:tcPr>
          <w:p>
            <w:pPr>
              <w:spacing w:after="0"/>
              <w:rPr>
                <w:sz w:val="22"/>
                <w:szCs w:val="22"/>
                <w:color w:val="auto"/>
              </w:rPr>
            </w:pPr>
          </w:p>
        </w:tc>
        <w:tc>
          <w:tcPr>
            <w:tcW w:w="200" w:type="dxa"/>
            <w:vAlign w:val="bottom"/>
            <w:tcBorders>
              <w:top w:val="single" w:sz="8" w:color="808080"/>
            </w:tcBorders>
          </w:tcPr>
          <w:p>
            <w:pPr>
              <w:spacing w:after="0"/>
              <w:rPr>
                <w:sz w:val="22"/>
                <w:szCs w:val="22"/>
                <w:color w:val="auto"/>
              </w:rPr>
            </w:pPr>
          </w:p>
        </w:tc>
        <w:tc>
          <w:tcPr>
            <w:tcW w:w="1640" w:type="dxa"/>
            <w:vAlign w:val="bottom"/>
            <w:tcBorders>
              <w:top w:val="single" w:sz="8" w:color="808080"/>
            </w:tcBorders>
            <w:gridSpan w:val="4"/>
          </w:tcPr>
          <w:p>
            <w:pPr>
              <w:ind w:left="100"/>
              <w:spacing w:after="0"/>
              <w:rPr>
                <w:sz w:val="20"/>
                <w:szCs w:val="20"/>
                <w:color w:val="auto"/>
              </w:rPr>
            </w:pPr>
            <w:r>
              <w:rPr>
                <w:rFonts w:ascii="Arial" w:cs="Arial" w:eastAsia="Arial" w:hAnsi="Arial"/>
                <w:sz w:val="16"/>
                <w:szCs w:val="16"/>
                <w:i w:val="1"/>
                <w:iCs w:val="1"/>
                <w:color w:val="auto"/>
              </w:rPr>
              <w:t>Nine Months Ended</w:t>
            </w:r>
          </w:p>
        </w:tc>
        <w:tc>
          <w:tcPr>
            <w:tcW w:w="620" w:type="dxa"/>
            <w:vAlign w:val="bottom"/>
            <w:tcBorders>
              <w:top w:val="single" w:sz="8" w:color="808080"/>
            </w:tcBorders>
          </w:tcPr>
          <w:p>
            <w:pPr>
              <w:spacing w:after="0"/>
              <w:rPr>
                <w:sz w:val="22"/>
                <w:szCs w:val="22"/>
                <w:color w:val="auto"/>
              </w:rPr>
            </w:pPr>
          </w:p>
        </w:tc>
        <w:tc>
          <w:tcPr>
            <w:tcW w:w="160" w:type="dxa"/>
            <w:vAlign w:val="bottom"/>
            <w:tcBorders>
              <w:top w:val="single" w:sz="8" w:color="808080"/>
            </w:tcBorders>
          </w:tcPr>
          <w:p>
            <w:pPr>
              <w:spacing w:after="0"/>
              <w:rPr>
                <w:sz w:val="22"/>
                <w:szCs w:val="22"/>
                <w:color w:val="auto"/>
              </w:rPr>
            </w:pPr>
          </w:p>
        </w:tc>
      </w:tr>
      <w:tr>
        <w:trPr>
          <w:trHeight w:val="197"/>
        </w:trPr>
        <w:tc>
          <w:tcPr>
            <w:tcW w:w="3740" w:type="dxa"/>
            <w:vAlign w:val="bottom"/>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1400" w:type="dxa"/>
            <w:vAlign w:val="bottom"/>
            <w:tcBorders>
              <w:bottom w:val="single" w:sz="8" w:color="808080"/>
            </w:tcBorders>
            <w:gridSpan w:val="4"/>
          </w:tcPr>
          <w:p>
            <w:pPr>
              <w:jc w:val="right"/>
              <w:ind w:right="219"/>
              <w:spacing w:after="0"/>
              <w:rPr>
                <w:sz w:val="20"/>
                <w:szCs w:val="20"/>
                <w:color w:val="auto"/>
              </w:rPr>
            </w:pPr>
            <w:r>
              <w:rPr>
                <w:rFonts w:ascii="Arial" w:cs="Arial" w:eastAsia="Arial" w:hAnsi="Arial"/>
                <w:sz w:val="16"/>
                <w:szCs w:val="16"/>
                <w:i w:val="1"/>
                <w:iCs w:val="1"/>
                <w:color w:val="auto"/>
              </w:rPr>
              <w:t>September 30,</w:t>
            </w: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1400" w:type="dxa"/>
            <w:vAlign w:val="bottom"/>
            <w:tcBorders>
              <w:bottom w:val="single" w:sz="8" w:color="808080"/>
            </w:tcBorders>
            <w:gridSpan w:val="3"/>
          </w:tcPr>
          <w:p>
            <w:pPr>
              <w:jc w:val="right"/>
              <w:ind w:right="219"/>
              <w:spacing w:after="0"/>
              <w:rPr>
                <w:sz w:val="20"/>
                <w:szCs w:val="20"/>
                <w:color w:val="auto"/>
              </w:rPr>
            </w:pPr>
            <w:r>
              <w:rPr>
                <w:rFonts w:ascii="Arial" w:cs="Arial" w:eastAsia="Arial" w:hAnsi="Arial"/>
                <w:sz w:val="16"/>
                <w:szCs w:val="16"/>
                <w:i w:val="1"/>
                <w:iCs w:val="1"/>
                <w:color w:val="auto"/>
              </w:rPr>
              <w:t>September 30,</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3740" w:type="dxa"/>
            <w:vAlign w:val="bottom"/>
            <w:tcBorders>
              <w:bottom w:val="single" w:sz="8" w:color="808080"/>
            </w:tcBorders>
          </w:tcPr>
          <w:p>
            <w:pPr>
              <w:spacing w:after="0"/>
              <w:rPr>
                <w:sz w:val="20"/>
                <w:szCs w:val="20"/>
                <w:color w:val="auto"/>
              </w:rPr>
            </w:pPr>
            <w:r>
              <w:rPr>
                <w:rFonts w:ascii="Arial" w:cs="Arial" w:eastAsia="Arial" w:hAnsi="Arial"/>
                <w:sz w:val="16"/>
                <w:szCs w:val="16"/>
                <w:i w:val="1"/>
                <w:iCs w:val="1"/>
                <w:color w:val="auto"/>
              </w:rPr>
              <w:t>Millions</w:t>
            </w:r>
          </w:p>
        </w:tc>
        <w:tc>
          <w:tcPr>
            <w:tcW w:w="240" w:type="dxa"/>
            <w:vAlign w:val="bottom"/>
            <w:tcBorders>
              <w:bottom w:val="single" w:sz="8" w:color="808080"/>
            </w:tcBorders>
          </w:tcPr>
          <w:p>
            <w:pPr>
              <w:spacing w:after="0"/>
              <w:rPr>
                <w:sz w:val="17"/>
                <w:szCs w:val="17"/>
                <w:color w:val="auto"/>
              </w:rPr>
            </w:pPr>
          </w:p>
        </w:tc>
        <w:tc>
          <w:tcPr>
            <w:tcW w:w="600" w:type="dxa"/>
            <w:vAlign w:val="bottom"/>
            <w:tcBorders>
              <w:bottom w:val="single" w:sz="8" w:color="808080"/>
            </w:tcBorders>
          </w:tcPr>
          <w:p>
            <w:pPr>
              <w:jc w:val="right"/>
              <w:spacing w:after="0"/>
              <w:rPr>
                <w:sz w:val="20"/>
                <w:szCs w:val="20"/>
                <w:color w:val="auto"/>
              </w:rPr>
            </w:pPr>
            <w:r>
              <w:rPr>
                <w:rFonts w:ascii="Arial" w:cs="Arial" w:eastAsia="Arial" w:hAnsi="Arial"/>
                <w:sz w:val="16"/>
                <w:szCs w:val="16"/>
                <w:b w:val="1"/>
                <w:bCs w:val="1"/>
                <w:i w:val="1"/>
                <w:iCs w:val="1"/>
                <w:color w:val="auto"/>
              </w:rPr>
              <w:t>2017</w:t>
            </w:r>
          </w:p>
        </w:tc>
        <w:tc>
          <w:tcPr>
            <w:tcW w:w="18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540" w:type="dxa"/>
            <w:vAlign w:val="bottom"/>
            <w:tcBorders>
              <w:bottom w:val="single" w:sz="8" w:color="808080"/>
            </w:tcBorders>
          </w:tcPr>
          <w:p>
            <w:pPr>
              <w:jc w:val="right"/>
              <w:spacing w:after="0"/>
              <w:rPr>
                <w:sz w:val="20"/>
                <w:szCs w:val="20"/>
                <w:color w:val="auto"/>
              </w:rPr>
            </w:pPr>
            <w:r>
              <w:rPr>
                <w:rFonts w:ascii="Arial" w:cs="Arial" w:eastAsia="Arial" w:hAnsi="Arial"/>
                <w:sz w:val="16"/>
                <w:szCs w:val="16"/>
                <w:i w:val="1"/>
                <w:iCs w:val="1"/>
                <w:color w:val="auto"/>
              </w:rPr>
              <w:t>2016</w:t>
            </w:r>
          </w:p>
        </w:tc>
        <w:tc>
          <w:tcPr>
            <w:tcW w:w="1020" w:type="dxa"/>
            <w:vAlign w:val="bottom"/>
            <w:tcBorders>
              <w:bottom w:val="single" w:sz="8" w:color="808080"/>
            </w:tcBorders>
            <w:gridSpan w:val="3"/>
          </w:tcPr>
          <w:p>
            <w:pPr>
              <w:jc w:val="right"/>
              <w:ind w:right="200"/>
              <w:spacing w:after="0"/>
              <w:rPr>
                <w:sz w:val="20"/>
                <w:szCs w:val="20"/>
                <w:color w:val="auto"/>
              </w:rPr>
            </w:pPr>
            <w:r>
              <w:rPr>
                <w:rFonts w:ascii="Arial" w:cs="Arial" w:eastAsia="Arial" w:hAnsi="Arial"/>
                <w:sz w:val="16"/>
                <w:szCs w:val="16"/>
                <w:b w:val="1"/>
                <w:bCs w:val="1"/>
                <w:i w:val="1"/>
                <w:iCs w:val="1"/>
                <w:color w:val="auto"/>
              </w:rPr>
              <w:t>Change</w:t>
            </w:r>
          </w:p>
        </w:tc>
        <w:tc>
          <w:tcPr>
            <w:tcW w:w="240" w:type="dxa"/>
            <w:vAlign w:val="bottom"/>
            <w:tcBorders>
              <w:bottom w:val="single" w:sz="8" w:color="808080"/>
            </w:tcBorders>
          </w:tcPr>
          <w:p>
            <w:pPr>
              <w:spacing w:after="0"/>
              <w:rPr>
                <w:sz w:val="17"/>
                <w:szCs w:val="17"/>
                <w:color w:val="auto"/>
              </w:rPr>
            </w:pPr>
          </w:p>
        </w:tc>
        <w:tc>
          <w:tcPr>
            <w:tcW w:w="600" w:type="dxa"/>
            <w:vAlign w:val="bottom"/>
            <w:tcBorders>
              <w:bottom w:val="single" w:sz="8" w:color="808080"/>
            </w:tcBorders>
          </w:tcPr>
          <w:p>
            <w:pPr>
              <w:jc w:val="right"/>
              <w:spacing w:after="0"/>
              <w:rPr>
                <w:sz w:val="20"/>
                <w:szCs w:val="20"/>
                <w:color w:val="auto"/>
              </w:rPr>
            </w:pPr>
            <w:r>
              <w:rPr>
                <w:rFonts w:ascii="Arial" w:cs="Arial" w:eastAsia="Arial" w:hAnsi="Arial"/>
                <w:sz w:val="16"/>
                <w:szCs w:val="16"/>
                <w:b w:val="1"/>
                <w:bCs w:val="1"/>
                <w:i w:val="1"/>
                <w:iCs w:val="1"/>
                <w:color w:val="auto"/>
              </w:rPr>
              <w:t>2017</w:t>
            </w:r>
          </w:p>
        </w:tc>
        <w:tc>
          <w:tcPr>
            <w:tcW w:w="260" w:type="dxa"/>
            <w:vAlign w:val="bottom"/>
            <w:tcBorders>
              <w:bottom w:val="single" w:sz="8" w:color="808080"/>
            </w:tcBorders>
          </w:tcPr>
          <w:p>
            <w:pPr>
              <w:spacing w:after="0"/>
              <w:rPr>
                <w:sz w:val="17"/>
                <w:szCs w:val="17"/>
                <w:color w:val="auto"/>
              </w:rPr>
            </w:pPr>
          </w:p>
        </w:tc>
        <w:tc>
          <w:tcPr>
            <w:tcW w:w="540" w:type="dxa"/>
            <w:vAlign w:val="bottom"/>
            <w:tcBorders>
              <w:bottom w:val="single" w:sz="8" w:color="808080"/>
            </w:tcBorders>
          </w:tcPr>
          <w:p>
            <w:pPr>
              <w:jc w:val="right"/>
              <w:spacing w:after="0"/>
              <w:rPr>
                <w:sz w:val="20"/>
                <w:szCs w:val="20"/>
                <w:color w:val="auto"/>
              </w:rPr>
            </w:pPr>
            <w:r>
              <w:rPr>
                <w:rFonts w:ascii="Arial" w:cs="Arial" w:eastAsia="Arial" w:hAnsi="Arial"/>
                <w:sz w:val="16"/>
                <w:szCs w:val="16"/>
                <w:i w:val="1"/>
                <w:iCs w:val="1"/>
                <w:color w:val="auto"/>
              </w:rPr>
              <w:t>2016</w:t>
            </w:r>
          </w:p>
        </w:tc>
        <w:tc>
          <w:tcPr>
            <w:tcW w:w="780" w:type="dxa"/>
            <w:vAlign w:val="bottom"/>
            <w:tcBorders>
              <w:bottom w:val="single" w:sz="8" w:color="808080"/>
            </w:tcBorders>
            <w:gridSpan w:val="2"/>
          </w:tcPr>
          <w:p>
            <w:pPr>
              <w:jc w:val="right"/>
              <w:spacing w:after="0"/>
              <w:rPr>
                <w:sz w:val="20"/>
                <w:szCs w:val="20"/>
                <w:color w:val="auto"/>
              </w:rPr>
            </w:pPr>
            <w:r>
              <w:rPr>
                <w:rFonts w:ascii="Arial" w:cs="Arial" w:eastAsia="Arial" w:hAnsi="Arial"/>
                <w:sz w:val="16"/>
                <w:szCs w:val="16"/>
                <w:b w:val="1"/>
                <w:bCs w:val="1"/>
                <w:i w:val="1"/>
                <w:iCs w:val="1"/>
                <w:color w:val="auto"/>
              </w:rPr>
              <w:t>Change</w:t>
            </w:r>
          </w:p>
        </w:tc>
      </w:tr>
      <w:tr>
        <w:trPr>
          <w:trHeight w:val="203"/>
        </w:trPr>
        <w:tc>
          <w:tcPr>
            <w:tcW w:w="3740" w:type="dxa"/>
            <w:vAlign w:val="bottom"/>
            <w:shd w:val="clear" w:color="auto" w:fill="CCEEFF"/>
          </w:tcPr>
          <w:p>
            <w:pPr>
              <w:spacing w:after="0"/>
              <w:rPr>
                <w:sz w:val="20"/>
                <w:szCs w:val="20"/>
                <w:color w:val="auto"/>
              </w:rPr>
            </w:pPr>
            <w:r>
              <w:rPr>
                <w:rFonts w:ascii="Arial" w:cs="Arial" w:eastAsia="Arial" w:hAnsi="Arial"/>
                <w:sz w:val="16"/>
                <w:szCs w:val="16"/>
                <w:color w:val="auto"/>
              </w:rPr>
              <w:t>Compensation and benefits</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1,298</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1,191</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w w:val="98"/>
              </w:rPr>
              <w:t>%</w:t>
            </w:r>
          </w:p>
        </w:tc>
        <w:tc>
          <w:tcPr>
            <w:tcW w:w="24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3,752</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3,564</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w:t>
            </w:r>
          </w:p>
        </w:tc>
      </w:tr>
      <w:tr>
        <w:trPr>
          <w:trHeight w:val="215"/>
        </w:trPr>
        <w:tc>
          <w:tcPr>
            <w:tcW w:w="3740" w:type="dxa"/>
            <w:vAlign w:val="bottom"/>
          </w:tcPr>
          <w:p>
            <w:pPr>
              <w:spacing w:after="0"/>
              <w:rPr>
                <w:sz w:val="20"/>
                <w:szCs w:val="20"/>
                <w:color w:val="auto"/>
              </w:rPr>
            </w:pPr>
            <w:r>
              <w:rPr>
                <w:rFonts w:ascii="Arial" w:cs="Arial" w:eastAsia="Arial" w:hAnsi="Arial"/>
                <w:sz w:val="16"/>
                <w:szCs w:val="16"/>
                <w:color w:val="auto"/>
              </w:rPr>
              <w:t>Purchased services and materials</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615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566</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1,778</w:t>
            </w: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1,705</w:t>
            </w: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160" w:type="dxa"/>
            <w:vAlign w:val="bottom"/>
          </w:tcPr>
          <w:p>
            <w:pPr>
              <w:spacing w:after="0"/>
              <w:rPr>
                <w:sz w:val="18"/>
                <w:szCs w:val="18"/>
                <w:color w:val="auto"/>
              </w:rPr>
            </w:pPr>
          </w:p>
        </w:tc>
      </w:tr>
      <w:tr>
        <w:trPr>
          <w:trHeight w:val="217"/>
        </w:trPr>
        <w:tc>
          <w:tcPr>
            <w:tcW w:w="3740" w:type="dxa"/>
            <w:vAlign w:val="bottom"/>
            <w:shd w:val="clear" w:color="auto" w:fill="CCEEFF"/>
          </w:tcPr>
          <w:p>
            <w:pPr>
              <w:spacing w:after="0"/>
              <w:rPr>
                <w:sz w:val="20"/>
                <w:szCs w:val="20"/>
                <w:color w:val="auto"/>
              </w:rPr>
            </w:pPr>
            <w:r>
              <w:rPr>
                <w:rFonts w:ascii="Arial" w:cs="Arial" w:eastAsia="Arial" w:hAnsi="Arial"/>
                <w:sz w:val="16"/>
                <w:szCs w:val="16"/>
                <w:color w:val="auto"/>
              </w:rPr>
              <w:t>Depreciation</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528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1,573</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1,518</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c>
          <w:tcPr>
            <w:tcW w:w="160" w:type="dxa"/>
            <w:vAlign w:val="bottom"/>
            <w:shd w:val="clear" w:color="auto" w:fill="CCEEFF"/>
          </w:tcPr>
          <w:p>
            <w:pPr>
              <w:spacing w:after="0"/>
              <w:rPr>
                <w:sz w:val="18"/>
                <w:szCs w:val="18"/>
                <w:color w:val="auto"/>
              </w:rPr>
            </w:pPr>
          </w:p>
        </w:tc>
      </w:tr>
      <w:tr>
        <w:trPr>
          <w:trHeight w:val="215"/>
        </w:trPr>
        <w:tc>
          <w:tcPr>
            <w:tcW w:w="3740" w:type="dxa"/>
            <w:vAlign w:val="bottom"/>
          </w:tcPr>
          <w:p>
            <w:pPr>
              <w:spacing w:after="0"/>
              <w:rPr>
                <w:sz w:val="20"/>
                <w:szCs w:val="20"/>
                <w:color w:val="auto"/>
              </w:rPr>
            </w:pPr>
            <w:r>
              <w:rPr>
                <w:rFonts w:ascii="Arial" w:cs="Arial" w:eastAsia="Arial" w:hAnsi="Arial"/>
                <w:sz w:val="16"/>
                <w:szCs w:val="16"/>
                <w:color w:val="auto"/>
              </w:rPr>
              <w:t>Fuel</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450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392</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1,344</w:t>
            </w: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1,058</w:t>
            </w: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27</w:t>
            </w:r>
          </w:p>
        </w:tc>
        <w:tc>
          <w:tcPr>
            <w:tcW w:w="160" w:type="dxa"/>
            <w:vAlign w:val="bottom"/>
          </w:tcPr>
          <w:p>
            <w:pPr>
              <w:spacing w:after="0"/>
              <w:rPr>
                <w:sz w:val="18"/>
                <w:szCs w:val="18"/>
                <w:color w:val="auto"/>
              </w:rPr>
            </w:pPr>
          </w:p>
        </w:tc>
      </w:tr>
      <w:tr>
        <w:trPr>
          <w:trHeight w:val="217"/>
        </w:trPr>
        <w:tc>
          <w:tcPr>
            <w:tcW w:w="3740" w:type="dxa"/>
            <w:vAlign w:val="bottom"/>
            <w:shd w:val="clear" w:color="auto" w:fill="CCEEFF"/>
          </w:tcPr>
          <w:p>
            <w:pPr>
              <w:spacing w:after="0"/>
              <w:rPr>
                <w:sz w:val="20"/>
                <w:szCs w:val="20"/>
                <w:color w:val="auto"/>
              </w:rPr>
            </w:pPr>
            <w:r>
              <w:rPr>
                <w:rFonts w:ascii="Arial" w:cs="Arial" w:eastAsia="Arial" w:hAnsi="Arial"/>
                <w:sz w:val="16"/>
                <w:szCs w:val="16"/>
                <w:color w:val="auto"/>
              </w:rPr>
              <w:t>Equipment and other rents</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824</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c>
          <w:tcPr>
            <w:tcW w:w="160" w:type="dxa"/>
            <w:vAlign w:val="bottom"/>
            <w:shd w:val="clear" w:color="auto" w:fill="CCEEFF"/>
          </w:tcPr>
          <w:p>
            <w:pPr>
              <w:spacing w:after="0"/>
              <w:rPr>
                <w:sz w:val="18"/>
                <w:szCs w:val="18"/>
                <w:color w:val="auto"/>
              </w:rPr>
            </w:pPr>
          </w:p>
        </w:tc>
      </w:tr>
      <w:tr>
        <w:trPr>
          <w:trHeight w:val="210"/>
        </w:trPr>
        <w:tc>
          <w:tcPr>
            <w:tcW w:w="374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7F7F7F"/>
            </w:tcBorders>
          </w:tcPr>
          <w:p>
            <w:pPr>
              <w:spacing w:after="0"/>
              <w:rPr>
                <w:sz w:val="18"/>
                <w:szCs w:val="18"/>
                <w:color w:val="auto"/>
              </w:rPr>
            </w:pPr>
          </w:p>
        </w:tc>
        <w:tc>
          <w:tcPr>
            <w:tcW w:w="600" w:type="dxa"/>
            <w:vAlign w:val="bottom"/>
            <w:tcBorders>
              <w:bottom w:val="single" w:sz="8" w:color="7F7F7F"/>
            </w:tcBorders>
          </w:tcPr>
          <w:p>
            <w:pPr>
              <w:jc w:val="right"/>
              <w:spacing w:after="0"/>
              <w:rPr>
                <w:sz w:val="20"/>
                <w:szCs w:val="20"/>
                <w:color w:val="auto"/>
              </w:rPr>
            </w:pPr>
            <w:r>
              <w:rPr>
                <w:rFonts w:ascii="Arial" w:cs="Arial" w:eastAsia="Arial" w:hAnsi="Arial"/>
                <w:sz w:val="16"/>
                <w:szCs w:val="16"/>
                <w:b w:val="1"/>
                <w:bCs w:val="1"/>
                <w:color w:val="auto"/>
              </w:rPr>
              <w:t>230</w:t>
            </w:r>
          </w:p>
        </w:tc>
        <w:tc>
          <w:tcPr>
            <w:tcW w:w="180" w:type="dxa"/>
            <w:vAlign w:val="bottom"/>
            <w:tcBorders>
              <w:bottom w:val="single" w:sz="8" w:color="7F7F7F"/>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54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271</w:t>
            </w:r>
          </w:p>
        </w:tc>
        <w:tc>
          <w:tcPr>
            <w:tcW w:w="660" w:type="dxa"/>
            <w:vAlign w:val="bottom"/>
            <w:tcBorders>
              <w:bottom w:val="single" w:sz="8" w:color="808080"/>
            </w:tcBorders>
          </w:tcPr>
          <w:p>
            <w:pPr>
              <w:jc w:val="right"/>
              <w:spacing w:after="0"/>
              <w:rPr>
                <w:sz w:val="20"/>
                <w:szCs w:val="20"/>
                <w:color w:val="auto"/>
              </w:rPr>
            </w:pPr>
            <w:r>
              <w:rPr>
                <w:rFonts w:ascii="Arial" w:cs="Arial" w:eastAsia="Arial" w:hAnsi="Arial"/>
                <w:sz w:val="16"/>
                <w:szCs w:val="16"/>
                <w:b w:val="1"/>
                <w:bCs w:val="1"/>
                <w:color w:val="auto"/>
              </w:rPr>
              <w:t>(15)</w:t>
            </w:r>
          </w:p>
        </w:tc>
        <w:tc>
          <w:tcPr>
            <w:tcW w:w="16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600" w:type="dxa"/>
            <w:vAlign w:val="bottom"/>
            <w:tcBorders>
              <w:bottom w:val="single" w:sz="8" w:color="808080"/>
            </w:tcBorders>
          </w:tcPr>
          <w:p>
            <w:pPr>
              <w:jc w:val="right"/>
              <w:spacing w:after="0"/>
              <w:rPr>
                <w:sz w:val="20"/>
                <w:szCs w:val="20"/>
                <w:color w:val="auto"/>
              </w:rPr>
            </w:pPr>
            <w:r>
              <w:rPr>
                <w:rFonts w:ascii="Arial" w:cs="Arial" w:eastAsia="Arial" w:hAnsi="Arial"/>
                <w:sz w:val="16"/>
                <w:szCs w:val="16"/>
                <w:b w:val="1"/>
                <w:bCs w:val="1"/>
                <w:color w:val="auto"/>
              </w:rPr>
              <w:t>709</w:t>
            </w:r>
          </w:p>
        </w:tc>
        <w:tc>
          <w:tcPr>
            <w:tcW w:w="260" w:type="dxa"/>
            <w:vAlign w:val="bottom"/>
            <w:tcBorders>
              <w:bottom w:val="single" w:sz="8" w:color="808080"/>
            </w:tcBorders>
          </w:tcPr>
          <w:p>
            <w:pPr>
              <w:spacing w:after="0"/>
              <w:rPr>
                <w:sz w:val="18"/>
                <w:szCs w:val="18"/>
                <w:color w:val="auto"/>
              </w:rPr>
            </w:pPr>
          </w:p>
        </w:tc>
        <w:tc>
          <w:tcPr>
            <w:tcW w:w="54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764</w:t>
            </w:r>
          </w:p>
        </w:tc>
        <w:tc>
          <w:tcPr>
            <w:tcW w:w="620" w:type="dxa"/>
            <w:vAlign w:val="bottom"/>
            <w:tcBorders>
              <w:bottom w:val="single" w:sz="8" w:color="808080"/>
            </w:tcBorders>
          </w:tcPr>
          <w:p>
            <w:pPr>
              <w:jc w:val="right"/>
              <w:spacing w:after="0"/>
              <w:rPr>
                <w:sz w:val="20"/>
                <w:szCs w:val="20"/>
                <w:color w:val="auto"/>
              </w:rPr>
            </w:pPr>
            <w:r>
              <w:rPr>
                <w:rFonts w:ascii="Arial" w:cs="Arial" w:eastAsia="Arial" w:hAnsi="Arial"/>
                <w:sz w:val="16"/>
                <w:szCs w:val="16"/>
                <w:b w:val="1"/>
                <w:bCs w:val="1"/>
                <w:color w:val="auto"/>
              </w:rPr>
              <w:t>(7)</w:t>
            </w:r>
          </w:p>
        </w:tc>
        <w:tc>
          <w:tcPr>
            <w:tcW w:w="160" w:type="dxa"/>
            <w:vAlign w:val="bottom"/>
            <w:tcBorders>
              <w:bottom w:val="single" w:sz="8" w:color="808080"/>
            </w:tcBorders>
          </w:tcPr>
          <w:p>
            <w:pPr>
              <w:spacing w:after="0"/>
              <w:rPr>
                <w:sz w:val="18"/>
                <w:szCs w:val="18"/>
                <w:color w:val="auto"/>
              </w:rPr>
            </w:pPr>
          </w:p>
        </w:tc>
      </w:tr>
      <w:tr>
        <w:trPr>
          <w:trHeight w:val="264"/>
        </w:trPr>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3,396</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3,214</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w:t>
            </w:r>
          </w:p>
        </w:tc>
        <w:tc>
          <w:tcPr>
            <w:tcW w:w="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w w:val="98"/>
              </w:rPr>
              <w:t>%</w:t>
            </w:r>
          </w:p>
        </w:tc>
        <w:tc>
          <w:tcPr>
            <w:tcW w:w="2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9,980</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9,466</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w:t>
            </w:r>
          </w:p>
        </w:tc>
      </w:tr>
      <w:tr>
        <w:trPr>
          <w:trHeight w:val="54"/>
        </w:trPr>
        <w:tc>
          <w:tcPr>
            <w:tcW w:w="3740" w:type="dxa"/>
            <w:vAlign w:val="bottom"/>
            <w:shd w:val="clear" w:color="auto" w:fill="7F7F7F"/>
          </w:tcPr>
          <w:p>
            <w:pPr>
              <w:spacing w:after="0"/>
              <w:rPr>
                <w:sz w:val="4"/>
                <w:szCs w:val="4"/>
                <w:color w:val="auto"/>
              </w:rPr>
            </w:pPr>
          </w:p>
        </w:tc>
        <w:tc>
          <w:tcPr>
            <w:tcW w:w="240" w:type="dxa"/>
            <w:vAlign w:val="bottom"/>
            <w:shd w:val="clear" w:color="auto" w:fill="7F7F7F"/>
          </w:tcPr>
          <w:p>
            <w:pPr>
              <w:spacing w:after="0"/>
              <w:rPr>
                <w:sz w:val="4"/>
                <w:szCs w:val="4"/>
                <w:color w:val="auto"/>
              </w:rPr>
            </w:pPr>
          </w:p>
        </w:tc>
        <w:tc>
          <w:tcPr>
            <w:tcW w:w="600" w:type="dxa"/>
            <w:vAlign w:val="bottom"/>
            <w:shd w:val="clear" w:color="auto" w:fill="7F7F7F"/>
          </w:tcPr>
          <w:p>
            <w:pPr>
              <w:spacing w:after="0"/>
              <w:rPr>
                <w:sz w:val="4"/>
                <w:szCs w:val="4"/>
                <w:color w:val="auto"/>
              </w:rPr>
            </w:pPr>
          </w:p>
        </w:tc>
        <w:tc>
          <w:tcPr>
            <w:tcW w:w="180" w:type="dxa"/>
            <w:vAlign w:val="bottom"/>
            <w:shd w:val="clear" w:color="auto" w:fill="7F7F7F"/>
          </w:tcPr>
          <w:p>
            <w:pPr>
              <w:spacing w:after="0"/>
              <w:rPr>
                <w:sz w:val="4"/>
                <w:szCs w:val="4"/>
                <w:color w:val="auto"/>
              </w:rPr>
            </w:pPr>
          </w:p>
        </w:tc>
        <w:tc>
          <w:tcPr>
            <w:tcW w:w="80" w:type="dxa"/>
            <w:vAlign w:val="bottom"/>
            <w:shd w:val="clear" w:color="auto" w:fill="808080"/>
          </w:tcPr>
          <w:p>
            <w:pPr>
              <w:spacing w:after="0"/>
              <w:rPr>
                <w:sz w:val="4"/>
                <w:szCs w:val="4"/>
                <w:color w:val="auto"/>
              </w:rPr>
            </w:pPr>
          </w:p>
        </w:tc>
        <w:tc>
          <w:tcPr>
            <w:tcW w:w="540" w:type="dxa"/>
            <w:vAlign w:val="bottom"/>
            <w:shd w:val="clear" w:color="auto" w:fill="808080"/>
          </w:tcPr>
          <w:p>
            <w:pPr>
              <w:spacing w:after="0"/>
              <w:rPr>
                <w:sz w:val="4"/>
                <w:szCs w:val="4"/>
                <w:color w:val="auto"/>
              </w:rPr>
            </w:pPr>
          </w:p>
        </w:tc>
        <w:tc>
          <w:tcPr>
            <w:tcW w:w="660" w:type="dxa"/>
            <w:vAlign w:val="bottom"/>
            <w:shd w:val="clear" w:color="auto" w:fill="808080"/>
          </w:tcPr>
          <w:p>
            <w:pPr>
              <w:spacing w:after="0"/>
              <w:rPr>
                <w:sz w:val="4"/>
                <w:szCs w:val="4"/>
                <w:color w:val="auto"/>
              </w:rPr>
            </w:pPr>
          </w:p>
        </w:tc>
        <w:tc>
          <w:tcPr>
            <w:tcW w:w="160" w:type="dxa"/>
            <w:vAlign w:val="bottom"/>
            <w:shd w:val="clear" w:color="auto" w:fill="808080"/>
          </w:tcPr>
          <w:p>
            <w:pPr>
              <w:spacing w:after="0"/>
              <w:rPr>
                <w:sz w:val="4"/>
                <w:szCs w:val="4"/>
                <w:color w:val="auto"/>
              </w:rPr>
            </w:pPr>
          </w:p>
        </w:tc>
        <w:tc>
          <w:tcPr>
            <w:tcW w:w="200" w:type="dxa"/>
            <w:vAlign w:val="bottom"/>
            <w:shd w:val="clear" w:color="auto" w:fill="808080"/>
          </w:tcPr>
          <w:p>
            <w:pPr>
              <w:spacing w:after="0"/>
              <w:rPr>
                <w:sz w:val="4"/>
                <w:szCs w:val="4"/>
                <w:color w:val="auto"/>
              </w:rPr>
            </w:pPr>
          </w:p>
        </w:tc>
        <w:tc>
          <w:tcPr>
            <w:tcW w:w="240" w:type="dxa"/>
            <w:vAlign w:val="bottom"/>
            <w:shd w:val="clear" w:color="auto" w:fill="808080"/>
          </w:tcPr>
          <w:p>
            <w:pPr>
              <w:spacing w:after="0"/>
              <w:rPr>
                <w:sz w:val="4"/>
                <w:szCs w:val="4"/>
                <w:color w:val="auto"/>
              </w:rPr>
            </w:pPr>
          </w:p>
        </w:tc>
        <w:tc>
          <w:tcPr>
            <w:tcW w:w="600" w:type="dxa"/>
            <w:vAlign w:val="bottom"/>
            <w:shd w:val="clear" w:color="auto" w:fill="808080"/>
          </w:tcPr>
          <w:p>
            <w:pPr>
              <w:spacing w:after="0"/>
              <w:rPr>
                <w:sz w:val="4"/>
                <w:szCs w:val="4"/>
                <w:color w:val="auto"/>
              </w:rPr>
            </w:pPr>
          </w:p>
        </w:tc>
        <w:tc>
          <w:tcPr>
            <w:tcW w:w="260" w:type="dxa"/>
            <w:vAlign w:val="bottom"/>
            <w:shd w:val="clear" w:color="auto" w:fill="808080"/>
          </w:tcPr>
          <w:p>
            <w:pPr>
              <w:spacing w:after="0"/>
              <w:rPr>
                <w:sz w:val="4"/>
                <w:szCs w:val="4"/>
                <w:color w:val="auto"/>
              </w:rPr>
            </w:pPr>
          </w:p>
        </w:tc>
        <w:tc>
          <w:tcPr>
            <w:tcW w:w="540" w:type="dxa"/>
            <w:vAlign w:val="bottom"/>
            <w:shd w:val="clear" w:color="auto" w:fill="808080"/>
          </w:tcPr>
          <w:p>
            <w:pPr>
              <w:spacing w:after="0"/>
              <w:rPr>
                <w:sz w:val="4"/>
                <w:szCs w:val="4"/>
                <w:color w:val="auto"/>
              </w:rPr>
            </w:pPr>
          </w:p>
        </w:tc>
        <w:tc>
          <w:tcPr>
            <w:tcW w:w="620" w:type="dxa"/>
            <w:vAlign w:val="bottom"/>
            <w:shd w:val="clear" w:color="auto" w:fill="808080"/>
          </w:tcPr>
          <w:p>
            <w:pPr>
              <w:spacing w:after="0"/>
              <w:rPr>
                <w:sz w:val="4"/>
                <w:szCs w:val="4"/>
                <w:color w:val="auto"/>
              </w:rPr>
            </w:pPr>
          </w:p>
        </w:tc>
        <w:tc>
          <w:tcPr>
            <w:tcW w:w="160" w:type="dxa"/>
            <w:vAlign w:val="bottom"/>
            <w:shd w:val="clear" w:color="auto" w:fill="808080"/>
          </w:tcPr>
          <w:p>
            <w:pPr>
              <w:spacing w:after="0"/>
              <w:rPr>
                <w:sz w:val="4"/>
                <w:szCs w:val="4"/>
                <w:color w:val="auto"/>
              </w:rPr>
            </w:pPr>
          </w:p>
        </w:tc>
      </w:tr>
    </w:tbl>
    <w:p>
      <w:pPr>
        <w:spacing w:after="0" w:line="161" w:lineRule="exact"/>
        <w:rPr>
          <w:sz w:val="20"/>
          <w:szCs w:val="20"/>
          <w:color w:val="auto"/>
        </w:rPr>
      </w:pPr>
    </w:p>
    <w:p>
      <w:pPr>
        <w:jc w:val="both"/>
        <w:ind w:left="100" w:right="99"/>
        <w:spacing w:after="0" w:line="213" w:lineRule="auto"/>
        <w:rPr>
          <w:sz w:val="20"/>
          <w:szCs w:val="20"/>
          <w:color w:val="auto"/>
        </w:rPr>
      </w:pPr>
      <w:r>
        <w:rPr>
          <w:rFonts w:ascii="Arial" w:cs="Arial" w:eastAsia="Arial" w:hAnsi="Arial"/>
          <w:sz w:val="18"/>
          <w:szCs w:val="18"/>
          <w:color w:val="auto"/>
        </w:rPr>
        <w:t>Operating expenses increased $182 million and $514 million in the third quarter and year-to-date periods, respectively, compared to 2016 due to expenses related to the third quarter workforce reduction plan, higher fuel prices, contract services, inflation, hurricane-related costs, and depreciation. In addition, volume-related costs also contributed to the increase in year-to-date expenses compared to 2016. Continued productivity gains, lower state and local taxes, and other expenses partially offset these increases in both periods.</w:t>
      </w:r>
    </w:p>
    <w:p>
      <w:pPr>
        <w:spacing w:after="0" w:line="117" w:lineRule="exact"/>
        <w:rPr>
          <w:sz w:val="20"/>
          <w:szCs w:val="20"/>
          <w:color w:val="auto"/>
        </w:rPr>
      </w:pPr>
    </w:p>
    <w:p>
      <w:pPr>
        <w:jc w:val="both"/>
        <w:ind w:left="100" w:right="99"/>
        <w:spacing w:after="0" w:line="215" w:lineRule="auto"/>
        <w:rPr>
          <w:sz w:val="20"/>
          <w:szCs w:val="20"/>
          <w:color w:val="auto"/>
        </w:rPr>
      </w:pPr>
      <w:r>
        <w:rPr>
          <w:rFonts w:ascii="Arial" w:cs="Arial" w:eastAsia="Arial" w:hAnsi="Arial"/>
          <w:sz w:val="18"/>
          <w:szCs w:val="18"/>
          <w:i w:val="1"/>
          <w:iCs w:val="1"/>
          <w:color w:val="auto"/>
        </w:rPr>
        <w:t xml:space="preserve">Compensation and Benefits </w:t>
      </w:r>
      <w:r>
        <w:rPr>
          <w:rFonts w:ascii="Arial" w:cs="Arial" w:eastAsia="Arial" w:hAnsi="Arial"/>
          <w:sz w:val="18"/>
          <w:szCs w:val="18"/>
          <w:color w:val="auto"/>
        </w:rPr>
        <w:t>– Compensation and benefits include wages, payroll taxes, health and welfare</w:t>
      </w:r>
      <w:r>
        <w:rPr>
          <w:rFonts w:ascii="Arial" w:cs="Arial" w:eastAsia="Arial" w:hAnsi="Arial"/>
          <w:sz w:val="18"/>
          <w:szCs w:val="18"/>
          <w:i w:val="1"/>
          <w:iCs w:val="1"/>
          <w:color w:val="auto"/>
        </w:rPr>
        <w:t xml:space="preserve"> </w:t>
      </w:r>
      <w:r>
        <w:rPr>
          <w:rFonts w:ascii="Arial" w:cs="Arial" w:eastAsia="Arial" w:hAnsi="Arial"/>
          <w:sz w:val="18"/>
          <w:szCs w:val="18"/>
          <w:color w:val="auto"/>
        </w:rPr>
        <w:t>costs, pension costs, other postretirement benefits, and incentive costs. For the third quarter and year-to-date periods, expenses increased 9% and 5% compared to 2016. Expenses associated with the workforce reduction plan and wage and benefit inflation drove the increases, which were partially offset by resource productivity gains. Volume-related costs also contributed to the year-to-date increase in expenses compared to 2016.</w:t>
      </w:r>
    </w:p>
    <w:p>
      <w:pPr>
        <w:spacing w:after="0" w:line="116" w:lineRule="exact"/>
        <w:rPr>
          <w:sz w:val="20"/>
          <w:szCs w:val="20"/>
          <w:color w:val="auto"/>
        </w:rPr>
      </w:pPr>
    </w:p>
    <w:p>
      <w:pPr>
        <w:jc w:val="both"/>
        <w:ind w:left="100" w:right="99"/>
        <w:spacing w:after="0" w:line="209" w:lineRule="auto"/>
        <w:rPr>
          <w:sz w:val="20"/>
          <w:szCs w:val="20"/>
          <w:color w:val="auto"/>
        </w:rPr>
      </w:pPr>
      <w:r>
        <w:rPr>
          <w:rFonts w:ascii="Arial" w:cs="Arial" w:eastAsia="Arial" w:hAnsi="Arial"/>
          <w:sz w:val="18"/>
          <w:szCs w:val="18"/>
          <w:i w:val="1"/>
          <w:iCs w:val="1"/>
          <w:color w:val="auto"/>
        </w:rPr>
        <w:t xml:space="preserve">Purchased Services and Materials – </w:t>
      </w:r>
      <w:r>
        <w:rPr>
          <w:rFonts w:ascii="Arial" w:cs="Arial" w:eastAsia="Arial" w:hAnsi="Arial"/>
          <w:sz w:val="18"/>
          <w:szCs w:val="18"/>
          <w:color w:val="auto"/>
        </w:rPr>
        <w:t>Expense for purchased services and materials includes the costs of</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purchased from outside contractors and other service providers (including equipment maintenance and contract expenses incurred by our subsidiaries for external transportation services); materials used to maintain the Railroad’s lines, structures, and equipment; costs of operating facilities jointly used by UPRR and other railroads; transportation and lodging for train crew employees; trucking and contracting costs for intermodal containers; leased automobile maintenance expenses; and tools and supplies. Purchased services and materials increased 9% in the third quarter and 4% in the year-to-date period of 2017 compared to the same periods of 2016. Volume-related costs (including higher subsidiary contract services), hurricane-related contract services costs, and higher freight car repair expense for leased car expirations drove the increases. Lower joint facility expenses and lower locomotive maintenance expense partially offset the higher expenses for the nine-month period compared to 2016.</w:t>
      </w:r>
    </w:p>
    <w:p>
      <w:pPr>
        <w:spacing w:after="0" w:line="124" w:lineRule="exact"/>
        <w:rPr>
          <w:sz w:val="20"/>
          <w:szCs w:val="20"/>
          <w:color w:val="auto"/>
        </w:rPr>
      </w:pPr>
    </w:p>
    <w:p>
      <w:pPr>
        <w:jc w:val="both"/>
        <w:ind w:left="100" w:right="99"/>
        <w:spacing w:after="0" w:line="217" w:lineRule="auto"/>
        <w:rPr>
          <w:sz w:val="20"/>
          <w:szCs w:val="20"/>
          <w:color w:val="auto"/>
        </w:rPr>
      </w:pPr>
      <w:r>
        <w:rPr>
          <w:rFonts w:ascii="Arial" w:cs="Arial" w:eastAsia="Arial" w:hAnsi="Arial"/>
          <w:sz w:val="18"/>
          <w:szCs w:val="18"/>
          <w:i w:val="1"/>
          <w:iCs w:val="1"/>
          <w:color w:val="auto"/>
        </w:rPr>
        <w:t xml:space="preserve">Depreciation </w:t>
      </w:r>
      <w:r>
        <w:rPr>
          <w:rFonts w:ascii="Arial" w:cs="Arial" w:eastAsia="Arial" w:hAnsi="Arial"/>
          <w:sz w:val="18"/>
          <w:szCs w:val="18"/>
          <w:color w:val="auto"/>
        </w:rPr>
        <w:t>– The majority of depreciation relates to road property, including rail, ties, ballast, and other track</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 A higher depreciable asset base, reflecting recent years’ higher capital spending, increased depreciation expense in the third quarter and year-to-date periods of 2017 compared to 2016. These increases were partially offset by our recent depreciation studies that resulted in lower depreciation rates for certain asset classes.</w:t>
      </w:r>
    </w:p>
    <w:p>
      <w:pPr>
        <w:spacing w:after="0" w:line="118" w:lineRule="exact"/>
        <w:rPr>
          <w:sz w:val="20"/>
          <w:szCs w:val="20"/>
          <w:color w:val="auto"/>
        </w:rPr>
      </w:pPr>
    </w:p>
    <w:p>
      <w:pPr>
        <w:jc w:val="both"/>
        <w:ind w:left="100" w:right="99"/>
        <w:spacing w:after="0" w:line="212" w:lineRule="auto"/>
        <w:rPr>
          <w:sz w:val="20"/>
          <w:szCs w:val="20"/>
          <w:color w:val="auto"/>
        </w:rPr>
      </w:pPr>
      <w:r>
        <w:rPr>
          <w:rFonts w:ascii="Arial" w:cs="Arial" w:eastAsia="Arial" w:hAnsi="Arial"/>
          <w:sz w:val="18"/>
          <w:szCs w:val="18"/>
          <w:i w:val="1"/>
          <w:iCs w:val="1"/>
          <w:color w:val="auto"/>
        </w:rPr>
        <w:t xml:space="preserve">Fuel </w:t>
      </w:r>
      <w:r>
        <w:rPr>
          <w:rFonts w:ascii="Arial" w:cs="Arial" w:eastAsia="Arial" w:hAnsi="Arial"/>
          <w:sz w:val="18"/>
          <w:szCs w:val="18"/>
          <w:color w:val="auto"/>
        </w:rPr>
        <w:t>– Fuel includes locomotive fuel and fuel for highway and non-highway vehicles and heavy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Locomotive diesel fuel prices, which averaged $1.77 per gallon (including taxes and transportation costs) in the third quarter of 2017, compared to $1.57 per gallon in the same period in 2016, increased expenses by $50 million. In addition, fuel costs were higher as gross ton-miles increased 2% compared to the same period in 2016. The fuel consumption rate (c-rate), computed as gallons of fuel consumed divided by gross ton-miles in thousands, improved 1% compared to the third quarter of 2016. For the nine-month period, locomotive diesel fuel prices averaged $1.74 per gallon in 2017 compared to $1.42 in 2016, increasing expenses by $236 million.</w:t>
      </w:r>
    </w:p>
    <w:p>
      <w:pPr>
        <w:spacing w:after="0" w:line="117" w:lineRule="exact"/>
        <w:rPr>
          <w:sz w:val="20"/>
          <w:szCs w:val="20"/>
          <w:color w:val="auto"/>
        </w:rPr>
      </w:pPr>
    </w:p>
    <w:p>
      <w:pPr>
        <w:jc w:val="both"/>
        <w:ind w:left="100" w:right="99"/>
        <w:spacing w:after="0" w:line="220" w:lineRule="auto"/>
        <w:rPr>
          <w:sz w:val="20"/>
          <w:szCs w:val="20"/>
          <w:color w:val="auto"/>
        </w:rPr>
      </w:pPr>
      <w:r>
        <w:rPr>
          <w:rFonts w:ascii="Arial" w:cs="Arial" w:eastAsia="Arial" w:hAnsi="Arial"/>
          <w:sz w:val="18"/>
          <w:szCs w:val="18"/>
          <w:i w:val="1"/>
          <w:iCs w:val="1"/>
          <w:color w:val="auto"/>
        </w:rPr>
        <w:t xml:space="preserve">Equipment and Other Rents – </w:t>
      </w:r>
      <w:r>
        <w:rPr>
          <w:rFonts w:ascii="Arial" w:cs="Arial" w:eastAsia="Arial" w:hAnsi="Arial"/>
          <w:sz w:val="18"/>
          <w:szCs w:val="18"/>
          <w:color w:val="auto"/>
        </w:rPr>
        <w:t>Equipment and other rents expense primarily includes rental expense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Railroad pays for freight cars owned by other railroads or private companies; freight car, intermodal, and locomotive leases; and office and other rentals. Equipment and other rents expense decreased 2% and 4%, respectively, compared to the same periods in 2016, mainly driven by lower locomotive and freight</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45085</wp:posOffset>
            </wp:positionV>
            <wp:extent cx="5642610" cy="51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8" w:name="page29"/>
    <w:bookmarkEnd w:id="28"/>
    <w:p>
      <w:pPr>
        <w:ind w:left="10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66" w:lineRule="exact"/>
        <w:rPr>
          <w:sz w:val="20"/>
          <w:szCs w:val="20"/>
          <w:color w:val="auto"/>
        </w:rPr>
      </w:pPr>
    </w:p>
    <w:p>
      <w:pPr>
        <w:jc w:val="both"/>
        <w:ind w:left="100" w:right="99"/>
        <w:spacing w:after="0" w:line="227" w:lineRule="auto"/>
        <w:rPr>
          <w:sz w:val="20"/>
          <w:szCs w:val="20"/>
          <w:color w:val="auto"/>
        </w:rPr>
      </w:pPr>
      <w:r>
        <w:rPr>
          <w:rFonts w:ascii="Arial" w:cs="Arial" w:eastAsia="Arial" w:hAnsi="Arial"/>
          <w:sz w:val="18"/>
          <w:szCs w:val="18"/>
          <w:color w:val="auto"/>
        </w:rPr>
        <w:t>car lease expense (less equipment under lease). Increased car rent expense due to volume growth in certain markets partially offset these decreases in both periods.</w:t>
      </w:r>
    </w:p>
    <w:p>
      <w:pPr>
        <w:spacing w:after="0" w:line="117" w:lineRule="exact"/>
        <w:rPr>
          <w:sz w:val="20"/>
          <w:szCs w:val="20"/>
          <w:color w:val="auto"/>
        </w:rPr>
      </w:pPr>
    </w:p>
    <w:p>
      <w:pPr>
        <w:jc w:val="both"/>
        <w:ind w:left="100" w:right="99"/>
        <w:spacing w:after="0" w:line="213" w:lineRule="auto"/>
        <w:rPr>
          <w:sz w:val="20"/>
          <w:szCs w:val="20"/>
          <w:color w:val="auto"/>
        </w:rPr>
      </w:pPr>
      <w:r>
        <w:rPr>
          <w:rFonts w:ascii="Arial" w:cs="Arial" w:eastAsia="Arial" w:hAnsi="Arial"/>
          <w:sz w:val="18"/>
          <w:szCs w:val="18"/>
          <w:i w:val="1"/>
          <w:iCs w:val="1"/>
          <w:color w:val="auto"/>
        </w:rPr>
        <w:t xml:space="preserve">Other – </w:t>
      </w:r>
      <w:r>
        <w:rPr>
          <w:rFonts w:ascii="Arial" w:cs="Arial" w:eastAsia="Arial" w:hAnsi="Arial"/>
          <w:sz w:val="18"/>
          <w:szCs w:val="18"/>
          <w:color w:val="auto"/>
        </w:rPr>
        <w:t>Other expenses include state and local taxes; freight, equipment and property damage; utilities,</w:t>
      </w:r>
      <w:r>
        <w:rPr>
          <w:rFonts w:ascii="Arial" w:cs="Arial" w:eastAsia="Arial" w:hAnsi="Arial"/>
          <w:sz w:val="18"/>
          <w:szCs w:val="18"/>
          <w:i w:val="1"/>
          <w:iCs w:val="1"/>
          <w:color w:val="auto"/>
        </w:rPr>
        <w:t xml:space="preserve"> </w:t>
      </w:r>
      <w:r>
        <w:rPr>
          <w:rFonts w:ascii="Arial" w:cs="Arial" w:eastAsia="Arial" w:hAnsi="Arial"/>
          <w:sz w:val="18"/>
          <w:szCs w:val="18"/>
          <w:color w:val="auto"/>
        </w:rPr>
        <w:t>insurance, personal injury, environmental, employee travel, telephone and cellular, computer software, bad debt and other general expenses. Other costs decreased 15% in the third quarter and 7% in the nine-month period compared to 2016 due to lower state and local taxes, lower environmental expense, and higher bad debt expense in 2016 resulting from a customer bankruptcy. Conversely, increased costs associated with destroyed equipment owned by third parties and higher personal injury expense partially offset these decreases in both periods compared to 2016.</w:t>
      </w:r>
    </w:p>
    <w:p>
      <w:pPr>
        <w:spacing w:after="0" w:line="11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Non-Operating Items</w:t>
      </w:r>
    </w:p>
    <w:p>
      <w:pPr>
        <w:spacing w:after="0" w:line="106" w:lineRule="exact"/>
        <w:rPr>
          <w:sz w:val="20"/>
          <w:szCs w:val="20"/>
          <w:color w:val="auto"/>
        </w:rPr>
      </w:pPr>
    </w:p>
    <w:tbl>
      <w:tblPr>
        <w:tblLayout w:type="fixed"/>
        <w:tblInd w:w="100" w:type="dxa"/>
        <w:tblCellMar>
          <w:top w:w="0" w:type="dxa"/>
          <w:left w:w="0" w:type="dxa"/>
          <w:bottom w:w="0" w:type="dxa"/>
          <w:right w:w="0" w:type="dxa"/>
        </w:tblCellMar>
      </w:tblPr>
      <w:tr>
        <w:trPr>
          <w:trHeight w:val="256"/>
        </w:trPr>
        <w:tc>
          <w:tcPr>
            <w:tcW w:w="3660" w:type="dxa"/>
            <w:vAlign w:val="bottom"/>
            <w:tcBorders>
              <w:top w:val="single" w:sz="8" w:color="7F7F7F"/>
            </w:tcBorders>
          </w:tcPr>
          <w:p>
            <w:pPr>
              <w:spacing w:after="0"/>
              <w:rPr>
                <w:sz w:val="22"/>
                <w:szCs w:val="22"/>
                <w:color w:val="auto"/>
              </w:rPr>
            </w:pPr>
          </w:p>
        </w:tc>
        <w:tc>
          <w:tcPr>
            <w:tcW w:w="1680" w:type="dxa"/>
            <w:vAlign w:val="bottom"/>
            <w:tcBorders>
              <w:top w:val="single" w:sz="8" w:color="808080"/>
            </w:tcBorders>
            <w:gridSpan w:val="5"/>
          </w:tcPr>
          <w:p>
            <w:pPr>
              <w:jc w:val="center"/>
              <w:ind w:right="80"/>
              <w:spacing w:after="0"/>
              <w:rPr>
                <w:sz w:val="20"/>
                <w:szCs w:val="20"/>
                <w:color w:val="auto"/>
              </w:rPr>
            </w:pPr>
            <w:r>
              <w:rPr>
                <w:rFonts w:ascii="Arial" w:cs="Arial" w:eastAsia="Arial" w:hAnsi="Arial"/>
                <w:sz w:val="16"/>
                <w:szCs w:val="16"/>
                <w:i w:val="1"/>
                <w:iCs w:val="1"/>
                <w:color w:val="auto"/>
              </w:rPr>
              <w:t>Three Months Ended</w:t>
            </w:r>
          </w:p>
        </w:tc>
        <w:tc>
          <w:tcPr>
            <w:tcW w:w="840" w:type="dxa"/>
            <w:vAlign w:val="bottom"/>
            <w:tcBorders>
              <w:top w:val="single" w:sz="8" w:color="808080"/>
            </w:tcBorders>
          </w:tcPr>
          <w:p>
            <w:pPr>
              <w:spacing w:after="0"/>
              <w:rPr>
                <w:sz w:val="22"/>
                <w:szCs w:val="22"/>
                <w:color w:val="auto"/>
              </w:rPr>
            </w:pPr>
          </w:p>
        </w:tc>
        <w:tc>
          <w:tcPr>
            <w:tcW w:w="220" w:type="dxa"/>
            <w:vAlign w:val="bottom"/>
            <w:tcBorders>
              <w:top w:val="single" w:sz="8" w:color="808080"/>
            </w:tcBorders>
          </w:tcPr>
          <w:p>
            <w:pPr>
              <w:spacing w:after="0"/>
              <w:rPr>
                <w:sz w:val="22"/>
                <w:szCs w:val="22"/>
                <w:color w:val="auto"/>
              </w:rPr>
            </w:pPr>
          </w:p>
        </w:tc>
        <w:tc>
          <w:tcPr>
            <w:tcW w:w="1740" w:type="dxa"/>
            <w:vAlign w:val="bottom"/>
            <w:tcBorders>
              <w:top w:val="single" w:sz="8" w:color="808080"/>
            </w:tcBorders>
            <w:gridSpan w:val="4"/>
          </w:tcPr>
          <w:p>
            <w:pPr>
              <w:jc w:val="center"/>
              <w:ind w:right="280"/>
              <w:spacing w:after="0"/>
              <w:rPr>
                <w:sz w:val="20"/>
                <w:szCs w:val="20"/>
                <w:color w:val="auto"/>
              </w:rPr>
            </w:pPr>
            <w:r>
              <w:rPr>
                <w:rFonts w:ascii="Arial" w:cs="Arial" w:eastAsia="Arial" w:hAnsi="Arial"/>
                <w:sz w:val="16"/>
                <w:szCs w:val="16"/>
                <w:i w:val="1"/>
                <w:iCs w:val="1"/>
                <w:color w:val="auto"/>
              </w:rPr>
              <w:t>Nine Months Ended</w:t>
            </w:r>
          </w:p>
        </w:tc>
        <w:tc>
          <w:tcPr>
            <w:tcW w:w="480" w:type="dxa"/>
            <w:vAlign w:val="bottom"/>
            <w:tcBorders>
              <w:top w:val="single" w:sz="8" w:color="808080"/>
            </w:tcBorders>
          </w:tcPr>
          <w:p>
            <w:pPr>
              <w:spacing w:after="0"/>
              <w:rPr>
                <w:sz w:val="22"/>
                <w:szCs w:val="22"/>
                <w:color w:val="auto"/>
              </w:rPr>
            </w:pPr>
          </w:p>
        </w:tc>
        <w:tc>
          <w:tcPr>
            <w:tcW w:w="200" w:type="dxa"/>
            <w:vAlign w:val="bottom"/>
            <w:tcBorders>
              <w:top w:val="single" w:sz="8" w:color="808080"/>
            </w:tcBorders>
          </w:tcPr>
          <w:p>
            <w:pPr>
              <w:spacing w:after="0"/>
              <w:rPr>
                <w:sz w:val="22"/>
                <w:szCs w:val="22"/>
                <w:color w:val="auto"/>
              </w:rPr>
            </w:pPr>
          </w:p>
        </w:tc>
      </w:tr>
      <w:tr>
        <w:trPr>
          <w:trHeight w:val="197"/>
        </w:trPr>
        <w:tc>
          <w:tcPr>
            <w:tcW w:w="3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4"/>
          </w:tcPr>
          <w:p>
            <w:pPr>
              <w:jc w:val="center"/>
              <w:ind w:right="300"/>
              <w:spacing w:after="0"/>
              <w:rPr>
                <w:sz w:val="20"/>
                <w:szCs w:val="20"/>
                <w:color w:val="auto"/>
              </w:rPr>
            </w:pPr>
            <w:r>
              <w:rPr>
                <w:rFonts w:ascii="Arial" w:cs="Arial" w:eastAsia="Arial" w:hAnsi="Arial"/>
                <w:sz w:val="16"/>
                <w:szCs w:val="16"/>
                <w:i w:val="1"/>
                <w:iCs w:val="1"/>
                <w:color w:val="auto"/>
              </w:rPr>
              <w:t>September 30,</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gridSpan w:val="4"/>
          </w:tcPr>
          <w:p>
            <w:pPr>
              <w:jc w:val="center"/>
              <w:ind w:right="280"/>
              <w:spacing w:after="0"/>
              <w:rPr>
                <w:sz w:val="20"/>
                <w:szCs w:val="20"/>
                <w:color w:val="auto"/>
              </w:rPr>
            </w:pPr>
            <w:r>
              <w:rPr>
                <w:rFonts w:ascii="Arial" w:cs="Arial" w:eastAsia="Arial" w:hAnsi="Arial"/>
                <w:sz w:val="16"/>
                <w:szCs w:val="16"/>
                <w:i w:val="1"/>
                <w:iCs w:val="1"/>
                <w:color w:val="auto"/>
              </w:rPr>
              <w:t>September 30,</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96"/>
        </w:trPr>
        <w:tc>
          <w:tcPr>
            <w:tcW w:w="3660" w:type="dxa"/>
            <w:vAlign w:val="bottom"/>
            <w:tcBorders>
              <w:bottom w:val="single" w:sz="8" w:color="808080"/>
            </w:tcBorders>
          </w:tcPr>
          <w:p>
            <w:pPr>
              <w:spacing w:after="0"/>
              <w:rPr>
                <w:sz w:val="20"/>
                <w:szCs w:val="20"/>
                <w:color w:val="auto"/>
              </w:rPr>
            </w:pPr>
            <w:r>
              <w:rPr>
                <w:rFonts w:ascii="Arial" w:cs="Arial" w:eastAsia="Arial" w:hAnsi="Arial"/>
                <w:sz w:val="16"/>
                <w:szCs w:val="16"/>
                <w:i w:val="1"/>
                <w:iCs w:val="1"/>
                <w:color w:val="auto"/>
              </w:rPr>
              <w:t>Millions</w:t>
            </w:r>
          </w:p>
        </w:tc>
        <w:tc>
          <w:tcPr>
            <w:tcW w:w="220" w:type="dxa"/>
            <w:vAlign w:val="bottom"/>
            <w:tcBorders>
              <w:top w:val="single" w:sz="8" w:color="808080"/>
              <w:bottom w:val="single" w:sz="8" w:color="808080"/>
            </w:tcBorders>
          </w:tcPr>
          <w:p>
            <w:pPr>
              <w:spacing w:after="0"/>
              <w:rPr>
                <w:sz w:val="17"/>
                <w:szCs w:val="17"/>
                <w:color w:val="auto"/>
              </w:rPr>
            </w:pPr>
          </w:p>
        </w:tc>
        <w:tc>
          <w:tcPr>
            <w:tcW w:w="640" w:type="dxa"/>
            <w:vAlign w:val="bottom"/>
            <w:tcBorders>
              <w:top w:val="single" w:sz="8" w:color="808080"/>
              <w:bottom w:val="single" w:sz="8" w:color="808080"/>
            </w:tcBorders>
          </w:tcPr>
          <w:p>
            <w:pPr>
              <w:jc w:val="right"/>
              <w:ind w:right="19"/>
              <w:spacing w:after="0"/>
              <w:rPr>
                <w:sz w:val="20"/>
                <w:szCs w:val="20"/>
                <w:color w:val="auto"/>
              </w:rPr>
            </w:pPr>
            <w:r>
              <w:rPr>
                <w:rFonts w:ascii="Arial" w:cs="Arial" w:eastAsia="Arial" w:hAnsi="Arial"/>
                <w:sz w:val="16"/>
                <w:szCs w:val="16"/>
                <w:b w:val="1"/>
                <w:bCs w:val="1"/>
                <w:i w:val="1"/>
                <w:iCs w:val="1"/>
                <w:color w:val="auto"/>
              </w:rPr>
              <w:t>2017</w:t>
            </w:r>
          </w:p>
        </w:tc>
        <w:tc>
          <w:tcPr>
            <w:tcW w:w="240" w:type="dxa"/>
            <w:vAlign w:val="bottom"/>
            <w:tcBorders>
              <w:top w:val="single" w:sz="8" w:color="808080"/>
              <w:bottom w:val="single" w:sz="8" w:color="808080"/>
            </w:tcBorders>
          </w:tcPr>
          <w:p>
            <w:pPr>
              <w:spacing w:after="0"/>
              <w:rPr>
                <w:sz w:val="17"/>
                <w:szCs w:val="17"/>
                <w:color w:val="auto"/>
              </w:rPr>
            </w:pPr>
          </w:p>
        </w:tc>
        <w:tc>
          <w:tcPr>
            <w:tcW w:w="52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6"/>
                <w:szCs w:val="16"/>
                <w:i w:val="1"/>
                <w:iCs w:val="1"/>
                <w:color w:val="auto"/>
              </w:rPr>
              <w:t>2016</w:t>
            </w:r>
          </w:p>
        </w:tc>
        <w:tc>
          <w:tcPr>
            <w:tcW w:w="60" w:type="dxa"/>
            <w:vAlign w:val="bottom"/>
            <w:tcBorders>
              <w:bottom w:val="single" w:sz="8" w:color="808080"/>
            </w:tcBorders>
          </w:tcPr>
          <w:p>
            <w:pPr>
              <w:spacing w:after="0"/>
              <w:rPr>
                <w:sz w:val="17"/>
                <w:szCs w:val="17"/>
                <w:color w:val="auto"/>
              </w:rPr>
            </w:pPr>
          </w:p>
        </w:tc>
        <w:tc>
          <w:tcPr>
            <w:tcW w:w="840" w:type="dxa"/>
            <w:vAlign w:val="bottom"/>
            <w:tcBorders>
              <w:bottom w:val="single" w:sz="8" w:color="808080"/>
            </w:tcBorders>
          </w:tcPr>
          <w:p>
            <w:pPr>
              <w:jc w:val="right"/>
              <w:ind w:right="99"/>
              <w:spacing w:after="0"/>
              <w:rPr>
                <w:sz w:val="20"/>
                <w:szCs w:val="20"/>
                <w:color w:val="auto"/>
              </w:rPr>
            </w:pPr>
            <w:r>
              <w:rPr>
                <w:rFonts w:ascii="Arial" w:cs="Arial" w:eastAsia="Arial" w:hAnsi="Arial"/>
                <w:sz w:val="16"/>
                <w:szCs w:val="16"/>
                <w:b w:val="1"/>
                <w:bCs w:val="1"/>
                <w:i w:val="1"/>
                <w:iCs w:val="1"/>
                <w:color w:val="auto"/>
              </w:rPr>
              <w:t>Change</w:t>
            </w:r>
          </w:p>
        </w:tc>
        <w:tc>
          <w:tcPr>
            <w:tcW w:w="220" w:type="dxa"/>
            <w:vAlign w:val="bottom"/>
            <w:tcBorders>
              <w:top w:val="single" w:sz="8" w:color="808080"/>
              <w:bottom w:val="single" w:sz="8" w:color="808080"/>
            </w:tcBorders>
          </w:tcPr>
          <w:p>
            <w:pPr>
              <w:spacing w:after="0"/>
              <w:rPr>
                <w:sz w:val="17"/>
                <w:szCs w:val="17"/>
                <w:color w:val="auto"/>
              </w:rPr>
            </w:pPr>
          </w:p>
        </w:tc>
        <w:tc>
          <w:tcPr>
            <w:tcW w:w="780" w:type="dxa"/>
            <w:vAlign w:val="bottom"/>
            <w:tcBorders>
              <w:top w:val="single" w:sz="8" w:color="808080"/>
              <w:bottom w:val="single" w:sz="8" w:color="808080"/>
            </w:tcBorders>
          </w:tcPr>
          <w:p>
            <w:pPr>
              <w:jc w:val="right"/>
              <w:ind w:right="19"/>
              <w:spacing w:after="0"/>
              <w:rPr>
                <w:sz w:val="20"/>
                <w:szCs w:val="20"/>
                <w:color w:val="auto"/>
              </w:rPr>
            </w:pPr>
            <w:r>
              <w:rPr>
                <w:rFonts w:ascii="Arial" w:cs="Arial" w:eastAsia="Arial" w:hAnsi="Arial"/>
                <w:sz w:val="16"/>
                <w:szCs w:val="16"/>
                <w:b w:val="1"/>
                <w:bCs w:val="1"/>
                <w:i w:val="1"/>
                <w:iCs w:val="1"/>
                <w:color w:val="auto"/>
              </w:rPr>
              <w:t>2017</w:t>
            </w:r>
          </w:p>
        </w:tc>
        <w:tc>
          <w:tcPr>
            <w:tcW w:w="240" w:type="dxa"/>
            <w:vAlign w:val="bottom"/>
            <w:tcBorders>
              <w:top w:val="single" w:sz="8" w:color="808080"/>
              <w:bottom w:val="single" w:sz="8" w:color="808080"/>
            </w:tcBorders>
          </w:tcPr>
          <w:p>
            <w:pPr>
              <w:spacing w:after="0"/>
              <w:rPr>
                <w:sz w:val="17"/>
                <w:szCs w:val="17"/>
                <w:color w:val="auto"/>
              </w:rPr>
            </w:pPr>
          </w:p>
        </w:tc>
        <w:tc>
          <w:tcPr>
            <w:tcW w:w="64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6"/>
                <w:szCs w:val="16"/>
                <w:i w:val="1"/>
                <w:iCs w:val="1"/>
                <w:color w:val="auto"/>
              </w:rPr>
              <w:t>2016</w:t>
            </w:r>
          </w:p>
        </w:tc>
        <w:tc>
          <w:tcPr>
            <w:tcW w:w="8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gridSpan w:val="2"/>
          </w:tcPr>
          <w:p>
            <w:pPr>
              <w:jc w:val="right"/>
              <w:spacing w:after="0"/>
              <w:rPr>
                <w:sz w:val="20"/>
                <w:szCs w:val="20"/>
                <w:color w:val="auto"/>
              </w:rPr>
            </w:pPr>
            <w:r>
              <w:rPr>
                <w:rFonts w:ascii="Arial" w:cs="Arial" w:eastAsia="Arial" w:hAnsi="Arial"/>
                <w:sz w:val="16"/>
                <w:szCs w:val="16"/>
                <w:b w:val="1"/>
                <w:bCs w:val="1"/>
                <w:i w:val="1"/>
                <w:iCs w:val="1"/>
                <w:color w:val="auto"/>
              </w:rPr>
              <w:t>Change</w:t>
            </w:r>
          </w:p>
        </w:tc>
      </w:tr>
      <w:tr>
        <w:trPr>
          <w:trHeight w:val="203"/>
        </w:trPr>
        <w:tc>
          <w:tcPr>
            <w:tcW w:w="3660" w:type="dxa"/>
            <w:vAlign w:val="bottom"/>
            <w:shd w:val="clear" w:color="auto" w:fill="CCEEFF"/>
          </w:tcPr>
          <w:p>
            <w:pPr>
              <w:spacing w:after="0"/>
              <w:rPr>
                <w:sz w:val="20"/>
                <w:szCs w:val="20"/>
                <w:color w:val="auto"/>
              </w:rPr>
            </w:pPr>
            <w:r>
              <w:rPr>
                <w:rFonts w:ascii="Arial" w:cs="Arial" w:eastAsia="Arial" w:hAnsi="Arial"/>
                <w:sz w:val="16"/>
                <w:szCs w:val="16"/>
                <w:color w:val="auto"/>
              </w:rPr>
              <w:t>Other income</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151</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F  %</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261</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72</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r>
      <w:tr>
        <w:trPr>
          <w:trHeight w:val="215"/>
        </w:trPr>
        <w:tc>
          <w:tcPr>
            <w:tcW w:w="3660" w:type="dxa"/>
            <w:vAlign w:val="bottom"/>
          </w:tcPr>
          <w:p>
            <w:pPr>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(180)</w:t>
            </w:r>
          </w:p>
        </w:tc>
        <w:tc>
          <w:tcPr>
            <w:tcW w:w="2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(184)</w:t>
            </w:r>
          </w:p>
        </w:tc>
        <w:tc>
          <w:tcPr>
            <w:tcW w:w="840" w:type="dxa"/>
            <w:vAlign w:val="bottom"/>
          </w:tcPr>
          <w:p>
            <w:pPr>
              <w:jc w:val="right"/>
              <w:ind w:right="279"/>
              <w:spacing w:after="0"/>
              <w:rPr>
                <w:sz w:val="20"/>
                <w:szCs w:val="20"/>
                <w:color w:val="auto"/>
              </w:rPr>
            </w:pPr>
            <w:r>
              <w:rPr>
                <w:rFonts w:ascii="Arial" w:cs="Arial" w:eastAsia="Arial" w:hAnsi="Arial"/>
                <w:sz w:val="16"/>
                <w:szCs w:val="16"/>
                <w:b w:val="1"/>
                <w:bCs w:val="1"/>
                <w:color w:val="auto"/>
              </w:rPr>
              <w:t>(2)</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(531)</w:t>
            </w:r>
          </w:p>
        </w:tc>
        <w:tc>
          <w:tcPr>
            <w:tcW w:w="2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(524)</w:t>
            </w: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200" w:type="dxa"/>
            <w:vAlign w:val="bottom"/>
          </w:tcPr>
          <w:p>
            <w:pPr>
              <w:spacing w:after="0"/>
              <w:rPr>
                <w:sz w:val="18"/>
                <w:szCs w:val="18"/>
                <w:color w:val="auto"/>
              </w:rPr>
            </w:pPr>
          </w:p>
        </w:tc>
      </w:tr>
      <w:tr>
        <w:trPr>
          <w:trHeight w:val="224"/>
        </w:trPr>
        <w:tc>
          <w:tcPr>
            <w:tcW w:w="3660" w:type="dxa"/>
            <w:vAlign w:val="bottom"/>
            <w:tcBorders>
              <w:bottom w:val="single" w:sz="8" w:color="808080"/>
            </w:tcBorders>
            <w:shd w:val="clear" w:color="auto" w:fill="CCEEFF"/>
          </w:tcPr>
          <w:p>
            <w:pPr>
              <w:spacing w:after="0"/>
              <w:rPr>
                <w:sz w:val="20"/>
                <w:szCs w:val="20"/>
                <w:color w:val="auto"/>
              </w:rPr>
            </w:pPr>
            <w:r>
              <w:rPr>
                <w:rFonts w:ascii="Arial" w:cs="Arial" w:eastAsia="Arial" w:hAnsi="Arial"/>
                <w:sz w:val="16"/>
                <w:szCs w:val="16"/>
                <w:color w:val="auto"/>
              </w:rPr>
              <w:t>Income taxes</w:t>
            </w:r>
          </w:p>
        </w:tc>
        <w:tc>
          <w:tcPr>
            <w:tcW w:w="220" w:type="dxa"/>
            <w:vAlign w:val="bottom"/>
            <w:tcBorders>
              <w:bottom w:val="single" w:sz="8" w:color="808080"/>
            </w:tcBorders>
            <w:shd w:val="clear" w:color="auto" w:fill="CCEEFF"/>
          </w:tcPr>
          <w:p>
            <w:pPr>
              <w:spacing w:after="0"/>
              <w:rPr>
                <w:sz w:val="19"/>
                <w:szCs w:val="19"/>
                <w:color w:val="auto"/>
              </w:rPr>
            </w:pPr>
          </w:p>
        </w:tc>
        <w:tc>
          <w:tcPr>
            <w:tcW w:w="640" w:type="dxa"/>
            <w:vAlign w:val="bottom"/>
            <w:tcBorders>
              <w:bottom w:val="single" w:sz="8" w:color="808080"/>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(789)</w:t>
            </w:r>
          </w:p>
        </w:tc>
        <w:tc>
          <w:tcPr>
            <w:tcW w:w="240" w:type="dxa"/>
            <w:vAlign w:val="bottom"/>
            <w:tcBorders>
              <w:bottom w:val="single" w:sz="8" w:color="808080"/>
            </w:tcBorders>
            <w:shd w:val="clear" w:color="auto" w:fill="CCEEFF"/>
          </w:tcPr>
          <w:p>
            <w:pPr>
              <w:spacing w:after="0"/>
              <w:rPr>
                <w:sz w:val="19"/>
                <w:szCs w:val="19"/>
                <w:color w:val="auto"/>
              </w:rPr>
            </w:pPr>
          </w:p>
        </w:tc>
        <w:tc>
          <w:tcPr>
            <w:tcW w:w="580" w:type="dxa"/>
            <w:vAlign w:val="bottom"/>
            <w:tcBorders>
              <w:bottom w:val="single" w:sz="8" w:color="808080"/>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(674)</w:t>
            </w:r>
          </w:p>
        </w:tc>
        <w:tc>
          <w:tcPr>
            <w:tcW w:w="840" w:type="dxa"/>
            <w:vAlign w:val="bottom"/>
            <w:tcBorders>
              <w:bottom w:val="single" w:sz="8" w:color="808080"/>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17</w:t>
            </w:r>
          </w:p>
        </w:tc>
        <w:tc>
          <w:tcPr>
            <w:tcW w:w="220" w:type="dxa"/>
            <w:vAlign w:val="bottom"/>
            <w:tcBorders>
              <w:bottom w:val="single" w:sz="8" w:color="808080"/>
            </w:tcBorders>
            <w:shd w:val="clear" w:color="auto" w:fill="CCEEFF"/>
          </w:tcPr>
          <w:p>
            <w:pPr>
              <w:spacing w:after="0"/>
              <w:rPr>
                <w:sz w:val="19"/>
                <w:szCs w:val="19"/>
                <w:color w:val="auto"/>
              </w:rPr>
            </w:pPr>
          </w:p>
        </w:tc>
        <w:tc>
          <w:tcPr>
            <w:tcW w:w="780" w:type="dxa"/>
            <w:vAlign w:val="bottom"/>
            <w:tcBorders>
              <w:bottom w:val="single" w:sz="8" w:color="808080"/>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(2,106)</w:t>
            </w:r>
          </w:p>
        </w:tc>
        <w:tc>
          <w:tcPr>
            <w:tcW w:w="240" w:type="dxa"/>
            <w:vAlign w:val="bottom"/>
            <w:tcBorders>
              <w:bottom w:val="single" w:sz="8" w:color="808080"/>
            </w:tcBorders>
            <w:shd w:val="clear" w:color="auto" w:fill="CCEEFF"/>
          </w:tcPr>
          <w:p>
            <w:pPr>
              <w:spacing w:after="0"/>
              <w:rPr>
                <w:sz w:val="19"/>
                <w:szCs w:val="19"/>
                <w:color w:val="auto"/>
              </w:rPr>
            </w:pPr>
          </w:p>
        </w:tc>
        <w:tc>
          <w:tcPr>
            <w:tcW w:w="640" w:type="dxa"/>
            <w:vAlign w:val="bottom"/>
            <w:tcBorders>
              <w:bottom w:val="single" w:sz="8" w:color="808080"/>
            </w:tcBorders>
            <w:shd w:val="clear" w:color="auto" w:fill="CCEEFF"/>
          </w:tcPr>
          <w:p>
            <w:pPr>
              <w:jc w:val="right"/>
              <w:spacing w:after="0"/>
              <w:rPr>
                <w:sz w:val="20"/>
                <w:szCs w:val="20"/>
                <w:color w:val="auto"/>
              </w:rPr>
            </w:pPr>
            <w:r>
              <w:rPr>
                <w:rFonts w:ascii="Arial" w:cs="Arial" w:eastAsia="Arial" w:hAnsi="Arial"/>
                <w:sz w:val="16"/>
                <w:szCs w:val="16"/>
                <w:color w:val="auto"/>
              </w:rPr>
              <w:t>(1,846)</w:t>
            </w:r>
          </w:p>
        </w:tc>
        <w:tc>
          <w:tcPr>
            <w:tcW w:w="80" w:type="dxa"/>
            <w:vAlign w:val="bottom"/>
            <w:tcBorders>
              <w:bottom w:val="single" w:sz="8" w:color="808080"/>
            </w:tcBorders>
            <w:shd w:val="clear" w:color="auto" w:fill="CCEEFF"/>
          </w:tcPr>
          <w:p>
            <w:pPr>
              <w:spacing w:after="0"/>
              <w:rPr>
                <w:sz w:val="19"/>
                <w:szCs w:val="19"/>
                <w:color w:val="auto"/>
              </w:rPr>
            </w:pPr>
          </w:p>
        </w:tc>
        <w:tc>
          <w:tcPr>
            <w:tcW w:w="480" w:type="dxa"/>
            <w:vAlign w:val="bottom"/>
            <w:tcBorders>
              <w:bottom w:val="single" w:sz="8" w:color="808080"/>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w:t>
            </w:r>
          </w:p>
        </w:tc>
        <w:tc>
          <w:tcPr>
            <w:tcW w:w="200" w:type="dxa"/>
            <w:vAlign w:val="bottom"/>
            <w:tcBorders>
              <w:bottom w:val="single" w:sz="8" w:color="808080"/>
            </w:tcBorders>
            <w:shd w:val="clear" w:color="auto" w:fill="CCEEFF"/>
          </w:tcPr>
          <w:p>
            <w:pPr>
              <w:spacing w:after="0"/>
              <w:rPr>
                <w:sz w:val="19"/>
                <w:szCs w:val="19"/>
                <w:color w:val="auto"/>
              </w:rPr>
            </w:pPr>
          </w:p>
        </w:tc>
      </w:tr>
    </w:tbl>
    <w:p>
      <w:pPr>
        <w:spacing w:after="0" w:line="143" w:lineRule="exact"/>
        <w:rPr>
          <w:sz w:val="20"/>
          <w:szCs w:val="20"/>
          <w:color w:val="auto"/>
        </w:rPr>
      </w:pPr>
    </w:p>
    <w:p>
      <w:pPr>
        <w:jc w:val="both"/>
        <w:ind w:left="100" w:right="99"/>
        <w:spacing w:after="0" w:line="220"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 Other income increased in the third quarter of 2017 as a result of a $65 million gain on a</w:t>
      </w:r>
      <w:r>
        <w:rPr>
          <w:rFonts w:ascii="Arial" w:cs="Arial" w:eastAsia="Arial" w:hAnsi="Arial"/>
          <w:sz w:val="18"/>
          <w:szCs w:val="18"/>
          <w:i w:val="1"/>
          <w:iCs w:val="1"/>
          <w:color w:val="auto"/>
        </w:rPr>
        <w:t xml:space="preserve"> </w:t>
      </w:r>
      <w:r>
        <w:rPr>
          <w:rFonts w:ascii="Arial" w:cs="Arial" w:eastAsia="Arial" w:hAnsi="Arial"/>
          <w:sz w:val="18"/>
          <w:szCs w:val="18"/>
          <w:color w:val="auto"/>
        </w:rPr>
        <w:t>litigation settlement for back rent and a $57 million real estate sale gain, both recognized in the third quarter of 2017. Year-to-date, other income increased as a result of higher gains on real estate sales and increased rental income compared to 2016.</w:t>
      </w:r>
    </w:p>
    <w:p>
      <w:pPr>
        <w:spacing w:after="0" w:line="119" w:lineRule="exact"/>
        <w:rPr>
          <w:sz w:val="20"/>
          <w:szCs w:val="20"/>
          <w:color w:val="auto"/>
        </w:rPr>
      </w:pPr>
    </w:p>
    <w:p>
      <w:pPr>
        <w:jc w:val="both"/>
        <w:ind w:left="100" w:right="99"/>
        <w:spacing w:after="0" w:line="215"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 Interest expense decreased in the third quarter of 2017 compared to 2016 due to $8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of debt exchange costs recognized in 2016, partially offset by an increased weighted-average debt level of $16.0 billion in 2017 compared to $15.4 billion in 2016. The effective interest rate was 4.5% and 4.7% in the third quarter of 2017 and 2016, respectively. Year-to-date, interest expense increased due to an increased weighted-average debt level of $15.6 billion in 2017 from $15.0 billion in 2016, partially offset by a lower effective interest rate of 4.6% compared to 4.7%.</w:t>
      </w:r>
    </w:p>
    <w:p>
      <w:pPr>
        <w:spacing w:after="0" w:line="116" w:lineRule="exact"/>
        <w:rPr>
          <w:sz w:val="20"/>
          <w:szCs w:val="20"/>
          <w:color w:val="auto"/>
        </w:rPr>
      </w:pPr>
    </w:p>
    <w:p>
      <w:pPr>
        <w:jc w:val="both"/>
        <w:ind w:left="100" w:right="99"/>
        <w:spacing w:after="0" w:line="21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 Income taxes were higher in the third quarter and year-to-date periods of 2017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2016, resulting from higher pre-tax income and an increase in the State of Illinois corporate income tax rate effective July 1, 2017, increasing our tax expense by $33 million in the third quarter of 2017. Our effective tax rates for the third quarter of 2017 and 2016 were 39.8% and 37.3%, respectively. For the nine-month periods of 2017 and 2016, our effective tax rates were 38.0% and 37.4%, respectively.</w:t>
      </w:r>
    </w:p>
    <w:p>
      <w:pPr>
        <w:spacing w:after="0" w:line="11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OTHER OPERATING/PERFORMANCE AND FINANCIAL STATISTICS</w:t>
      </w:r>
    </w:p>
    <w:p>
      <w:pPr>
        <w:spacing w:after="0" w:line="166" w:lineRule="exact"/>
        <w:rPr>
          <w:sz w:val="20"/>
          <w:szCs w:val="20"/>
          <w:color w:val="auto"/>
        </w:rPr>
      </w:pPr>
    </w:p>
    <w:p>
      <w:pPr>
        <w:jc w:val="both"/>
        <w:ind w:left="100" w:right="99"/>
        <w:spacing w:after="0" w:line="227" w:lineRule="auto"/>
        <w:rPr>
          <w:sz w:val="20"/>
          <w:szCs w:val="20"/>
          <w:color w:val="auto"/>
        </w:rPr>
      </w:pPr>
      <w:r>
        <w:rPr>
          <w:rFonts w:ascii="Arial" w:cs="Arial" w:eastAsia="Arial" w:hAnsi="Arial"/>
          <w:sz w:val="18"/>
          <w:szCs w:val="18"/>
          <w:color w:val="auto"/>
        </w:rPr>
        <w:t>We report a number of key performance measures weekly to the AAR. We provide this data on our website at www.up.com/investor/aar-stb_reports/index.htm.</w:t>
      </w:r>
    </w:p>
    <w:p>
      <w:pPr>
        <w:spacing w:after="0" w:line="11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Operating/Performance Statistics</w:t>
      </w:r>
    </w:p>
    <w:p>
      <w:pPr>
        <w:spacing w:after="0" w:line="16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Railroad performance measures are included in the table below:</w:t>
      </w:r>
    </w:p>
    <w:p>
      <w:pPr>
        <w:spacing w:after="0" w:line="71" w:lineRule="exact"/>
        <w:rPr>
          <w:sz w:val="20"/>
          <w:szCs w:val="20"/>
          <w:color w:val="auto"/>
        </w:rPr>
      </w:pPr>
    </w:p>
    <w:tbl>
      <w:tblPr>
        <w:tblLayout w:type="fixed"/>
        <w:tblInd w:w="100" w:type="dxa"/>
        <w:tblCellMar>
          <w:top w:w="0" w:type="dxa"/>
          <w:left w:w="0" w:type="dxa"/>
          <w:bottom w:w="0" w:type="dxa"/>
          <w:right w:w="0" w:type="dxa"/>
        </w:tblCellMar>
      </w:tblPr>
      <w:tr>
        <w:trPr>
          <w:trHeight w:val="256"/>
        </w:trPr>
        <w:tc>
          <w:tcPr>
            <w:tcW w:w="3700" w:type="dxa"/>
            <w:vAlign w:val="bottom"/>
            <w:tcBorders>
              <w:top w:val="single" w:sz="8" w:color="7F7F7F"/>
            </w:tcBorders>
          </w:tcPr>
          <w:p>
            <w:pPr>
              <w:spacing w:after="0"/>
              <w:rPr>
                <w:sz w:val="22"/>
                <w:szCs w:val="22"/>
                <w:color w:val="auto"/>
              </w:rPr>
            </w:pPr>
          </w:p>
        </w:tc>
        <w:tc>
          <w:tcPr>
            <w:tcW w:w="1600" w:type="dxa"/>
            <w:vAlign w:val="bottom"/>
            <w:tcBorders>
              <w:top w:val="single" w:sz="8" w:color="7F7F7F"/>
            </w:tcBorders>
            <w:gridSpan w:val="2"/>
          </w:tcPr>
          <w:p>
            <w:pPr>
              <w:jc w:val="right"/>
              <w:spacing w:after="0"/>
              <w:rPr>
                <w:sz w:val="20"/>
                <w:szCs w:val="20"/>
                <w:color w:val="auto"/>
              </w:rPr>
            </w:pPr>
            <w:r>
              <w:rPr>
                <w:rFonts w:ascii="Arial" w:cs="Arial" w:eastAsia="Arial" w:hAnsi="Arial"/>
                <w:sz w:val="16"/>
                <w:szCs w:val="16"/>
                <w:i w:val="1"/>
                <w:iCs w:val="1"/>
                <w:color w:val="auto"/>
              </w:rPr>
              <w:t>Three Months Ended</w:t>
            </w:r>
          </w:p>
        </w:tc>
        <w:tc>
          <w:tcPr>
            <w:tcW w:w="580" w:type="dxa"/>
            <w:vAlign w:val="bottom"/>
            <w:tcBorders>
              <w:top w:val="single" w:sz="8" w:color="7F7F7F"/>
            </w:tcBorders>
          </w:tcPr>
          <w:p>
            <w:pPr>
              <w:spacing w:after="0"/>
              <w:rPr>
                <w:sz w:val="22"/>
                <w:szCs w:val="22"/>
                <w:color w:val="auto"/>
              </w:rPr>
            </w:pPr>
          </w:p>
        </w:tc>
        <w:tc>
          <w:tcPr>
            <w:tcW w:w="260" w:type="dxa"/>
            <w:vAlign w:val="bottom"/>
            <w:tcBorders>
              <w:top w:val="single" w:sz="8" w:color="7F7F7F"/>
            </w:tcBorders>
          </w:tcPr>
          <w:p>
            <w:pPr>
              <w:spacing w:after="0"/>
              <w:rPr>
                <w:sz w:val="22"/>
                <w:szCs w:val="22"/>
                <w:color w:val="auto"/>
              </w:rPr>
            </w:pPr>
          </w:p>
        </w:tc>
        <w:tc>
          <w:tcPr>
            <w:tcW w:w="200" w:type="dxa"/>
            <w:vAlign w:val="bottom"/>
            <w:tcBorders>
              <w:top w:val="single" w:sz="8" w:color="808080"/>
            </w:tcBorders>
          </w:tcPr>
          <w:p>
            <w:pPr>
              <w:spacing w:after="0"/>
              <w:rPr>
                <w:sz w:val="22"/>
                <w:szCs w:val="22"/>
                <w:color w:val="auto"/>
              </w:rPr>
            </w:pPr>
          </w:p>
        </w:tc>
        <w:tc>
          <w:tcPr>
            <w:tcW w:w="1620" w:type="dxa"/>
            <w:vAlign w:val="bottom"/>
            <w:tcBorders>
              <w:top w:val="single" w:sz="8" w:color="808080"/>
            </w:tcBorders>
            <w:gridSpan w:val="2"/>
          </w:tcPr>
          <w:p>
            <w:pPr>
              <w:jc w:val="right"/>
              <w:ind w:right="19"/>
              <w:spacing w:after="0"/>
              <w:rPr>
                <w:sz w:val="20"/>
                <w:szCs w:val="20"/>
                <w:color w:val="auto"/>
              </w:rPr>
            </w:pPr>
            <w:r>
              <w:rPr>
                <w:rFonts w:ascii="Arial" w:cs="Arial" w:eastAsia="Arial" w:hAnsi="Arial"/>
                <w:sz w:val="16"/>
                <w:szCs w:val="16"/>
                <w:i w:val="1"/>
                <w:iCs w:val="1"/>
                <w:color w:val="auto"/>
              </w:rPr>
              <w:t>Nine Months Ended</w:t>
            </w:r>
          </w:p>
        </w:tc>
        <w:tc>
          <w:tcPr>
            <w:tcW w:w="660" w:type="dxa"/>
            <w:vAlign w:val="bottom"/>
            <w:tcBorders>
              <w:top w:val="single" w:sz="8" w:color="808080"/>
            </w:tcBorders>
          </w:tcPr>
          <w:p>
            <w:pPr>
              <w:spacing w:after="0"/>
              <w:rPr>
                <w:sz w:val="22"/>
                <w:szCs w:val="22"/>
                <w:color w:val="auto"/>
              </w:rPr>
            </w:pPr>
          </w:p>
        </w:tc>
        <w:tc>
          <w:tcPr>
            <w:tcW w:w="200" w:type="dxa"/>
            <w:vAlign w:val="bottom"/>
            <w:tcBorders>
              <w:top w:val="single" w:sz="8" w:color="808080"/>
            </w:tcBorders>
          </w:tcPr>
          <w:p>
            <w:pPr>
              <w:spacing w:after="0"/>
              <w:rPr>
                <w:sz w:val="22"/>
                <w:szCs w:val="22"/>
                <w:color w:val="auto"/>
              </w:rPr>
            </w:pPr>
          </w:p>
        </w:tc>
      </w:tr>
      <w:tr>
        <w:trPr>
          <w:trHeight w:val="197"/>
        </w:trPr>
        <w:tc>
          <w:tcPr>
            <w:tcW w:w="3700" w:type="dxa"/>
            <w:vAlign w:val="bottom"/>
          </w:tcPr>
          <w:p>
            <w:pPr>
              <w:spacing w:after="0"/>
              <w:rPr>
                <w:sz w:val="17"/>
                <w:szCs w:val="17"/>
                <w:color w:val="auto"/>
              </w:rPr>
            </w:pPr>
          </w:p>
        </w:tc>
        <w:tc>
          <w:tcPr>
            <w:tcW w:w="1600" w:type="dxa"/>
            <w:vAlign w:val="bottom"/>
            <w:tcBorders>
              <w:bottom w:val="single" w:sz="8" w:color="808080"/>
            </w:tcBorders>
            <w:gridSpan w:val="2"/>
          </w:tcPr>
          <w:p>
            <w:pPr>
              <w:jc w:val="right"/>
              <w:ind w:right="179"/>
              <w:spacing w:after="0"/>
              <w:rPr>
                <w:sz w:val="20"/>
                <w:szCs w:val="20"/>
                <w:color w:val="auto"/>
              </w:rPr>
            </w:pPr>
            <w:r>
              <w:rPr>
                <w:rFonts w:ascii="Arial" w:cs="Arial" w:eastAsia="Arial" w:hAnsi="Arial"/>
                <w:sz w:val="16"/>
                <w:szCs w:val="16"/>
                <w:i w:val="1"/>
                <w:iCs w:val="1"/>
                <w:color w:val="auto"/>
              </w:rPr>
              <w:t>September 30,</w:t>
            </w: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Borders>
              <w:bottom w:val="single" w:sz="8" w:color="808080"/>
            </w:tcBorders>
            <w:gridSpan w:val="2"/>
          </w:tcPr>
          <w:p>
            <w:pPr>
              <w:jc w:val="right"/>
              <w:ind w:right="199"/>
              <w:spacing w:after="0"/>
              <w:rPr>
                <w:sz w:val="20"/>
                <w:szCs w:val="20"/>
                <w:color w:val="auto"/>
              </w:rPr>
            </w:pPr>
            <w:r>
              <w:rPr>
                <w:rFonts w:ascii="Arial" w:cs="Arial" w:eastAsia="Arial" w:hAnsi="Arial"/>
                <w:sz w:val="16"/>
                <w:szCs w:val="16"/>
                <w:i w:val="1"/>
                <w:iCs w:val="1"/>
                <w:color w:val="auto"/>
              </w:rPr>
              <w:t>September 30,</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96"/>
        </w:trPr>
        <w:tc>
          <w:tcPr>
            <w:tcW w:w="3700" w:type="dxa"/>
            <w:vAlign w:val="bottom"/>
            <w:tcBorders>
              <w:bottom w:val="single" w:sz="8" w:color="808080"/>
            </w:tcBorders>
          </w:tcPr>
          <w:p>
            <w:pPr>
              <w:spacing w:after="0"/>
              <w:rPr>
                <w:sz w:val="17"/>
                <w:szCs w:val="17"/>
                <w:color w:val="auto"/>
              </w:rPr>
            </w:pPr>
          </w:p>
        </w:tc>
        <w:tc>
          <w:tcPr>
            <w:tcW w:w="900" w:type="dxa"/>
            <w:vAlign w:val="bottom"/>
            <w:tcBorders>
              <w:bottom w:val="single" w:sz="8" w:color="808080"/>
            </w:tcBorders>
          </w:tcPr>
          <w:p>
            <w:pPr>
              <w:jc w:val="right"/>
              <w:ind w:right="59"/>
              <w:spacing w:after="0"/>
              <w:rPr>
                <w:sz w:val="20"/>
                <w:szCs w:val="20"/>
                <w:color w:val="auto"/>
              </w:rPr>
            </w:pPr>
            <w:r>
              <w:rPr>
                <w:rFonts w:ascii="Arial" w:cs="Arial" w:eastAsia="Arial" w:hAnsi="Arial"/>
                <w:sz w:val="16"/>
                <w:szCs w:val="16"/>
                <w:b w:val="1"/>
                <w:bCs w:val="1"/>
                <w:i w:val="1"/>
                <w:iCs w:val="1"/>
                <w:color w:val="auto"/>
              </w:rPr>
              <w:t>2017</w:t>
            </w:r>
          </w:p>
        </w:tc>
        <w:tc>
          <w:tcPr>
            <w:tcW w:w="700" w:type="dxa"/>
            <w:vAlign w:val="bottom"/>
            <w:tcBorders>
              <w:bottom w:val="single" w:sz="8" w:color="808080"/>
            </w:tcBorders>
          </w:tcPr>
          <w:p>
            <w:pPr>
              <w:jc w:val="right"/>
              <w:spacing w:after="0"/>
              <w:rPr>
                <w:sz w:val="20"/>
                <w:szCs w:val="20"/>
                <w:color w:val="auto"/>
              </w:rPr>
            </w:pPr>
            <w:r>
              <w:rPr>
                <w:rFonts w:ascii="Arial" w:cs="Arial" w:eastAsia="Arial" w:hAnsi="Arial"/>
                <w:sz w:val="16"/>
                <w:szCs w:val="16"/>
                <w:i w:val="1"/>
                <w:iCs w:val="1"/>
                <w:color w:val="auto"/>
              </w:rPr>
              <w:t>2016</w:t>
            </w:r>
          </w:p>
        </w:tc>
        <w:tc>
          <w:tcPr>
            <w:tcW w:w="1040" w:type="dxa"/>
            <w:vAlign w:val="bottom"/>
            <w:tcBorders>
              <w:bottom w:val="single" w:sz="8" w:color="808080"/>
            </w:tcBorders>
            <w:gridSpan w:val="3"/>
          </w:tcPr>
          <w:p>
            <w:pPr>
              <w:jc w:val="right"/>
              <w:ind w:right="200"/>
              <w:spacing w:after="0"/>
              <w:rPr>
                <w:sz w:val="20"/>
                <w:szCs w:val="20"/>
                <w:color w:val="auto"/>
              </w:rPr>
            </w:pPr>
            <w:r>
              <w:rPr>
                <w:rFonts w:ascii="Arial" w:cs="Arial" w:eastAsia="Arial" w:hAnsi="Arial"/>
                <w:sz w:val="16"/>
                <w:szCs w:val="16"/>
                <w:b w:val="1"/>
                <w:bCs w:val="1"/>
                <w:i w:val="1"/>
                <w:iCs w:val="1"/>
                <w:color w:val="auto"/>
              </w:rPr>
              <w:t>Change</w:t>
            </w:r>
          </w:p>
        </w:tc>
        <w:tc>
          <w:tcPr>
            <w:tcW w:w="920" w:type="dxa"/>
            <w:vAlign w:val="bottom"/>
            <w:tcBorders>
              <w:bottom w:val="single" w:sz="8" w:color="808080"/>
            </w:tcBorders>
          </w:tcPr>
          <w:p>
            <w:pPr>
              <w:jc w:val="right"/>
              <w:ind w:right="79"/>
              <w:spacing w:after="0"/>
              <w:rPr>
                <w:sz w:val="20"/>
                <w:szCs w:val="20"/>
                <w:color w:val="auto"/>
              </w:rPr>
            </w:pPr>
            <w:r>
              <w:rPr>
                <w:rFonts w:ascii="Arial" w:cs="Arial" w:eastAsia="Arial" w:hAnsi="Arial"/>
                <w:sz w:val="16"/>
                <w:szCs w:val="16"/>
                <w:b w:val="1"/>
                <w:bCs w:val="1"/>
                <w:i w:val="1"/>
                <w:iCs w:val="1"/>
                <w:color w:val="auto"/>
              </w:rPr>
              <w:t>2017</w:t>
            </w:r>
          </w:p>
        </w:tc>
        <w:tc>
          <w:tcPr>
            <w:tcW w:w="700" w:type="dxa"/>
            <w:vAlign w:val="bottom"/>
            <w:tcBorders>
              <w:bottom w:val="single" w:sz="8" w:color="808080"/>
            </w:tcBorders>
          </w:tcPr>
          <w:p>
            <w:pPr>
              <w:jc w:val="right"/>
              <w:spacing w:after="0"/>
              <w:rPr>
                <w:sz w:val="20"/>
                <w:szCs w:val="20"/>
                <w:color w:val="auto"/>
              </w:rPr>
            </w:pPr>
            <w:r>
              <w:rPr>
                <w:rFonts w:ascii="Arial" w:cs="Arial" w:eastAsia="Arial" w:hAnsi="Arial"/>
                <w:sz w:val="16"/>
                <w:szCs w:val="16"/>
                <w:i w:val="1"/>
                <w:iCs w:val="1"/>
                <w:color w:val="auto"/>
              </w:rPr>
              <w:t>2016</w:t>
            </w:r>
          </w:p>
        </w:tc>
        <w:tc>
          <w:tcPr>
            <w:tcW w:w="860" w:type="dxa"/>
            <w:vAlign w:val="bottom"/>
            <w:tcBorders>
              <w:bottom w:val="single" w:sz="8" w:color="808080"/>
            </w:tcBorders>
            <w:gridSpan w:val="2"/>
          </w:tcPr>
          <w:p>
            <w:pPr>
              <w:jc w:val="right"/>
              <w:spacing w:after="0"/>
              <w:rPr>
                <w:sz w:val="20"/>
                <w:szCs w:val="20"/>
                <w:color w:val="auto"/>
              </w:rPr>
            </w:pPr>
            <w:r>
              <w:rPr>
                <w:rFonts w:ascii="Arial" w:cs="Arial" w:eastAsia="Arial" w:hAnsi="Arial"/>
                <w:sz w:val="16"/>
                <w:szCs w:val="16"/>
                <w:b w:val="1"/>
                <w:bCs w:val="1"/>
                <w:i w:val="1"/>
                <w:iCs w:val="1"/>
                <w:color w:val="auto"/>
              </w:rPr>
              <w:t>Change</w:t>
            </w:r>
          </w:p>
        </w:tc>
      </w:tr>
      <w:tr>
        <w:trPr>
          <w:trHeight w:val="203"/>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Average train speed (miles per hour)</w:t>
            </w: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25.4</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25.5</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660" w:type="dxa"/>
            <w:vAlign w:val="bottom"/>
            <w:shd w:val="clear" w:color="auto" w:fill="CCEEFF"/>
          </w:tcPr>
          <w:p>
            <w:pPr>
              <w:jc w:val="center"/>
              <w:ind w:left="259"/>
              <w:spacing w:after="0"/>
              <w:rPr>
                <w:sz w:val="20"/>
                <w:szCs w:val="20"/>
                <w:color w:val="auto"/>
              </w:rPr>
            </w:pPr>
            <w:r>
              <w:rPr>
                <w:rFonts w:ascii="Arial" w:cs="Arial" w:eastAsia="Arial" w:hAnsi="Arial"/>
                <w:sz w:val="16"/>
                <w:szCs w:val="16"/>
                <w:b w:val="1"/>
                <w:bCs w:val="1"/>
                <w:color w:val="auto"/>
              </w:rPr>
              <w:t>(4)</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r>
      <w:tr>
        <w:trPr>
          <w:trHeight w:val="215"/>
        </w:trPr>
        <w:tc>
          <w:tcPr>
            <w:tcW w:w="3700" w:type="dxa"/>
            <w:vAlign w:val="bottom"/>
          </w:tcPr>
          <w:p>
            <w:pPr>
              <w:spacing w:after="0"/>
              <w:rPr>
                <w:sz w:val="20"/>
                <w:szCs w:val="20"/>
                <w:color w:val="auto"/>
              </w:rPr>
            </w:pPr>
            <w:r>
              <w:rPr>
                <w:rFonts w:ascii="Arial" w:cs="Arial" w:eastAsia="Arial" w:hAnsi="Arial"/>
                <w:sz w:val="16"/>
                <w:szCs w:val="16"/>
                <w:color w:val="auto"/>
              </w:rPr>
              <w:t>Average terminal dwell time (hours)</w:t>
            </w:r>
          </w:p>
        </w:tc>
        <w:tc>
          <w:tcPr>
            <w:tcW w:w="900" w:type="dxa"/>
            <w:vAlign w:val="bottom"/>
          </w:tcPr>
          <w:p>
            <w:pPr>
              <w:jc w:val="right"/>
              <w:ind w:right="59"/>
              <w:spacing w:after="0"/>
              <w:rPr>
                <w:sz w:val="20"/>
                <w:szCs w:val="20"/>
                <w:color w:val="auto"/>
              </w:rPr>
            </w:pPr>
            <w:r>
              <w:rPr>
                <w:rFonts w:ascii="Arial" w:cs="Arial" w:eastAsia="Arial" w:hAnsi="Arial"/>
                <w:sz w:val="16"/>
                <w:szCs w:val="16"/>
                <w:b w:val="1"/>
                <w:bCs w:val="1"/>
                <w:color w:val="auto"/>
              </w:rPr>
              <w:t>30.0</w:t>
            </w:r>
          </w:p>
        </w:tc>
        <w:tc>
          <w:tcPr>
            <w:tcW w:w="700" w:type="dxa"/>
            <w:vAlign w:val="bottom"/>
          </w:tcPr>
          <w:p>
            <w:pPr>
              <w:jc w:val="right"/>
              <w:spacing w:after="0"/>
              <w:rPr>
                <w:sz w:val="20"/>
                <w:szCs w:val="20"/>
                <w:color w:val="auto"/>
              </w:rPr>
            </w:pPr>
            <w:r>
              <w:rPr>
                <w:rFonts w:ascii="Arial" w:cs="Arial" w:eastAsia="Arial" w:hAnsi="Arial"/>
                <w:sz w:val="16"/>
                <w:szCs w:val="16"/>
                <w:color w:val="auto"/>
              </w:rPr>
              <w:t>28.0</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7</w:t>
            </w:r>
          </w:p>
        </w:tc>
        <w:tc>
          <w:tcPr>
            <w:tcW w:w="4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29.6</w:t>
            </w:r>
          </w:p>
        </w:tc>
        <w:tc>
          <w:tcPr>
            <w:tcW w:w="700" w:type="dxa"/>
            <w:vAlign w:val="bottom"/>
          </w:tcPr>
          <w:p>
            <w:pPr>
              <w:jc w:val="right"/>
              <w:spacing w:after="0"/>
              <w:rPr>
                <w:sz w:val="20"/>
                <w:szCs w:val="20"/>
                <w:color w:val="auto"/>
              </w:rPr>
            </w:pPr>
            <w:r>
              <w:rPr>
                <w:rFonts w:ascii="Arial" w:cs="Arial" w:eastAsia="Arial" w:hAnsi="Arial"/>
                <w:sz w:val="16"/>
                <w:szCs w:val="16"/>
                <w:color w:val="auto"/>
              </w:rPr>
              <w:t>27.9</w:t>
            </w:r>
          </w:p>
        </w:tc>
        <w:tc>
          <w:tcPr>
            <w:tcW w:w="660" w:type="dxa"/>
            <w:vAlign w:val="bottom"/>
          </w:tcPr>
          <w:p>
            <w:pPr>
              <w:jc w:val="center"/>
              <w:ind w:left="259"/>
              <w:spacing w:after="0"/>
              <w:rPr>
                <w:sz w:val="20"/>
                <w:szCs w:val="20"/>
                <w:color w:val="auto"/>
              </w:rPr>
            </w:pPr>
            <w:r>
              <w:rPr>
                <w:rFonts w:ascii="Arial" w:cs="Arial" w:eastAsia="Arial" w:hAnsi="Arial"/>
                <w:sz w:val="16"/>
                <w:szCs w:val="16"/>
                <w:b w:val="1"/>
                <w:bCs w:val="1"/>
                <w:color w:val="auto"/>
                <w:w w:val="89"/>
              </w:rPr>
              <w:t>6</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218"/>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Gross ton-miles (billions)</w:t>
            </w: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229.8</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224.6</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671.5</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633.1</w:t>
            </w:r>
          </w:p>
        </w:tc>
        <w:tc>
          <w:tcPr>
            <w:tcW w:w="660" w:type="dxa"/>
            <w:vAlign w:val="bottom"/>
            <w:shd w:val="clear" w:color="auto" w:fill="CCEEFF"/>
          </w:tcPr>
          <w:p>
            <w:pPr>
              <w:jc w:val="center"/>
              <w:ind w:left="259"/>
              <w:spacing w:after="0"/>
              <w:rPr>
                <w:sz w:val="20"/>
                <w:szCs w:val="20"/>
                <w:color w:val="auto"/>
              </w:rPr>
            </w:pPr>
            <w:r>
              <w:rPr>
                <w:rFonts w:ascii="Arial" w:cs="Arial" w:eastAsia="Arial" w:hAnsi="Arial"/>
                <w:sz w:val="16"/>
                <w:szCs w:val="16"/>
                <w:b w:val="1"/>
                <w:bCs w:val="1"/>
                <w:color w:val="auto"/>
                <w:w w:val="89"/>
              </w:rPr>
              <w:t>6</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r>
      <w:tr>
        <w:trPr>
          <w:trHeight w:val="215"/>
        </w:trPr>
        <w:tc>
          <w:tcPr>
            <w:tcW w:w="3700" w:type="dxa"/>
            <w:vAlign w:val="bottom"/>
          </w:tcPr>
          <w:p>
            <w:pPr>
              <w:spacing w:after="0"/>
              <w:rPr>
                <w:sz w:val="20"/>
                <w:szCs w:val="20"/>
                <w:color w:val="auto"/>
              </w:rPr>
            </w:pPr>
            <w:r>
              <w:rPr>
                <w:rFonts w:ascii="Arial" w:cs="Arial" w:eastAsia="Arial" w:hAnsi="Arial"/>
                <w:sz w:val="16"/>
                <w:szCs w:val="16"/>
                <w:color w:val="auto"/>
              </w:rPr>
              <w:t>Revenue ton-miles (billions)</w:t>
            </w:r>
          </w:p>
        </w:tc>
        <w:tc>
          <w:tcPr>
            <w:tcW w:w="900" w:type="dxa"/>
            <w:vAlign w:val="bottom"/>
          </w:tcPr>
          <w:p>
            <w:pPr>
              <w:jc w:val="right"/>
              <w:ind w:right="59"/>
              <w:spacing w:after="0"/>
              <w:rPr>
                <w:sz w:val="20"/>
                <w:szCs w:val="20"/>
                <w:color w:val="auto"/>
              </w:rPr>
            </w:pPr>
            <w:r>
              <w:rPr>
                <w:rFonts w:ascii="Arial" w:cs="Arial" w:eastAsia="Arial" w:hAnsi="Arial"/>
                <w:sz w:val="16"/>
                <w:szCs w:val="16"/>
                <w:b w:val="1"/>
                <w:bCs w:val="1"/>
                <w:color w:val="auto"/>
              </w:rPr>
              <w:t>119.0</w:t>
            </w:r>
          </w:p>
        </w:tc>
        <w:tc>
          <w:tcPr>
            <w:tcW w:w="700" w:type="dxa"/>
            <w:vAlign w:val="bottom"/>
          </w:tcPr>
          <w:p>
            <w:pPr>
              <w:jc w:val="right"/>
              <w:spacing w:after="0"/>
              <w:rPr>
                <w:sz w:val="20"/>
                <w:szCs w:val="20"/>
                <w:color w:val="auto"/>
              </w:rPr>
            </w:pPr>
            <w:r>
              <w:rPr>
                <w:rFonts w:ascii="Arial" w:cs="Arial" w:eastAsia="Arial" w:hAnsi="Arial"/>
                <w:sz w:val="16"/>
                <w:szCs w:val="16"/>
                <w:color w:val="auto"/>
              </w:rPr>
              <w:t>117.5</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4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347.9</w:t>
            </w:r>
          </w:p>
        </w:tc>
        <w:tc>
          <w:tcPr>
            <w:tcW w:w="700" w:type="dxa"/>
            <w:vAlign w:val="bottom"/>
          </w:tcPr>
          <w:p>
            <w:pPr>
              <w:jc w:val="right"/>
              <w:spacing w:after="0"/>
              <w:rPr>
                <w:sz w:val="20"/>
                <w:szCs w:val="20"/>
                <w:color w:val="auto"/>
              </w:rPr>
            </w:pPr>
            <w:r>
              <w:rPr>
                <w:rFonts w:ascii="Arial" w:cs="Arial" w:eastAsia="Arial" w:hAnsi="Arial"/>
                <w:sz w:val="16"/>
                <w:szCs w:val="16"/>
                <w:color w:val="auto"/>
              </w:rPr>
              <w:t>325.0</w:t>
            </w:r>
          </w:p>
        </w:tc>
        <w:tc>
          <w:tcPr>
            <w:tcW w:w="660" w:type="dxa"/>
            <w:vAlign w:val="bottom"/>
          </w:tcPr>
          <w:p>
            <w:pPr>
              <w:jc w:val="center"/>
              <w:ind w:left="259"/>
              <w:spacing w:after="0"/>
              <w:rPr>
                <w:sz w:val="20"/>
                <w:szCs w:val="20"/>
                <w:color w:val="auto"/>
              </w:rPr>
            </w:pPr>
            <w:r>
              <w:rPr>
                <w:rFonts w:ascii="Arial" w:cs="Arial" w:eastAsia="Arial" w:hAnsi="Arial"/>
                <w:sz w:val="16"/>
                <w:szCs w:val="16"/>
                <w:b w:val="1"/>
                <w:bCs w:val="1"/>
                <w:color w:val="auto"/>
                <w:w w:val="89"/>
              </w:rPr>
              <w:t>7</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218"/>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Operating ratio</w:t>
            </w: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62.8</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0.7</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w w:val="99"/>
              </w:rPr>
              <w:t>pts</w:t>
            </w: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63.2</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(0.9) pts</w:t>
            </w:r>
          </w:p>
        </w:tc>
      </w:tr>
      <w:tr>
        <w:trPr>
          <w:trHeight w:val="223"/>
        </w:trPr>
        <w:tc>
          <w:tcPr>
            <w:tcW w:w="3700" w:type="dxa"/>
            <w:vAlign w:val="bottom"/>
            <w:tcBorders>
              <w:bottom w:val="single" w:sz="8" w:color="808080"/>
            </w:tcBorders>
          </w:tcPr>
          <w:p>
            <w:pPr>
              <w:spacing w:after="0"/>
              <w:rPr>
                <w:sz w:val="20"/>
                <w:szCs w:val="20"/>
                <w:color w:val="auto"/>
              </w:rPr>
            </w:pPr>
            <w:r>
              <w:rPr>
                <w:rFonts w:ascii="Arial" w:cs="Arial" w:eastAsia="Arial" w:hAnsi="Arial"/>
                <w:sz w:val="16"/>
                <w:szCs w:val="16"/>
                <w:color w:val="auto"/>
              </w:rPr>
              <w:t>Employees (average)</w:t>
            </w:r>
          </w:p>
        </w:tc>
        <w:tc>
          <w:tcPr>
            <w:tcW w:w="900" w:type="dxa"/>
            <w:vAlign w:val="bottom"/>
            <w:tcBorders>
              <w:bottom w:val="single" w:sz="8" w:color="808080"/>
            </w:tcBorders>
          </w:tcPr>
          <w:p>
            <w:pPr>
              <w:jc w:val="right"/>
              <w:ind w:right="59"/>
              <w:spacing w:after="0"/>
              <w:rPr>
                <w:sz w:val="20"/>
                <w:szCs w:val="20"/>
                <w:color w:val="auto"/>
              </w:rPr>
            </w:pPr>
            <w:r>
              <w:rPr>
                <w:rFonts w:ascii="Arial" w:cs="Arial" w:eastAsia="Arial" w:hAnsi="Arial"/>
                <w:sz w:val="16"/>
                <w:szCs w:val="16"/>
                <w:b w:val="1"/>
                <w:bCs w:val="1"/>
                <w:color w:val="auto"/>
              </w:rPr>
              <w:t>42,056</w:t>
            </w:r>
          </w:p>
        </w:tc>
        <w:tc>
          <w:tcPr>
            <w:tcW w:w="70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42,756</w:t>
            </w: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6"/>
                <w:szCs w:val="16"/>
                <w:b w:val="1"/>
                <w:bCs w:val="1"/>
                <w:color w:val="auto"/>
              </w:rPr>
              <w:t>(2)</w:t>
            </w:r>
          </w:p>
        </w:tc>
        <w:tc>
          <w:tcPr>
            <w:tcW w:w="460" w:type="dxa"/>
            <w:vAlign w:val="bottom"/>
            <w:tcBorders>
              <w:bottom w:val="single" w:sz="8" w:color="808080"/>
            </w:tcBorders>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808080"/>
            </w:tcBorders>
          </w:tcPr>
          <w:p>
            <w:pPr>
              <w:jc w:val="right"/>
              <w:ind w:right="79"/>
              <w:spacing w:after="0"/>
              <w:rPr>
                <w:sz w:val="20"/>
                <w:szCs w:val="20"/>
                <w:color w:val="auto"/>
              </w:rPr>
            </w:pPr>
            <w:r>
              <w:rPr>
                <w:rFonts w:ascii="Arial" w:cs="Arial" w:eastAsia="Arial" w:hAnsi="Arial"/>
                <w:sz w:val="16"/>
                <w:szCs w:val="16"/>
                <w:b w:val="1"/>
                <w:bCs w:val="1"/>
                <w:color w:val="auto"/>
              </w:rPr>
              <w:t>42,127</w:t>
            </w:r>
          </w:p>
        </w:tc>
        <w:tc>
          <w:tcPr>
            <w:tcW w:w="70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43,154</w:t>
            </w:r>
          </w:p>
        </w:tc>
        <w:tc>
          <w:tcPr>
            <w:tcW w:w="660" w:type="dxa"/>
            <w:vAlign w:val="bottom"/>
            <w:tcBorders>
              <w:bottom w:val="single" w:sz="8" w:color="808080"/>
            </w:tcBorders>
          </w:tcPr>
          <w:p>
            <w:pPr>
              <w:jc w:val="center"/>
              <w:ind w:left="259"/>
              <w:spacing w:after="0"/>
              <w:rPr>
                <w:sz w:val="20"/>
                <w:szCs w:val="20"/>
                <w:color w:val="auto"/>
              </w:rPr>
            </w:pPr>
            <w:r>
              <w:rPr>
                <w:rFonts w:ascii="Arial" w:cs="Arial" w:eastAsia="Arial" w:hAnsi="Arial"/>
                <w:sz w:val="16"/>
                <w:szCs w:val="16"/>
                <w:b w:val="1"/>
                <w:bCs w:val="1"/>
                <w:color w:val="auto"/>
              </w:rPr>
              <w:t>(2)</w:t>
            </w:r>
          </w:p>
        </w:tc>
        <w:tc>
          <w:tcPr>
            <w:tcW w:w="200" w:type="dxa"/>
            <w:vAlign w:val="bottom"/>
            <w:tcBorders>
              <w:bottom w:val="single" w:sz="8" w:color="808080"/>
            </w:tcBorders>
          </w:tcPr>
          <w:p>
            <w:pPr>
              <w:jc w:val="right"/>
              <w:spacing w:after="0"/>
              <w:rPr>
                <w:sz w:val="20"/>
                <w:szCs w:val="20"/>
                <w:color w:val="auto"/>
              </w:rPr>
            </w:pPr>
            <w:r>
              <w:rPr>
                <w:rFonts w:ascii="Arial" w:cs="Arial" w:eastAsia="Arial" w:hAnsi="Arial"/>
                <w:sz w:val="16"/>
                <w:szCs w:val="16"/>
                <w:b w:val="1"/>
                <w:bCs w:val="1"/>
                <w:color w:val="auto"/>
              </w:rPr>
              <w:t>%</w:t>
            </w:r>
          </w:p>
        </w:tc>
      </w:tr>
    </w:tbl>
    <w:p>
      <w:pPr>
        <w:spacing w:after="0" w:line="143" w:lineRule="exact"/>
        <w:rPr>
          <w:sz w:val="20"/>
          <w:szCs w:val="20"/>
          <w:color w:val="auto"/>
        </w:rPr>
      </w:pPr>
    </w:p>
    <w:p>
      <w:pPr>
        <w:jc w:val="both"/>
        <w:ind w:left="100" w:right="99"/>
        <w:spacing w:after="0" w:line="226" w:lineRule="auto"/>
        <w:rPr>
          <w:sz w:val="20"/>
          <w:szCs w:val="20"/>
          <w:color w:val="auto"/>
        </w:rPr>
      </w:pPr>
      <w:r>
        <w:rPr>
          <w:rFonts w:ascii="Arial" w:cs="Arial" w:eastAsia="Arial" w:hAnsi="Arial"/>
          <w:sz w:val="18"/>
          <w:szCs w:val="18"/>
          <w:i w:val="1"/>
          <w:iCs w:val="1"/>
          <w:color w:val="auto"/>
        </w:rPr>
        <w:t xml:space="preserve">Average Train Speed </w:t>
      </w:r>
      <w:r>
        <w:rPr>
          <w:rFonts w:ascii="Arial" w:cs="Arial" w:eastAsia="Arial" w:hAnsi="Arial"/>
          <w:sz w:val="18"/>
          <w:szCs w:val="18"/>
          <w:color w:val="auto"/>
        </w:rPr>
        <w:t>– Average train speed is calculated by dividing train miles by hours operated on our main</w:t>
      </w:r>
      <w:r>
        <w:rPr>
          <w:rFonts w:ascii="Arial" w:cs="Arial" w:eastAsia="Arial" w:hAnsi="Arial"/>
          <w:sz w:val="18"/>
          <w:szCs w:val="18"/>
          <w:i w:val="1"/>
          <w:iCs w:val="1"/>
          <w:color w:val="auto"/>
        </w:rPr>
        <w:t xml:space="preserve"> </w:t>
      </w:r>
      <w:r>
        <w:rPr>
          <w:rFonts w:ascii="Arial" w:cs="Arial" w:eastAsia="Arial" w:hAnsi="Arial"/>
          <w:sz w:val="18"/>
          <w:szCs w:val="18"/>
          <w:color w:val="auto"/>
        </w:rPr>
        <w:t>lines between terminals. Average train speed, as reported to the AAR, decreased 2% and 4% in the third quarter and year-to-date periods of 2017, respectively, compared to the same periods in 2016 as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45085</wp:posOffset>
            </wp:positionV>
            <wp:extent cx="5642610" cy="514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9" w:name="page30"/>
    <w:bookmarkEnd w:id="29"/>
    <w:p>
      <w:pPr>
        <w:ind w:left="10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66" w:lineRule="exact"/>
        <w:rPr>
          <w:sz w:val="20"/>
          <w:szCs w:val="20"/>
          <w:color w:val="auto"/>
        </w:rPr>
      </w:pPr>
    </w:p>
    <w:p>
      <w:pPr>
        <w:jc w:val="both"/>
        <w:ind w:left="100" w:right="99"/>
        <w:spacing w:after="0" w:line="219" w:lineRule="auto"/>
        <w:rPr>
          <w:sz w:val="20"/>
          <w:szCs w:val="20"/>
          <w:color w:val="auto"/>
        </w:rPr>
      </w:pPr>
      <w:r>
        <w:rPr>
          <w:rFonts w:ascii="Arial" w:cs="Arial" w:eastAsia="Arial" w:hAnsi="Arial"/>
          <w:sz w:val="18"/>
          <w:szCs w:val="18"/>
          <w:color w:val="auto"/>
        </w:rPr>
        <w:t>disruptions across our network, including the impact of the hurricane, negatively impacted network fluidity. Continued implementation and testing of Positive Train Control across a larger portion of our network also negatively impacted overall average train speed.</w:t>
      </w:r>
    </w:p>
    <w:p>
      <w:pPr>
        <w:spacing w:after="0" w:line="118" w:lineRule="exact"/>
        <w:rPr>
          <w:sz w:val="20"/>
          <w:szCs w:val="20"/>
          <w:color w:val="auto"/>
        </w:rPr>
      </w:pPr>
    </w:p>
    <w:p>
      <w:pPr>
        <w:jc w:val="both"/>
        <w:ind w:left="100" w:right="99"/>
        <w:spacing w:after="0" w:line="220" w:lineRule="auto"/>
        <w:rPr>
          <w:sz w:val="20"/>
          <w:szCs w:val="20"/>
          <w:color w:val="auto"/>
        </w:rPr>
      </w:pPr>
      <w:r>
        <w:rPr>
          <w:rFonts w:ascii="Arial" w:cs="Arial" w:eastAsia="Arial" w:hAnsi="Arial"/>
          <w:sz w:val="18"/>
          <w:szCs w:val="18"/>
          <w:i w:val="1"/>
          <w:iCs w:val="1"/>
          <w:color w:val="auto"/>
        </w:rPr>
        <w:t xml:space="preserve">Average Terminal Dwell Time </w:t>
      </w:r>
      <w:r>
        <w:rPr>
          <w:rFonts w:ascii="Arial" w:cs="Arial" w:eastAsia="Arial" w:hAnsi="Arial"/>
          <w:sz w:val="18"/>
          <w:szCs w:val="18"/>
          <w:color w:val="auto"/>
        </w:rPr>
        <w:t>– Average terminal dwell time is the average time that a rail car spends at our</w:t>
      </w:r>
      <w:r>
        <w:rPr>
          <w:rFonts w:ascii="Arial" w:cs="Arial" w:eastAsia="Arial" w:hAnsi="Arial"/>
          <w:sz w:val="18"/>
          <w:szCs w:val="18"/>
          <w:i w:val="1"/>
          <w:iCs w:val="1"/>
          <w:color w:val="auto"/>
        </w:rPr>
        <w:t xml:space="preserve"> </w:t>
      </w:r>
      <w:r>
        <w:rPr>
          <w:rFonts w:ascii="Arial" w:cs="Arial" w:eastAsia="Arial" w:hAnsi="Arial"/>
          <w:sz w:val="18"/>
          <w:szCs w:val="18"/>
          <w:color w:val="auto"/>
        </w:rPr>
        <w:t>terminals. Lower average terminal dwell time improves asset utilization and service. Average terminal dwell time in the third quarter and year-to-date periods of 2017 increased 7% and 6%, respectively, compared to the same periods of 2016 resulting from network disruptions which negatively impacted network fluidity.</w:t>
      </w:r>
    </w:p>
    <w:p>
      <w:pPr>
        <w:spacing w:after="0" w:line="119" w:lineRule="exact"/>
        <w:rPr>
          <w:sz w:val="20"/>
          <w:szCs w:val="20"/>
          <w:color w:val="auto"/>
        </w:rPr>
      </w:pPr>
    </w:p>
    <w:p>
      <w:pPr>
        <w:jc w:val="both"/>
        <w:ind w:left="100" w:right="99"/>
        <w:spacing w:after="0" w:line="215" w:lineRule="auto"/>
        <w:rPr>
          <w:sz w:val="20"/>
          <w:szCs w:val="20"/>
          <w:color w:val="auto"/>
        </w:rPr>
      </w:pPr>
      <w:r>
        <w:rPr>
          <w:rFonts w:ascii="Arial" w:cs="Arial" w:eastAsia="Arial" w:hAnsi="Arial"/>
          <w:sz w:val="18"/>
          <w:szCs w:val="18"/>
          <w:i w:val="1"/>
          <w:iCs w:val="1"/>
          <w:color w:val="auto"/>
        </w:rPr>
        <w:t xml:space="preserve">Gross and Revenue Ton-Miles </w:t>
      </w:r>
      <w:r>
        <w:rPr>
          <w:rFonts w:ascii="Arial" w:cs="Arial" w:eastAsia="Arial" w:hAnsi="Arial"/>
          <w:sz w:val="18"/>
          <w:szCs w:val="18"/>
          <w:color w:val="auto"/>
        </w:rPr>
        <w:t>– Gross ton-miles are calculated by multiplying the weight of loaded and empty</w:t>
      </w:r>
      <w:r>
        <w:rPr>
          <w:rFonts w:ascii="Arial" w:cs="Arial" w:eastAsia="Arial" w:hAnsi="Arial"/>
          <w:sz w:val="18"/>
          <w:szCs w:val="18"/>
          <w:i w:val="1"/>
          <w:iCs w:val="1"/>
          <w:color w:val="auto"/>
        </w:rPr>
        <w:t xml:space="preserve"> </w:t>
      </w:r>
      <w:r>
        <w:rPr>
          <w:rFonts w:ascii="Arial" w:cs="Arial" w:eastAsia="Arial" w:hAnsi="Arial"/>
          <w:sz w:val="18"/>
          <w:szCs w:val="18"/>
          <w:color w:val="auto"/>
        </w:rPr>
        <w:t>freight cars by the number of miles hauled. Revenue ton-miles are calculated by multiplying the weight of freight by the number of tariff miles. Gross ton-miles and revenue ton-miles increased 2% and 1%, respectively, during the third quarter of 2017 compared to 2016, despite a 1% decrease in carloadings. Changes in commodity mix drove the variances in year-over-year increases between gross ton-miles, revenue ton-miles and carloads.</w:t>
      </w:r>
    </w:p>
    <w:p>
      <w:pPr>
        <w:spacing w:after="0" w:line="116" w:lineRule="exact"/>
        <w:rPr>
          <w:sz w:val="20"/>
          <w:szCs w:val="20"/>
          <w:color w:val="auto"/>
        </w:rPr>
      </w:pPr>
    </w:p>
    <w:p>
      <w:pPr>
        <w:jc w:val="both"/>
        <w:ind w:left="100" w:right="99"/>
        <w:spacing w:after="0" w:line="215" w:lineRule="auto"/>
        <w:rPr>
          <w:sz w:val="20"/>
          <w:szCs w:val="20"/>
          <w:color w:val="auto"/>
        </w:rPr>
      </w:pPr>
      <w:r>
        <w:rPr>
          <w:rFonts w:ascii="Arial" w:cs="Arial" w:eastAsia="Arial" w:hAnsi="Arial"/>
          <w:sz w:val="18"/>
          <w:szCs w:val="18"/>
          <w:i w:val="1"/>
          <w:iCs w:val="1"/>
          <w:color w:val="auto"/>
        </w:rPr>
        <w:t xml:space="preserve">Operating Ratio </w:t>
      </w:r>
      <w:r>
        <w:rPr>
          <w:rFonts w:ascii="Arial" w:cs="Arial" w:eastAsia="Arial" w:hAnsi="Arial"/>
          <w:sz w:val="18"/>
          <w:szCs w:val="18"/>
          <w:color w:val="auto"/>
        </w:rPr>
        <w:t>– Operating ratio is our operating expenses reflected as a percentage of operating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Our third quarter operating ratio of 62.8% increased 0.7 points mainly driven by costs associated with the workforce reduction plan, which had a negative 1.6 point impact on our third quarter operating ratio. Base business operations and productivity gains more than offset inflation, other cost hurdles and additional expenses related to the hurricane. Year-to-date, our operating ratio was 63.2%, improving 0.9 points compared to 2016, despite a negative 0.5 point headwind resulting from the workforce reduction plan.</w:t>
      </w:r>
    </w:p>
    <w:p>
      <w:pPr>
        <w:spacing w:after="0" w:line="116" w:lineRule="exact"/>
        <w:rPr>
          <w:sz w:val="20"/>
          <w:szCs w:val="20"/>
          <w:color w:val="auto"/>
        </w:rPr>
      </w:pPr>
    </w:p>
    <w:p>
      <w:pPr>
        <w:jc w:val="both"/>
        <w:ind w:left="100" w:right="99"/>
        <w:spacing w:after="0" w:line="220" w:lineRule="auto"/>
        <w:rPr>
          <w:sz w:val="20"/>
          <w:szCs w:val="20"/>
          <w:color w:val="auto"/>
        </w:rPr>
      </w:pPr>
      <w:r>
        <w:rPr>
          <w:rFonts w:ascii="Arial" w:cs="Arial" w:eastAsia="Arial" w:hAnsi="Arial"/>
          <w:sz w:val="18"/>
          <w:szCs w:val="18"/>
          <w:i w:val="1"/>
          <w:iCs w:val="1"/>
          <w:color w:val="auto"/>
        </w:rPr>
        <w:t xml:space="preserve">Employees </w:t>
      </w:r>
      <w:r>
        <w:rPr>
          <w:rFonts w:ascii="Arial" w:cs="Arial" w:eastAsia="Arial" w:hAnsi="Arial"/>
          <w:sz w:val="18"/>
          <w:szCs w:val="18"/>
          <w:color w:val="auto"/>
        </w:rPr>
        <w:t>– Employee levels decreased 2% in both the third quarter and nine-month periods of 2017</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same periods in 2016. Productivity gains, a smaller capital workforce, and fewer management and administrative personnel drove the reduction and, for the year-to-date period, more than offset the 2% volume growth.</w:t>
      </w:r>
    </w:p>
    <w:p>
      <w:pPr>
        <w:spacing w:after="0" w:line="11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Debt to Capital / Adjusted Debt to Capital</w:t>
      </w:r>
    </w:p>
    <w:p>
      <w:pPr>
        <w:spacing w:after="0" w:line="106"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5620" w:type="dxa"/>
            <w:vAlign w:val="bottom"/>
            <w:tcBorders>
              <w:top w:val="single" w:sz="8" w:color="7F7F7F"/>
            </w:tcBorders>
          </w:tcPr>
          <w:p>
            <w:pPr>
              <w:spacing w:after="0"/>
              <w:rPr>
                <w:sz w:val="20"/>
                <w:szCs w:val="20"/>
                <w:color w:val="auto"/>
              </w:rPr>
            </w:pPr>
          </w:p>
        </w:tc>
        <w:tc>
          <w:tcPr>
            <w:tcW w:w="1440" w:type="dxa"/>
            <w:vAlign w:val="bottom"/>
            <w:tcBorders>
              <w:top w:val="single" w:sz="8" w:color="7F7F7F"/>
            </w:tcBorders>
          </w:tcPr>
          <w:p>
            <w:pPr>
              <w:spacing w:after="0"/>
              <w:rPr>
                <w:sz w:val="20"/>
                <w:szCs w:val="20"/>
                <w:color w:val="auto"/>
              </w:rPr>
            </w:pPr>
          </w:p>
        </w:tc>
        <w:tc>
          <w:tcPr>
            <w:tcW w:w="780" w:type="dxa"/>
            <w:vAlign w:val="bottom"/>
            <w:tcBorders>
              <w:top w:val="single" w:sz="8" w:color="7F7F7F"/>
            </w:tcBorders>
          </w:tcPr>
          <w:p>
            <w:pPr>
              <w:jc w:val="right"/>
              <w:spacing w:after="0"/>
              <w:rPr>
                <w:sz w:val="20"/>
                <w:szCs w:val="20"/>
                <w:color w:val="auto"/>
              </w:rPr>
            </w:pPr>
            <w:r>
              <w:rPr>
                <w:rFonts w:ascii="Arial" w:cs="Arial" w:eastAsia="Arial" w:hAnsi="Arial"/>
                <w:sz w:val="16"/>
                <w:szCs w:val="16"/>
                <w:b w:val="1"/>
                <w:bCs w:val="1"/>
                <w:i w:val="1"/>
                <w:iCs w:val="1"/>
                <w:color w:val="auto"/>
              </w:rPr>
              <w:t>Sep. 30,</w:t>
            </w:r>
          </w:p>
        </w:tc>
        <w:tc>
          <w:tcPr>
            <w:tcW w:w="280" w:type="dxa"/>
            <w:vAlign w:val="bottom"/>
            <w:tcBorders>
              <w:top w:val="single" w:sz="8" w:color="7F7F7F"/>
            </w:tcBorders>
          </w:tcPr>
          <w:p>
            <w:pPr>
              <w:spacing w:after="0"/>
              <w:rPr>
                <w:sz w:val="20"/>
                <w:szCs w:val="20"/>
                <w:color w:val="auto"/>
              </w:rPr>
            </w:pPr>
          </w:p>
        </w:tc>
        <w:tc>
          <w:tcPr>
            <w:tcW w:w="700" w:type="dxa"/>
            <w:vAlign w:val="bottom"/>
            <w:tcBorders>
              <w:top w:val="single" w:sz="8" w:color="7F7F7F"/>
            </w:tcBorders>
          </w:tcPr>
          <w:p>
            <w:pPr>
              <w:jc w:val="right"/>
              <w:spacing w:after="0"/>
              <w:rPr>
                <w:sz w:val="20"/>
                <w:szCs w:val="20"/>
                <w:color w:val="auto"/>
              </w:rPr>
            </w:pPr>
            <w:r>
              <w:rPr>
                <w:rFonts w:ascii="Arial" w:cs="Arial" w:eastAsia="Arial" w:hAnsi="Arial"/>
                <w:sz w:val="16"/>
                <w:szCs w:val="16"/>
                <w:i w:val="1"/>
                <w:iCs w:val="1"/>
                <w:color w:val="auto"/>
              </w:rPr>
              <w:t>Dec. 31,</w:t>
            </w:r>
          </w:p>
        </w:tc>
      </w:tr>
      <w:tr>
        <w:trPr>
          <w:trHeight w:val="214"/>
        </w:trPr>
        <w:tc>
          <w:tcPr>
            <w:tcW w:w="5620" w:type="dxa"/>
            <w:vAlign w:val="bottom"/>
            <w:tcBorders>
              <w:bottom w:val="single" w:sz="8" w:color="7F7F7F"/>
            </w:tcBorders>
          </w:tcPr>
          <w:p>
            <w:pPr>
              <w:spacing w:after="0"/>
              <w:rPr>
                <w:sz w:val="20"/>
                <w:szCs w:val="20"/>
                <w:color w:val="auto"/>
              </w:rPr>
            </w:pPr>
            <w:r>
              <w:rPr>
                <w:rFonts w:ascii="Arial" w:cs="Arial" w:eastAsia="Arial" w:hAnsi="Arial"/>
                <w:sz w:val="16"/>
                <w:szCs w:val="16"/>
                <w:i w:val="1"/>
                <w:iCs w:val="1"/>
                <w:color w:val="auto"/>
              </w:rPr>
              <w:t>Millions, Except Percentages</w:t>
            </w:r>
          </w:p>
        </w:tc>
        <w:tc>
          <w:tcPr>
            <w:tcW w:w="1440" w:type="dxa"/>
            <w:vAlign w:val="bottom"/>
            <w:tcBorders>
              <w:bottom w:val="single" w:sz="8" w:color="7F7F7F"/>
            </w:tcBorders>
          </w:tcPr>
          <w:p>
            <w:pPr>
              <w:spacing w:after="0"/>
              <w:rPr>
                <w:sz w:val="18"/>
                <w:szCs w:val="18"/>
                <w:color w:val="auto"/>
              </w:rPr>
            </w:pPr>
          </w:p>
        </w:tc>
        <w:tc>
          <w:tcPr>
            <w:tcW w:w="780" w:type="dxa"/>
            <w:vAlign w:val="bottom"/>
            <w:tcBorders>
              <w:bottom w:val="single" w:sz="8" w:color="7F7F7F"/>
            </w:tcBorders>
          </w:tcPr>
          <w:p>
            <w:pPr>
              <w:jc w:val="right"/>
              <w:ind w:right="39"/>
              <w:spacing w:after="0"/>
              <w:rPr>
                <w:sz w:val="20"/>
                <w:szCs w:val="20"/>
                <w:color w:val="auto"/>
              </w:rPr>
            </w:pPr>
            <w:r>
              <w:rPr>
                <w:rFonts w:ascii="Arial" w:cs="Arial" w:eastAsia="Arial" w:hAnsi="Arial"/>
                <w:sz w:val="16"/>
                <w:szCs w:val="16"/>
                <w:b w:val="1"/>
                <w:bCs w:val="1"/>
                <w:i w:val="1"/>
                <w:iCs w:val="1"/>
                <w:color w:val="auto"/>
              </w:rPr>
              <w:t>2017</w:t>
            </w:r>
          </w:p>
        </w:tc>
        <w:tc>
          <w:tcPr>
            <w:tcW w:w="280" w:type="dxa"/>
            <w:vAlign w:val="bottom"/>
            <w:tcBorders>
              <w:bottom w:val="single" w:sz="8" w:color="7F7F7F"/>
            </w:tcBorders>
          </w:tcPr>
          <w:p>
            <w:pPr>
              <w:spacing w:after="0"/>
              <w:rPr>
                <w:sz w:val="18"/>
                <w:szCs w:val="18"/>
                <w:color w:val="auto"/>
              </w:rPr>
            </w:pPr>
          </w:p>
        </w:tc>
        <w:tc>
          <w:tcPr>
            <w:tcW w:w="70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2016</w:t>
            </w:r>
          </w:p>
        </w:tc>
      </w:tr>
      <w:tr>
        <w:trPr>
          <w:trHeight w:val="203"/>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Debt (a)</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16,833</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15,007</w:t>
            </w:r>
          </w:p>
        </w:tc>
      </w:tr>
      <w:tr>
        <w:trPr>
          <w:trHeight w:val="210"/>
        </w:trPr>
        <w:tc>
          <w:tcPr>
            <w:tcW w:w="562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Equity</w:t>
            </w:r>
          </w:p>
        </w:tc>
        <w:tc>
          <w:tcPr>
            <w:tcW w:w="1440" w:type="dxa"/>
            <w:vAlign w:val="bottom"/>
            <w:tcBorders>
              <w:bottom w:val="single" w:sz="8" w:color="7F7F7F"/>
            </w:tcBorders>
          </w:tcPr>
          <w:p>
            <w:pPr>
              <w:spacing w:after="0"/>
              <w:rPr>
                <w:sz w:val="18"/>
                <w:szCs w:val="18"/>
                <w:color w:val="auto"/>
              </w:rPr>
            </w:pPr>
          </w:p>
        </w:tc>
        <w:tc>
          <w:tcPr>
            <w:tcW w:w="780" w:type="dxa"/>
            <w:vAlign w:val="bottom"/>
            <w:tcBorders>
              <w:bottom w:val="single" w:sz="8" w:color="7F7F7F"/>
            </w:tcBorders>
          </w:tcPr>
          <w:p>
            <w:pPr>
              <w:jc w:val="right"/>
              <w:ind w:right="39"/>
              <w:spacing w:after="0"/>
              <w:rPr>
                <w:sz w:val="20"/>
                <w:szCs w:val="20"/>
                <w:color w:val="auto"/>
              </w:rPr>
            </w:pPr>
            <w:r>
              <w:rPr>
                <w:rFonts w:ascii="Arial" w:cs="Arial" w:eastAsia="Arial" w:hAnsi="Arial"/>
                <w:sz w:val="16"/>
                <w:szCs w:val="16"/>
                <w:b w:val="1"/>
                <w:bCs w:val="1"/>
                <w:color w:val="auto"/>
              </w:rPr>
              <w:t>19,151</w:t>
            </w:r>
          </w:p>
        </w:tc>
        <w:tc>
          <w:tcPr>
            <w:tcW w:w="280" w:type="dxa"/>
            <w:vAlign w:val="bottom"/>
            <w:tcBorders>
              <w:bottom w:val="single" w:sz="8" w:color="7F7F7F"/>
            </w:tcBorders>
          </w:tcPr>
          <w:p>
            <w:pPr>
              <w:spacing w:after="0"/>
              <w:rPr>
                <w:sz w:val="18"/>
                <w:szCs w:val="18"/>
                <w:color w:val="auto"/>
              </w:rPr>
            </w:pPr>
          </w:p>
        </w:tc>
        <w:tc>
          <w:tcPr>
            <w:tcW w:w="7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19,932</w:t>
            </w:r>
          </w:p>
        </w:tc>
      </w:tr>
      <w:tr>
        <w:trPr>
          <w:trHeight w:val="196"/>
        </w:trPr>
        <w:tc>
          <w:tcPr>
            <w:tcW w:w="562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Capital (b)</w:t>
            </w:r>
          </w:p>
        </w:tc>
        <w:tc>
          <w:tcPr>
            <w:tcW w:w="144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7F7F7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35,984</w:t>
            </w:r>
          </w:p>
        </w:tc>
        <w:tc>
          <w:tcPr>
            <w:tcW w:w="280" w:type="dxa"/>
            <w:vAlign w:val="bottom"/>
            <w:tcBorders>
              <w:bottom w:val="single" w:sz="8" w:color="7F7F7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34,939</w:t>
            </w:r>
          </w:p>
        </w:tc>
      </w:tr>
      <w:tr>
        <w:trPr>
          <w:trHeight w:val="237"/>
        </w:trPr>
        <w:tc>
          <w:tcPr>
            <w:tcW w:w="5620" w:type="dxa"/>
            <w:vAlign w:val="bottom"/>
          </w:tcPr>
          <w:p>
            <w:pPr>
              <w:spacing w:after="0"/>
              <w:rPr>
                <w:sz w:val="20"/>
                <w:szCs w:val="20"/>
                <w:color w:val="auto"/>
              </w:rPr>
            </w:pPr>
            <w:r>
              <w:rPr>
                <w:rFonts w:ascii="Arial" w:cs="Arial" w:eastAsia="Arial" w:hAnsi="Arial"/>
                <w:sz w:val="16"/>
                <w:szCs w:val="16"/>
                <w:color w:val="auto"/>
              </w:rPr>
              <w:t>Debt to capital (a/b)</w:t>
            </w:r>
          </w:p>
        </w:tc>
        <w:tc>
          <w:tcPr>
            <w:tcW w:w="14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b w:val="1"/>
                <w:bCs w:val="1"/>
                <w:color w:val="auto"/>
              </w:rPr>
              <w:t>46.8%</w:t>
            </w:r>
          </w:p>
        </w:tc>
        <w:tc>
          <w:tcPr>
            <w:tcW w:w="2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43.0%</w:t>
            </w:r>
          </w:p>
        </w:tc>
      </w:tr>
      <w:tr>
        <w:trPr>
          <w:trHeight w:val="81"/>
        </w:trPr>
        <w:tc>
          <w:tcPr>
            <w:tcW w:w="5620" w:type="dxa"/>
            <w:vAlign w:val="bottom"/>
            <w:tcBorders>
              <w:bottom w:val="single" w:sz="8" w:color="7F7F7F"/>
            </w:tcBorders>
          </w:tcPr>
          <w:p>
            <w:pPr>
              <w:spacing w:after="0"/>
              <w:rPr>
                <w:sz w:val="7"/>
                <w:szCs w:val="7"/>
                <w:color w:val="auto"/>
              </w:rPr>
            </w:pPr>
          </w:p>
        </w:tc>
        <w:tc>
          <w:tcPr>
            <w:tcW w:w="1440" w:type="dxa"/>
            <w:vAlign w:val="bottom"/>
            <w:tcBorders>
              <w:bottom w:val="single" w:sz="8" w:color="7F7F7F"/>
            </w:tcBorders>
          </w:tcPr>
          <w:p>
            <w:pPr>
              <w:spacing w:after="0"/>
              <w:rPr>
                <w:sz w:val="7"/>
                <w:szCs w:val="7"/>
                <w:color w:val="auto"/>
              </w:rPr>
            </w:pPr>
          </w:p>
        </w:tc>
        <w:tc>
          <w:tcPr>
            <w:tcW w:w="780" w:type="dxa"/>
            <w:vAlign w:val="bottom"/>
            <w:tcBorders>
              <w:bottom w:val="single" w:sz="8" w:color="7F7F7F"/>
            </w:tcBorders>
          </w:tcPr>
          <w:p>
            <w:pPr>
              <w:spacing w:after="0"/>
              <w:rPr>
                <w:sz w:val="7"/>
                <w:szCs w:val="7"/>
                <w:color w:val="auto"/>
              </w:rPr>
            </w:pPr>
          </w:p>
        </w:tc>
        <w:tc>
          <w:tcPr>
            <w:tcW w:w="280" w:type="dxa"/>
            <w:vAlign w:val="bottom"/>
            <w:tcBorders>
              <w:bottom w:val="single" w:sz="8" w:color="7F7F7F"/>
            </w:tcBorders>
          </w:tcPr>
          <w:p>
            <w:pPr>
              <w:spacing w:after="0"/>
              <w:rPr>
                <w:sz w:val="7"/>
                <w:szCs w:val="7"/>
                <w:color w:val="auto"/>
              </w:rPr>
            </w:pPr>
          </w:p>
        </w:tc>
        <w:tc>
          <w:tcPr>
            <w:tcW w:w="700" w:type="dxa"/>
            <w:vAlign w:val="bottom"/>
            <w:tcBorders>
              <w:bottom w:val="single" w:sz="8" w:color="7F7F7F"/>
            </w:tcBorders>
          </w:tcPr>
          <w:p>
            <w:pPr>
              <w:spacing w:after="0"/>
              <w:rPr>
                <w:sz w:val="7"/>
                <w:szCs w:val="7"/>
                <w:color w:val="auto"/>
              </w:rPr>
            </w:pPr>
          </w:p>
        </w:tc>
      </w:tr>
      <w:tr>
        <w:trPr>
          <w:trHeight w:val="331"/>
        </w:trPr>
        <w:tc>
          <w:tcPr>
            <w:tcW w:w="5620" w:type="dxa"/>
            <w:vAlign w:val="bottom"/>
            <w:tcBorders>
              <w:bottom w:val="single" w:sz="8" w:color="7F7F7F"/>
            </w:tcBorders>
          </w:tcPr>
          <w:p>
            <w:pPr>
              <w:spacing w:after="0"/>
              <w:rPr>
                <w:sz w:val="24"/>
                <w:szCs w:val="24"/>
                <w:color w:val="auto"/>
              </w:rPr>
            </w:pPr>
          </w:p>
        </w:tc>
        <w:tc>
          <w:tcPr>
            <w:tcW w:w="1440" w:type="dxa"/>
            <w:vAlign w:val="bottom"/>
            <w:tcBorders>
              <w:bottom w:val="single" w:sz="8" w:color="7F7F7F"/>
            </w:tcBorders>
          </w:tcPr>
          <w:p>
            <w:pPr>
              <w:spacing w:after="0"/>
              <w:rPr>
                <w:sz w:val="24"/>
                <w:szCs w:val="24"/>
                <w:color w:val="auto"/>
              </w:rPr>
            </w:pPr>
          </w:p>
        </w:tc>
        <w:tc>
          <w:tcPr>
            <w:tcW w:w="780" w:type="dxa"/>
            <w:vAlign w:val="bottom"/>
            <w:tcBorders>
              <w:bottom w:val="single" w:sz="8" w:color="7F7F7F"/>
            </w:tcBorders>
          </w:tcPr>
          <w:p>
            <w:pPr>
              <w:spacing w:after="0"/>
              <w:rPr>
                <w:sz w:val="24"/>
                <w:szCs w:val="24"/>
                <w:color w:val="auto"/>
              </w:rPr>
            </w:pPr>
          </w:p>
        </w:tc>
        <w:tc>
          <w:tcPr>
            <w:tcW w:w="280" w:type="dxa"/>
            <w:vAlign w:val="bottom"/>
            <w:tcBorders>
              <w:bottom w:val="single" w:sz="8" w:color="7F7F7F"/>
            </w:tcBorders>
          </w:tcPr>
          <w:p>
            <w:pPr>
              <w:spacing w:after="0"/>
              <w:rPr>
                <w:sz w:val="24"/>
                <w:szCs w:val="24"/>
                <w:color w:val="auto"/>
              </w:rPr>
            </w:pPr>
          </w:p>
        </w:tc>
        <w:tc>
          <w:tcPr>
            <w:tcW w:w="700" w:type="dxa"/>
            <w:vAlign w:val="bottom"/>
            <w:tcBorders>
              <w:bottom w:val="single" w:sz="8" w:color="7F7F7F"/>
            </w:tcBorders>
          </w:tcPr>
          <w:p>
            <w:pPr>
              <w:spacing w:after="0"/>
              <w:rPr>
                <w:sz w:val="24"/>
                <w:szCs w:val="24"/>
                <w:color w:val="auto"/>
              </w:rPr>
            </w:pPr>
          </w:p>
        </w:tc>
      </w:tr>
      <w:tr>
        <w:trPr>
          <w:trHeight w:val="184"/>
        </w:trPr>
        <w:tc>
          <w:tcPr>
            <w:tcW w:w="56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Sep. 30,</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i w:val="1"/>
                <w:iCs w:val="1"/>
                <w:color w:val="auto"/>
              </w:rPr>
              <w:t>Dec. 31,</w:t>
            </w:r>
          </w:p>
        </w:tc>
      </w:tr>
      <w:tr>
        <w:trPr>
          <w:trHeight w:val="214"/>
        </w:trPr>
        <w:tc>
          <w:tcPr>
            <w:tcW w:w="5620" w:type="dxa"/>
            <w:vAlign w:val="bottom"/>
            <w:tcBorders>
              <w:bottom w:val="single" w:sz="8" w:color="7F7F7F"/>
            </w:tcBorders>
          </w:tcPr>
          <w:p>
            <w:pPr>
              <w:spacing w:after="0"/>
              <w:rPr>
                <w:sz w:val="20"/>
                <w:szCs w:val="20"/>
                <w:color w:val="auto"/>
              </w:rPr>
            </w:pPr>
            <w:r>
              <w:rPr>
                <w:rFonts w:ascii="Arial" w:cs="Arial" w:eastAsia="Arial" w:hAnsi="Arial"/>
                <w:sz w:val="16"/>
                <w:szCs w:val="16"/>
                <w:i w:val="1"/>
                <w:iCs w:val="1"/>
                <w:color w:val="auto"/>
              </w:rPr>
              <w:t>Millions, Except Percentages</w:t>
            </w:r>
          </w:p>
        </w:tc>
        <w:tc>
          <w:tcPr>
            <w:tcW w:w="1440" w:type="dxa"/>
            <w:vAlign w:val="bottom"/>
            <w:tcBorders>
              <w:bottom w:val="single" w:sz="8" w:color="7F7F7F"/>
            </w:tcBorders>
          </w:tcPr>
          <w:p>
            <w:pPr>
              <w:spacing w:after="0"/>
              <w:rPr>
                <w:sz w:val="18"/>
                <w:szCs w:val="18"/>
                <w:color w:val="auto"/>
              </w:rPr>
            </w:pPr>
          </w:p>
        </w:tc>
        <w:tc>
          <w:tcPr>
            <w:tcW w:w="780" w:type="dxa"/>
            <w:vAlign w:val="bottom"/>
            <w:tcBorders>
              <w:bottom w:val="single" w:sz="8" w:color="7F7F7F"/>
            </w:tcBorders>
          </w:tcPr>
          <w:p>
            <w:pPr>
              <w:jc w:val="right"/>
              <w:ind w:right="39"/>
              <w:spacing w:after="0"/>
              <w:rPr>
                <w:sz w:val="20"/>
                <w:szCs w:val="20"/>
                <w:color w:val="auto"/>
              </w:rPr>
            </w:pPr>
            <w:r>
              <w:rPr>
                <w:rFonts w:ascii="Arial" w:cs="Arial" w:eastAsia="Arial" w:hAnsi="Arial"/>
                <w:sz w:val="16"/>
                <w:szCs w:val="16"/>
                <w:b w:val="1"/>
                <w:bCs w:val="1"/>
                <w:i w:val="1"/>
                <w:iCs w:val="1"/>
                <w:color w:val="auto"/>
              </w:rPr>
              <w:t>2017</w:t>
            </w:r>
          </w:p>
        </w:tc>
        <w:tc>
          <w:tcPr>
            <w:tcW w:w="280" w:type="dxa"/>
            <w:vAlign w:val="bottom"/>
            <w:tcBorders>
              <w:bottom w:val="single" w:sz="8" w:color="7F7F7F"/>
            </w:tcBorders>
          </w:tcPr>
          <w:p>
            <w:pPr>
              <w:spacing w:after="0"/>
              <w:rPr>
                <w:sz w:val="18"/>
                <w:szCs w:val="18"/>
                <w:color w:val="auto"/>
              </w:rPr>
            </w:pPr>
          </w:p>
        </w:tc>
        <w:tc>
          <w:tcPr>
            <w:tcW w:w="70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2016</w:t>
            </w:r>
          </w:p>
        </w:tc>
      </w:tr>
      <w:tr>
        <w:trPr>
          <w:trHeight w:val="203"/>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Debt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16,833</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15,007</w:t>
            </w:r>
          </w:p>
        </w:tc>
      </w:tr>
      <w:tr>
        <w:trPr>
          <w:trHeight w:val="215"/>
        </w:trPr>
        <w:tc>
          <w:tcPr>
            <w:tcW w:w="5620" w:type="dxa"/>
            <w:vAlign w:val="bottom"/>
          </w:tcPr>
          <w:p>
            <w:pPr>
              <w:spacing w:after="0"/>
              <w:rPr>
                <w:sz w:val="20"/>
                <w:szCs w:val="20"/>
                <w:color w:val="auto"/>
              </w:rPr>
            </w:pPr>
            <w:r>
              <w:rPr>
                <w:rFonts w:ascii="Arial" w:cs="Arial" w:eastAsia="Arial" w:hAnsi="Arial"/>
                <w:sz w:val="16"/>
                <w:szCs w:val="16"/>
                <w:color w:val="auto"/>
              </w:rPr>
              <w:t>Net present value of operating leases</w:t>
            </w:r>
          </w:p>
        </w:tc>
        <w:tc>
          <w:tcPr>
            <w:tcW w:w="144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b w:val="1"/>
                <w:bCs w:val="1"/>
                <w:color w:val="auto"/>
              </w:rPr>
              <w:t>2,186</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2,435</w:t>
            </w:r>
          </w:p>
        </w:tc>
      </w:tr>
      <w:tr>
        <w:trPr>
          <w:trHeight w:val="210"/>
        </w:trPr>
        <w:tc>
          <w:tcPr>
            <w:tcW w:w="562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Unfunded pension and OPEB, net of taxes of $256 and $261</w:t>
            </w:r>
          </w:p>
        </w:tc>
        <w:tc>
          <w:tcPr>
            <w:tcW w:w="1440" w:type="dxa"/>
            <w:vAlign w:val="bottom"/>
            <w:tcBorders>
              <w:bottom w:val="single" w:sz="8" w:color="7F7F7F"/>
            </w:tcBorders>
            <w:shd w:val="clear" w:color="auto" w:fill="CCEEFF"/>
          </w:tcPr>
          <w:p>
            <w:pPr>
              <w:spacing w:after="0"/>
              <w:rPr>
                <w:sz w:val="18"/>
                <w:szCs w:val="18"/>
                <w:color w:val="auto"/>
              </w:rPr>
            </w:pPr>
          </w:p>
        </w:tc>
        <w:tc>
          <w:tcPr>
            <w:tcW w:w="780" w:type="dxa"/>
            <w:vAlign w:val="bottom"/>
            <w:tcBorders>
              <w:bottom w:val="single" w:sz="8" w:color="7F7F7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417</w:t>
            </w:r>
          </w:p>
        </w:tc>
        <w:tc>
          <w:tcPr>
            <w:tcW w:w="280" w:type="dxa"/>
            <w:vAlign w:val="bottom"/>
            <w:tcBorders>
              <w:bottom w:val="single" w:sz="8" w:color="7F7F7F"/>
            </w:tcBorders>
            <w:shd w:val="clear" w:color="auto" w:fill="CCEEFF"/>
          </w:tcPr>
          <w:p>
            <w:pPr>
              <w:spacing w:after="0"/>
              <w:rPr>
                <w:sz w:val="18"/>
                <w:szCs w:val="18"/>
                <w:color w:val="auto"/>
              </w:rPr>
            </w:pPr>
          </w:p>
        </w:tc>
        <w:tc>
          <w:tcPr>
            <w:tcW w:w="7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436</w:t>
            </w:r>
          </w:p>
        </w:tc>
      </w:tr>
      <w:tr>
        <w:trPr>
          <w:trHeight w:val="203"/>
        </w:trPr>
        <w:tc>
          <w:tcPr>
            <w:tcW w:w="5620" w:type="dxa"/>
            <w:vAlign w:val="bottom"/>
          </w:tcPr>
          <w:p>
            <w:pPr>
              <w:spacing w:after="0"/>
              <w:rPr>
                <w:sz w:val="20"/>
                <w:szCs w:val="20"/>
                <w:color w:val="auto"/>
              </w:rPr>
            </w:pPr>
            <w:r>
              <w:rPr>
                <w:rFonts w:ascii="Arial" w:cs="Arial" w:eastAsia="Arial" w:hAnsi="Arial"/>
                <w:sz w:val="16"/>
                <w:szCs w:val="16"/>
                <w:color w:val="auto"/>
              </w:rPr>
              <w:t>Adjusted debt (a)</w:t>
            </w:r>
          </w:p>
        </w:tc>
        <w:tc>
          <w:tcPr>
            <w:tcW w:w="144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b w:val="1"/>
                <w:bCs w:val="1"/>
                <w:color w:val="auto"/>
              </w:rPr>
              <w:t>19,436</w:t>
            </w: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17,878</w:t>
            </w:r>
          </w:p>
        </w:tc>
      </w:tr>
      <w:tr>
        <w:trPr>
          <w:trHeight w:val="210"/>
        </w:trPr>
        <w:tc>
          <w:tcPr>
            <w:tcW w:w="562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Equity</w:t>
            </w:r>
          </w:p>
        </w:tc>
        <w:tc>
          <w:tcPr>
            <w:tcW w:w="1440" w:type="dxa"/>
            <w:vAlign w:val="bottom"/>
            <w:tcBorders>
              <w:bottom w:val="single" w:sz="8" w:color="7F7F7F"/>
            </w:tcBorders>
            <w:shd w:val="clear" w:color="auto" w:fill="CCEEFF"/>
          </w:tcPr>
          <w:p>
            <w:pPr>
              <w:spacing w:after="0"/>
              <w:rPr>
                <w:sz w:val="18"/>
                <w:szCs w:val="18"/>
                <w:color w:val="auto"/>
              </w:rPr>
            </w:pPr>
          </w:p>
        </w:tc>
        <w:tc>
          <w:tcPr>
            <w:tcW w:w="780" w:type="dxa"/>
            <w:vAlign w:val="bottom"/>
            <w:tcBorders>
              <w:bottom w:val="single" w:sz="8" w:color="7F7F7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19,151</w:t>
            </w:r>
          </w:p>
        </w:tc>
        <w:tc>
          <w:tcPr>
            <w:tcW w:w="280" w:type="dxa"/>
            <w:vAlign w:val="bottom"/>
            <w:tcBorders>
              <w:bottom w:val="single" w:sz="8" w:color="7F7F7F"/>
            </w:tcBorders>
            <w:shd w:val="clear" w:color="auto" w:fill="CCEEFF"/>
          </w:tcPr>
          <w:p>
            <w:pPr>
              <w:spacing w:after="0"/>
              <w:rPr>
                <w:sz w:val="18"/>
                <w:szCs w:val="18"/>
                <w:color w:val="auto"/>
              </w:rPr>
            </w:pPr>
          </w:p>
        </w:tc>
        <w:tc>
          <w:tcPr>
            <w:tcW w:w="7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19,932</w:t>
            </w:r>
          </w:p>
        </w:tc>
      </w:tr>
      <w:tr>
        <w:trPr>
          <w:trHeight w:val="196"/>
        </w:trPr>
        <w:tc>
          <w:tcPr>
            <w:tcW w:w="562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Adjusted capital (b)</w:t>
            </w:r>
          </w:p>
        </w:tc>
        <w:tc>
          <w:tcPr>
            <w:tcW w:w="1440" w:type="dxa"/>
            <w:vAlign w:val="bottom"/>
            <w:tcBorders>
              <w:bottom w:val="single" w:sz="8" w:color="7F7F7F"/>
            </w:tcBorders>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7F7F7F"/>
            </w:tcBorders>
          </w:tcPr>
          <w:p>
            <w:pPr>
              <w:jc w:val="right"/>
              <w:ind w:right="39"/>
              <w:spacing w:after="0"/>
              <w:rPr>
                <w:sz w:val="20"/>
                <w:szCs w:val="20"/>
                <w:color w:val="auto"/>
              </w:rPr>
            </w:pPr>
            <w:r>
              <w:rPr>
                <w:rFonts w:ascii="Arial" w:cs="Arial" w:eastAsia="Arial" w:hAnsi="Arial"/>
                <w:sz w:val="16"/>
                <w:szCs w:val="16"/>
                <w:b w:val="1"/>
                <w:bCs w:val="1"/>
                <w:color w:val="auto"/>
              </w:rPr>
              <w:t>38,587</w:t>
            </w:r>
          </w:p>
        </w:tc>
        <w:tc>
          <w:tcPr>
            <w:tcW w:w="280" w:type="dxa"/>
            <w:vAlign w:val="bottom"/>
            <w:tcBorders>
              <w:bottom w:val="single" w:sz="8" w:color="7F7F7F"/>
            </w:tcBorders>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37,810</w:t>
            </w:r>
          </w:p>
        </w:tc>
      </w:tr>
      <w:tr>
        <w:trPr>
          <w:trHeight w:val="264"/>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Adjusted debt to capital (a/b)</w:t>
            </w:r>
          </w:p>
        </w:tc>
        <w:tc>
          <w:tcPr>
            <w:tcW w:w="14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50.4%</w:t>
            </w:r>
          </w:p>
        </w:tc>
        <w:tc>
          <w:tcPr>
            <w:tcW w:w="2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47.3%</w:t>
            </w:r>
          </w:p>
        </w:tc>
      </w:tr>
      <w:tr>
        <w:trPr>
          <w:trHeight w:val="54"/>
        </w:trPr>
        <w:tc>
          <w:tcPr>
            <w:tcW w:w="5620" w:type="dxa"/>
            <w:vAlign w:val="bottom"/>
            <w:shd w:val="clear" w:color="auto" w:fill="7F7F7F"/>
          </w:tcPr>
          <w:p>
            <w:pPr>
              <w:spacing w:after="0"/>
              <w:rPr>
                <w:sz w:val="4"/>
                <w:szCs w:val="4"/>
                <w:color w:val="auto"/>
              </w:rPr>
            </w:pPr>
          </w:p>
        </w:tc>
        <w:tc>
          <w:tcPr>
            <w:tcW w:w="1440" w:type="dxa"/>
            <w:vAlign w:val="bottom"/>
            <w:shd w:val="clear" w:color="auto" w:fill="7F7F7F"/>
          </w:tcPr>
          <w:p>
            <w:pPr>
              <w:spacing w:after="0"/>
              <w:rPr>
                <w:sz w:val="4"/>
                <w:szCs w:val="4"/>
                <w:color w:val="auto"/>
              </w:rPr>
            </w:pPr>
          </w:p>
        </w:tc>
        <w:tc>
          <w:tcPr>
            <w:tcW w:w="780" w:type="dxa"/>
            <w:vAlign w:val="bottom"/>
            <w:shd w:val="clear" w:color="auto" w:fill="7F7F7F"/>
          </w:tcPr>
          <w:p>
            <w:pPr>
              <w:spacing w:after="0"/>
              <w:rPr>
                <w:sz w:val="4"/>
                <w:szCs w:val="4"/>
                <w:color w:val="auto"/>
              </w:rPr>
            </w:pPr>
          </w:p>
        </w:tc>
        <w:tc>
          <w:tcPr>
            <w:tcW w:w="280" w:type="dxa"/>
            <w:vAlign w:val="bottom"/>
            <w:shd w:val="clear" w:color="auto" w:fill="7F7F7F"/>
          </w:tcPr>
          <w:p>
            <w:pPr>
              <w:spacing w:after="0"/>
              <w:rPr>
                <w:sz w:val="4"/>
                <w:szCs w:val="4"/>
                <w:color w:val="auto"/>
              </w:rPr>
            </w:pPr>
          </w:p>
        </w:tc>
        <w:tc>
          <w:tcPr>
            <w:tcW w:w="700" w:type="dxa"/>
            <w:vAlign w:val="bottom"/>
            <w:shd w:val="clear" w:color="auto" w:fill="7F7F7F"/>
          </w:tcPr>
          <w:p>
            <w:pPr>
              <w:spacing w:after="0"/>
              <w:rPr>
                <w:sz w:val="4"/>
                <w:szCs w:val="4"/>
                <w:color w:val="auto"/>
              </w:rPr>
            </w:pPr>
          </w:p>
        </w:tc>
      </w:tr>
    </w:tbl>
    <w:p>
      <w:pPr>
        <w:spacing w:after="0" w:line="161" w:lineRule="exact"/>
        <w:rPr>
          <w:sz w:val="20"/>
          <w:szCs w:val="20"/>
          <w:color w:val="auto"/>
        </w:rPr>
      </w:pPr>
    </w:p>
    <w:p>
      <w:pPr>
        <w:jc w:val="both"/>
        <w:ind w:left="100" w:right="99"/>
        <w:spacing w:after="0" w:line="208" w:lineRule="auto"/>
        <w:rPr>
          <w:sz w:val="20"/>
          <w:szCs w:val="20"/>
          <w:color w:val="auto"/>
        </w:rPr>
      </w:pPr>
      <w:r>
        <w:rPr>
          <w:rFonts w:ascii="Arial" w:cs="Arial" w:eastAsia="Arial" w:hAnsi="Arial"/>
          <w:sz w:val="18"/>
          <w:szCs w:val="18"/>
          <w:color w:val="auto"/>
        </w:rPr>
        <w:t>Adjusted debt to capital is a non-GAAP financial measure under SEC Regulation G and Item 10 of SEC Regulation S-K, and may not be defined and calculated by other companies in the same manner. We believe this measure is important to management and investors in evaluating the total amount of leverage in our capital structure, including off-balance sheet lease obligations, which we generally incur in connection with financing the acquisition of locomotives and freight cars and certain facilities. Operating leases were discounted using 4.6% at September 30, 2017, and 4.7% at December 31, 2016. The discount rate reflects our year-to-date effective interest rate. We monitor the ratio of adjusted debt to capital as we manage our capital structure to balance cost-effective and efficient access to the capital markets with the Corporation’s overall cost of capital. Adjusted debt to capital should be considered in addition to, rather than as a</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45085</wp:posOffset>
            </wp:positionV>
            <wp:extent cx="5642610" cy="51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0" w:name="page31"/>
    <w:bookmarkEnd w:id="30"/>
    <w:p>
      <w:pPr>
        <w:ind w:left="10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66" w:lineRule="exact"/>
        <w:rPr>
          <w:sz w:val="20"/>
          <w:szCs w:val="20"/>
          <w:color w:val="auto"/>
        </w:rPr>
      </w:pPr>
    </w:p>
    <w:p>
      <w:pPr>
        <w:jc w:val="both"/>
        <w:ind w:left="100" w:right="99"/>
        <w:spacing w:after="0" w:line="227" w:lineRule="auto"/>
        <w:rPr>
          <w:sz w:val="20"/>
          <w:szCs w:val="20"/>
          <w:color w:val="auto"/>
        </w:rPr>
      </w:pPr>
      <w:r>
        <w:rPr>
          <w:rFonts w:ascii="Arial" w:cs="Arial" w:eastAsia="Arial" w:hAnsi="Arial"/>
          <w:sz w:val="18"/>
          <w:szCs w:val="18"/>
          <w:color w:val="auto"/>
        </w:rPr>
        <w:t>substitute for, debt to capital. The tables above provide reconciliations from debt to capital to adjusted debt to capital.</w:t>
      </w:r>
    </w:p>
    <w:p>
      <w:pPr>
        <w:spacing w:after="0" w:line="11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LIQUIDITY AND CAPITAL RESOURCES</w:t>
      </w:r>
    </w:p>
    <w:p>
      <w:pPr>
        <w:spacing w:after="0" w:line="14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Financial Condition</w:t>
      </w:r>
    </w:p>
    <w:p>
      <w:pPr>
        <w:spacing w:after="0" w:line="106" w:lineRule="exact"/>
        <w:rPr>
          <w:sz w:val="20"/>
          <w:szCs w:val="20"/>
          <w:color w:val="auto"/>
        </w:rPr>
      </w:pPr>
    </w:p>
    <w:tbl>
      <w:tblPr>
        <w:tblLayout w:type="fixed"/>
        <w:tblInd w:w="100" w:type="dxa"/>
        <w:tblCellMar>
          <w:top w:w="0" w:type="dxa"/>
          <w:left w:w="0" w:type="dxa"/>
          <w:bottom w:w="0" w:type="dxa"/>
          <w:right w:w="0" w:type="dxa"/>
        </w:tblCellMar>
      </w:tblPr>
      <w:tr>
        <w:trPr>
          <w:trHeight w:val="269"/>
        </w:trPr>
        <w:tc>
          <w:tcPr>
            <w:tcW w:w="4960" w:type="dxa"/>
            <w:vAlign w:val="bottom"/>
            <w:tcBorders>
              <w:top w:val="single" w:sz="8" w:color="7F7F7F"/>
            </w:tcBorders>
          </w:tcPr>
          <w:p>
            <w:pPr>
              <w:spacing w:after="0"/>
              <w:rPr>
                <w:sz w:val="20"/>
                <w:szCs w:val="20"/>
                <w:color w:val="auto"/>
              </w:rPr>
            </w:pPr>
            <w:r>
              <w:rPr>
                <w:rFonts w:ascii="Arial" w:cs="Arial" w:eastAsia="Arial" w:hAnsi="Arial"/>
                <w:sz w:val="16"/>
                <w:szCs w:val="16"/>
                <w:b w:val="1"/>
                <w:bCs w:val="1"/>
                <w:i w:val="1"/>
                <w:iCs w:val="1"/>
                <w:color w:val="auto"/>
              </w:rPr>
              <w:t>Cash Flows</w:t>
            </w:r>
          </w:p>
        </w:tc>
        <w:tc>
          <w:tcPr>
            <w:tcW w:w="2160" w:type="dxa"/>
            <w:vAlign w:val="bottom"/>
            <w:tcBorders>
              <w:top w:val="single" w:sz="8" w:color="7F7F7F"/>
            </w:tcBorders>
          </w:tcPr>
          <w:p>
            <w:pPr>
              <w:spacing w:after="0"/>
              <w:rPr>
                <w:sz w:val="23"/>
                <w:szCs w:val="23"/>
                <w:color w:val="auto"/>
              </w:rPr>
            </w:pPr>
          </w:p>
        </w:tc>
        <w:tc>
          <w:tcPr>
            <w:tcW w:w="720" w:type="dxa"/>
            <w:vAlign w:val="bottom"/>
            <w:tcBorders>
              <w:top w:val="single" w:sz="8" w:color="7F7F7F"/>
            </w:tcBorders>
          </w:tcPr>
          <w:p>
            <w:pPr>
              <w:spacing w:after="0"/>
              <w:rPr>
                <w:sz w:val="23"/>
                <w:szCs w:val="23"/>
                <w:color w:val="auto"/>
              </w:rPr>
            </w:pPr>
          </w:p>
        </w:tc>
        <w:tc>
          <w:tcPr>
            <w:tcW w:w="320" w:type="dxa"/>
            <w:vAlign w:val="bottom"/>
            <w:tcBorders>
              <w:top w:val="single" w:sz="8" w:color="7F7F7F"/>
            </w:tcBorders>
          </w:tcPr>
          <w:p>
            <w:pPr>
              <w:spacing w:after="0"/>
              <w:rPr>
                <w:sz w:val="23"/>
                <w:szCs w:val="23"/>
                <w:color w:val="auto"/>
              </w:rPr>
            </w:pPr>
          </w:p>
        </w:tc>
        <w:tc>
          <w:tcPr>
            <w:tcW w:w="660" w:type="dxa"/>
            <w:vAlign w:val="bottom"/>
            <w:tcBorders>
              <w:top w:val="single" w:sz="8" w:color="7F7F7F"/>
            </w:tcBorders>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4960" w:type="dxa"/>
            <w:vAlign w:val="bottom"/>
          </w:tcPr>
          <w:p>
            <w:pPr>
              <w:spacing w:after="0"/>
              <w:rPr>
                <w:sz w:val="20"/>
                <w:szCs w:val="20"/>
                <w:color w:val="auto"/>
              </w:rPr>
            </w:pPr>
            <w:r>
              <w:rPr>
                <w:rFonts w:ascii="Arial" w:cs="Arial" w:eastAsia="Arial" w:hAnsi="Arial"/>
                <w:sz w:val="16"/>
                <w:szCs w:val="16"/>
                <w:i w:val="1"/>
                <w:iCs w:val="1"/>
                <w:color w:val="auto"/>
              </w:rPr>
              <w:t>Millions,</w:t>
            </w:r>
          </w:p>
        </w:tc>
        <w:tc>
          <w:tcPr>
            <w:tcW w:w="2160" w:type="dxa"/>
            <w:vAlign w:val="bottom"/>
          </w:tcPr>
          <w:p>
            <w:pPr>
              <w:spacing w:after="0"/>
              <w:rPr>
                <w:sz w:val="17"/>
                <w:szCs w:val="17"/>
                <w:color w:val="auto"/>
              </w:rPr>
            </w:pPr>
          </w:p>
        </w:tc>
        <w:tc>
          <w:tcPr>
            <w:tcW w:w="720" w:type="dxa"/>
            <w:vAlign w:val="bottom"/>
            <w:vMerge w:val="restart"/>
          </w:tcPr>
          <w:p>
            <w:pPr>
              <w:jc w:val="right"/>
              <w:ind w:right="39"/>
              <w:spacing w:after="0"/>
              <w:rPr>
                <w:sz w:val="20"/>
                <w:szCs w:val="20"/>
                <w:color w:val="auto"/>
              </w:rPr>
            </w:pPr>
            <w:r>
              <w:rPr>
                <w:rFonts w:ascii="Arial" w:cs="Arial" w:eastAsia="Arial" w:hAnsi="Arial"/>
                <w:sz w:val="16"/>
                <w:szCs w:val="16"/>
                <w:b w:val="1"/>
                <w:bCs w:val="1"/>
                <w:i w:val="1"/>
                <w:iCs w:val="1"/>
                <w:color w:val="auto"/>
              </w:rPr>
              <w:t>2017</w:t>
            </w:r>
          </w:p>
        </w:tc>
        <w:tc>
          <w:tcPr>
            <w:tcW w:w="320" w:type="dxa"/>
            <w:vAlign w:val="bottom"/>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i w:val="1"/>
                <w:iCs w:val="1"/>
                <w:color w:val="auto"/>
              </w:rPr>
              <w:t>2016</w:t>
            </w:r>
          </w:p>
        </w:tc>
        <w:tc>
          <w:tcPr>
            <w:tcW w:w="0" w:type="dxa"/>
            <w:vAlign w:val="bottom"/>
          </w:tcPr>
          <w:p>
            <w:pPr>
              <w:spacing w:after="0"/>
              <w:rPr>
                <w:sz w:val="1"/>
                <w:szCs w:val="1"/>
                <w:color w:val="auto"/>
              </w:rPr>
            </w:pPr>
          </w:p>
        </w:tc>
      </w:tr>
      <w:tr>
        <w:trPr>
          <w:trHeight w:val="197"/>
        </w:trPr>
        <w:tc>
          <w:tcPr>
            <w:tcW w:w="4960" w:type="dxa"/>
            <w:vAlign w:val="bottom"/>
            <w:tcBorders>
              <w:bottom w:val="single" w:sz="8" w:color="7F7F7F"/>
            </w:tcBorders>
          </w:tcPr>
          <w:p>
            <w:pPr>
              <w:spacing w:after="0"/>
              <w:rPr>
                <w:sz w:val="20"/>
                <w:szCs w:val="20"/>
                <w:color w:val="auto"/>
              </w:rPr>
            </w:pPr>
            <w:r>
              <w:rPr>
                <w:rFonts w:ascii="Arial" w:cs="Arial" w:eastAsia="Arial" w:hAnsi="Arial"/>
                <w:sz w:val="16"/>
                <w:szCs w:val="16"/>
                <w:i w:val="1"/>
                <w:iCs w:val="1"/>
                <w:color w:val="auto"/>
              </w:rPr>
              <w:t>for the Nine Months Ended September 30,</w:t>
            </w:r>
          </w:p>
        </w:tc>
        <w:tc>
          <w:tcPr>
            <w:tcW w:w="2160" w:type="dxa"/>
            <w:vAlign w:val="bottom"/>
            <w:tcBorders>
              <w:bottom w:val="single" w:sz="8" w:color="7F7F7F"/>
            </w:tcBorders>
          </w:tcPr>
          <w:p>
            <w:pPr>
              <w:spacing w:after="0"/>
              <w:rPr>
                <w:sz w:val="17"/>
                <w:szCs w:val="17"/>
                <w:color w:val="auto"/>
              </w:rPr>
            </w:pPr>
          </w:p>
        </w:tc>
        <w:tc>
          <w:tcPr>
            <w:tcW w:w="720" w:type="dxa"/>
            <w:vAlign w:val="bottom"/>
            <w:tcBorders>
              <w:bottom w:val="single" w:sz="8" w:color="7F7F7F"/>
            </w:tcBorders>
            <w:vMerge w:val="continue"/>
          </w:tcPr>
          <w:p>
            <w:pPr>
              <w:spacing w:after="0"/>
              <w:rPr>
                <w:sz w:val="17"/>
                <w:szCs w:val="17"/>
                <w:color w:val="auto"/>
              </w:rPr>
            </w:pPr>
          </w:p>
        </w:tc>
        <w:tc>
          <w:tcPr>
            <w:tcW w:w="320" w:type="dxa"/>
            <w:vAlign w:val="bottom"/>
            <w:tcBorders>
              <w:bottom w:val="single" w:sz="8" w:color="7F7F7F"/>
            </w:tcBorders>
          </w:tcPr>
          <w:p>
            <w:pPr>
              <w:spacing w:after="0"/>
              <w:rPr>
                <w:sz w:val="17"/>
                <w:szCs w:val="17"/>
                <w:color w:val="auto"/>
              </w:rPr>
            </w:pPr>
          </w:p>
        </w:tc>
        <w:tc>
          <w:tcPr>
            <w:tcW w:w="660" w:type="dxa"/>
            <w:vAlign w:val="bottom"/>
            <w:tcBorders>
              <w:bottom w:val="single" w:sz="8" w:color="7F7F7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Cash provided by operating activities</w:t>
            </w:r>
          </w:p>
        </w:tc>
        <w:tc>
          <w:tcPr>
            <w:tcW w:w="21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5,398</w:t>
            </w:r>
          </w:p>
        </w:tc>
        <w:tc>
          <w:tcPr>
            <w:tcW w:w="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5,467</w:t>
            </w:r>
          </w:p>
        </w:tc>
        <w:tc>
          <w:tcPr>
            <w:tcW w:w="0" w:type="dxa"/>
            <w:vAlign w:val="bottom"/>
          </w:tcPr>
          <w:p>
            <w:pPr>
              <w:spacing w:after="0"/>
              <w:rPr>
                <w:sz w:val="1"/>
                <w:szCs w:val="1"/>
                <w:color w:val="auto"/>
              </w:rPr>
            </w:pPr>
          </w:p>
        </w:tc>
      </w:tr>
      <w:tr>
        <w:trPr>
          <w:trHeight w:val="215"/>
        </w:trPr>
        <w:tc>
          <w:tcPr>
            <w:tcW w:w="4960" w:type="dxa"/>
            <w:vAlign w:val="bottom"/>
          </w:tcPr>
          <w:p>
            <w:pPr>
              <w:spacing w:after="0"/>
              <w:rPr>
                <w:sz w:val="20"/>
                <w:szCs w:val="20"/>
                <w:color w:val="auto"/>
              </w:rPr>
            </w:pPr>
            <w:r>
              <w:rPr>
                <w:rFonts w:ascii="Arial" w:cs="Arial" w:eastAsia="Arial" w:hAnsi="Arial"/>
                <w:sz w:val="16"/>
                <w:szCs w:val="16"/>
                <w:color w:val="auto"/>
              </w:rPr>
              <w:t>Cash used in investing activities</w:t>
            </w:r>
          </w:p>
        </w:tc>
        <w:tc>
          <w:tcPr>
            <w:tcW w:w="2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(2,260)</w:t>
            </w: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(2,819)</w:t>
            </w:r>
          </w:p>
        </w:tc>
        <w:tc>
          <w:tcPr>
            <w:tcW w:w="0" w:type="dxa"/>
            <w:vAlign w:val="bottom"/>
          </w:tcPr>
          <w:p>
            <w:pPr>
              <w:spacing w:after="0"/>
              <w:rPr>
                <w:sz w:val="1"/>
                <w:szCs w:val="1"/>
                <w:color w:val="auto"/>
              </w:rPr>
            </w:pPr>
          </w:p>
        </w:tc>
      </w:tr>
      <w:tr>
        <w:trPr>
          <w:trHeight w:val="210"/>
        </w:trPr>
        <w:tc>
          <w:tcPr>
            <w:tcW w:w="496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Cash used in financing activities</w:t>
            </w:r>
          </w:p>
        </w:tc>
        <w:tc>
          <w:tcPr>
            <w:tcW w:w="2160" w:type="dxa"/>
            <w:vAlign w:val="bottom"/>
            <w:tcBorders>
              <w:bottom w:val="single" w:sz="8" w:color="7F7F7F"/>
            </w:tcBorders>
            <w:shd w:val="clear" w:color="auto" w:fill="CCEEFF"/>
          </w:tcPr>
          <w:p>
            <w:pPr>
              <w:spacing w:after="0"/>
              <w:rPr>
                <w:sz w:val="18"/>
                <w:szCs w:val="18"/>
                <w:color w:val="auto"/>
              </w:rPr>
            </w:pPr>
          </w:p>
        </w:tc>
        <w:tc>
          <w:tcPr>
            <w:tcW w:w="7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(2,568)</w:t>
            </w:r>
          </w:p>
        </w:tc>
        <w:tc>
          <w:tcPr>
            <w:tcW w:w="320" w:type="dxa"/>
            <w:vAlign w:val="bottom"/>
            <w:tcBorders>
              <w:bottom w:val="single" w:sz="8" w:color="7F7F7F"/>
            </w:tcBorders>
            <w:shd w:val="clear" w:color="auto" w:fill="CCEEFF"/>
          </w:tcPr>
          <w:p>
            <w:pPr>
              <w:spacing w:after="0"/>
              <w:rPr>
                <w:sz w:val="18"/>
                <w:szCs w:val="18"/>
                <w:color w:val="auto"/>
              </w:rPr>
            </w:pPr>
          </w:p>
        </w:tc>
        <w:tc>
          <w:tcPr>
            <w:tcW w:w="66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(2,130)</w:t>
            </w:r>
          </w:p>
        </w:tc>
        <w:tc>
          <w:tcPr>
            <w:tcW w:w="0" w:type="dxa"/>
            <w:vAlign w:val="bottom"/>
          </w:tcPr>
          <w:p>
            <w:pPr>
              <w:spacing w:after="0"/>
              <w:rPr>
                <w:sz w:val="1"/>
                <w:szCs w:val="1"/>
                <w:color w:val="auto"/>
              </w:rPr>
            </w:pPr>
          </w:p>
        </w:tc>
      </w:tr>
      <w:tr>
        <w:trPr>
          <w:trHeight w:val="237"/>
        </w:trPr>
        <w:tc>
          <w:tcPr>
            <w:tcW w:w="4960" w:type="dxa"/>
            <w:vAlign w:val="bottom"/>
          </w:tcPr>
          <w:p>
            <w:pPr>
              <w:spacing w:after="0"/>
              <w:rPr>
                <w:sz w:val="20"/>
                <w:szCs w:val="20"/>
                <w:color w:val="auto"/>
              </w:rPr>
            </w:pPr>
            <w:r>
              <w:rPr>
                <w:rFonts w:ascii="Arial" w:cs="Arial" w:eastAsia="Arial" w:hAnsi="Arial"/>
                <w:sz w:val="16"/>
                <w:szCs w:val="16"/>
                <w:color w:val="auto"/>
              </w:rPr>
              <w:t>Net change in cash and cash equivalents</w:t>
            </w:r>
          </w:p>
        </w:tc>
        <w:tc>
          <w:tcPr>
            <w:tcW w:w="21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b w:val="1"/>
                <w:bCs w:val="1"/>
                <w:color w:val="auto"/>
              </w:rPr>
              <w:t>570</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518</w:t>
            </w:r>
          </w:p>
        </w:tc>
        <w:tc>
          <w:tcPr>
            <w:tcW w:w="0" w:type="dxa"/>
            <w:vAlign w:val="bottom"/>
          </w:tcPr>
          <w:p>
            <w:pPr>
              <w:spacing w:after="0"/>
              <w:rPr>
                <w:sz w:val="1"/>
                <w:szCs w:val="1"/>
                <w:color w:val="auto"/>
              </w:rPr>
            </w:pPr>
          </w:p>
        </w:tc>
      </w:tr>
      <w:tr>
        <w:trPr>
          <w:trHeight w:val="81"/>
        </w:trPr>
        <w:tc>
          <w:tcPr>
            <w:tcW w:w="4960" w:type="dxa"/>
            <w:vAlign w:val="bottom"/>
            <w:tcBorders>
              <w:bottom w:val="single" w:sz="8" w:color="7F7F7F"/>
            </w:tcBorders>
          </w:tcPr>
          <w:p>
            <w:pPr>
              <w:spacing w:after="0"/>
              <w:rPr>
                <w:sz w:val="7"/>
                <w:szCs w:val="7"/>
                <w:color w:val="auto"/>
              </w:rPr>
            </w:pPr>
          </w:p>
        </w:tc>
        <w:tc>
          <w:tcPr>
            <w:tcW w:w="2160" w:type="dxa"/>
            <w:vAlign w:val="bottom"/>
            <w:tcBorders>
              <w:bottom w:val="single" w:sz="8" w:color="7F7F7F"/>
            </w:tcBorders>
          </w:tcPr>
          <w:p>
            <w:pPr>
              <w:spacing w:after="0"/>
              <w:rPr>
                <w:sz w:val="7"/>
                <w:szCs w:val="7"/>
                <w:color w:val="auto"/>
              </w:rPr>
            </w:pPr>
          </w:p>
        </w:tc>
        <w:tc>
          <w:tcPr>
            <w:tcW w:w="720" w:type="dxa"/>
            <w:vAlign w:val="bottom"/>
            <w:tcBorders>
              <w:bottom w:val="single" w:sz="8" w:color="7F7F7F"/>
            </w:tcBorders>
          </w:tcPr>
          <w:p>
            <w:pPr>
              <w:spacing w:after="0"/>
              <w:rPr>
                <w:sz w:val="7"/>
                <w:szCs w:val="7"/>
                <w:color w:val="auto"/>
              </w:rPr>
            </w:pPr>
          </w:p>
        </w:tc>
        <w:tc>
          <w:tcPr>
            <w:tcW w:w="320" w:type="dxa"/>
            <w:vAlign w:val="bottom"/>
            <w:tcBorders>
              <w:bottom w:val="single" w:sz="8" w:color="7F7F7F"/>
            </w:tcBorders>
          </w:tcPr>
          <w:p>
            <w:pPr>
              <w:spacing w:after="0"/>
              <w:rPr>
                <w:sz w:val="7"/>
                <w:szCs w:val="7"/>
                <w:color w:val="auto"/>
              </w:rPr>
            </w:pPr>
          </w:p>
        </w:tc>
        <w:tc>
          <w:tcPr>
            <w:tcW w:w="660" w:type="dxa"/>
            <w:vAlign w:val="bottom"/>
            <w:tcBorders>
              <w:bottom w:val="single" w:sz="8" w:color="7F7F7F"/>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Operating Activities</w:t>
      </w:r>
    </w:p>
    <w:p>
      <w:pPr>
        <w:spacing w:after="0" w:line="166" w:lineRule="exact"/>
        <w:rPr>
          <w:sz w:val="20"/>
          <w:szCs w:val="20"/>
          <w:color w:val="auto"/>
        </w:rPr>
      </w:pPr>
    </w:p>
    <w:p>
      <w:pPr>
        <w:jc w:val="both"/>
        <w:ind w:left="100" w:right="99"/>
        <w:spacing w:after="0" w:line="219" w:lineRule="auto"/>
        <w:rPr>
          <w:sz w:val="20"/>
          <w:szCs w:val="20"/>
          <w:color w:val="auto"/>
        </w:rPr>
      </w:pPr>
      <w:r>
        <w:rPr>
          <w:rFonts w:ascii="Arial" w:cs="Arial" w:eastAsia="Arial" w:hAnsi="Arial"/>
          <w:sz w:val="18"/>
          <w:szCs w:val="18"/>
          <w:color w:val="auto"/>
        </w:rPr>
        <w:t>In the first nine months of 2017, cash provided by operating activities decreased compared to the same period of 2016 due to the timing of tax payments in 2016 related to bonus depreciation on capital spending. The decrease was mostly offset by higher income in the first nine months of 2017 compared to 2016.</w:t>
      </w:r>
    </w:p>
    <w:p>
      <w:pPr>
        <w:spacing w:after="0" w:line="11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Investing Activities</w:t>
      </w:r>
    </w:p>
    <w:p>
      <w:pPr>
        <w:spacing w:after="0" w:line="166" w:lineRule="exact"/>
        <w:rPr>
          <w:sz w:val="20"/>
          <w:szCs w:val="20"/>
          <w:color w:val="auto"/>
        </w:rPr>
      </w:pPr>
    </w:p>
    <w:p>
      <w:pPr>
        <w:jc w:val="both"/>
        <w:ind w:left="100" w:right="99"/>
        <w:spacing w:after="0" w:line="227" w:lineRule="auto"/>
        <w:rPr>
          <w:sz w:val="20"/>
          <w:szCs w:val="20"/>
          <w:color w:val="auto"/>
        </w:rPr>
      </w:pPr>
      <w:r>
        <w:rPr>
          <w:rFonts w:ascii="Arial" w:cs="Arial" w:eastAsia="Arial" w:hAnsi="Arial"/>
          <w:sz w:val="18"/>
          <w:szCs w:val="18"/>
          <w:color w:val="auto"/>
        </w:rPr>
        <w:t>A reduction in purchased short-term investments and capital investments lowered cash used in investing activities in the first nine months of 2017 compared to the same period in 2016.</w:t>
      </w:r>
    </w:p>
    <w:p>
      <w:pPr>
        <w:spacing w:after="0" w:line="13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table below details cash capital investments:</w:t>
      </w:r>
    </w:p>
    <w:p>
      <w:pPr>
        <w:spacing w:after="0" w:line="84" w:lineRule="exact"/>
        <w:rPr>
          <w:sz w:val="20"/>
          <w:szCs w:val="20"/>
          <w:color w:val="auto"/>
        </w:rPr>
      </w:pPr>
    </w:p>
    <w:tbl>
      <w:tblPr>
        <w:tblLayout w:type="fixed"/>
        <w:tblInd w:w="100" w:type="dxa"/>
        <w:tblCellMar>
          <w:top w:w="0" w:type="dxa"/>
          <w:left w:w="0" w:type="dxa"/>
          <w:bottom w:w="0" w:type="dxa"/>
          <w:right w:w="0" w:type="dxa"/>
        </w:tblCellMar>
      </w:tblPr>
      <w:tr>
        <w:trPr>
          <w:trHeight w:val="256"/>
        </w:trPr>
        <w:tc>
          <w:tcPr>
            <w:tcW w:w="4900" w:type="dxa"/>
            <w:vAlign w:val="bottom"/>
            <w:tcBorders>
              <w:top w:val="single" w:sz="8" w:color="7F7F7F"/>
            </w:tcBorders>
          </w:tcPr>
          <w:p>
            <w:pPr>
              <w:spacing w:after="0"/>
              <w:rPr>
                <w:sz w:val="20"/>
                <w:szCs w:val="20"/>
                <w:color w:val="auto"/>
              </w:rPr>
            </w:pPr>
            <w:r>
              <w:rPr>
                <w:rFonts w:ascii="Arial" w:cs="Arial" w:eastAsia="Arial" w:hAnsi="Arial"/>
                <w:sz w:val="16"/>
                <w:szCs w:val="16"/>
                <w:i w:val="1"/>
                <w:iCs w:val="1"/>
                <w:color w:val="auto"/>
              </w:rPr>
              <w:t>Millions,</w:t>
            </w:r>
          </w:p>
        </w:tc>
        <w:tc>
          <w:tcPr>
            <w:tcW w:w="2140" w:type="dxa"/>
            <w:vAlign w:val="bottom"/>
            <w:tcBorders>
              <w:top w:val="single" w:sz="8" w:color="7F7F7F"/>
            </w:tcBorders>
          </w:tcPr>
          <w:p>
            <w:pPr>
              <w:spacing w:after="0"/>
              <w:rPr>
                <w:sz w:val="22"/>
                <w:szCs w:val="22"/>
                <w:color w:val="auto"/>
              </w:rPr>
            </w:pPr>
          </w:p>
        </w:tc>
        <w:tc>
          <w:tcPr>
            <w:tcW w:w="720" w:type="dxa"/>
            <w:vAlign w:val="bottom"/>
            <w:tcBorders>
              <w:top w:val="single" w:sz="8" w:color="7F7F7F"/>
            </w:tcBorders>
            <w:vMerge w:val="restart"/>
          </w:tcPr>
          <w:p>
            <w:pPr>
              <w:jc w:val="right"/>
              <w:ind w:right="39"/>
              <w:spacing w:after="0"/>
              <w:rPr>
                <w:sz w:val="20"/>
                <w:szCs w:val="20"/>
                <w:color w:val="auto"/>
              </w:rPr>
            </w:pPr>
            <w:r>
              <w:rPr>
                <w:rFonts w:ascii="Arial" w:cs="Arial" w:eastAsia="Arial" w:hAnsi="Arial"/>
                <w:sz w:val="16"/>
                <w:szCs w:val="16"/>
                <w:b w:val="1"/>
                <w:bCs w:val="1"/>
                <w:i w:val="1"/>
                <w:iCs w:val="1"/>
                <w:color w:val="auto"/>
              </w:rPr>
              <w:t>2017</w:t>
            </w:r>
          </w:p>
        </w:tc>
        <w:tc>
          <w:tcPr>
            <w:tcW w:w="400" w:type="dxa"/>
            <w:vAlign w:val="bottom"/>
            <w:tcBorders>
              <w:top w:val="single" w:sz="8" w:color="7F7F7F"/>
            </w:tcBorders>
          </w:tcPr>
          <w:p>
            <w:pPr>
              <w:spacing w:after="0"/>
              <w:rPr>
                <w:sz w:val="22"/>
                <w:szCs w:val="22"/>
                <w:color w:val="auto"/>
              </w:rPr>
            </w:pPr>
          </w:p>
        </w:tc>
        <w:tc>
          <w:tcPr>
            <w:tcW w:w="660" w:type="dxa"/>
            <w:vAlign w:val="bottom"/>
            <w:tcBorders>
              <w:top w:val="single" w:sz="8" w:color="7F7F7F"/>
            </w:tcBorders>
            <w:vMerge w:val="restart"/>
          </w:tcPr>
          <w:p>
            <w:pPr>
              <w:jc w:val="right"/>
              <w:spacing w:after="0"/>
              <w:rPr>
                <w:sz w:val="20"/>
                <w:szCs w:val="20"/>
                <w:color w:val="auto"/>
              </w:rPr>
            </w:pPr>
            <w:r>
              <w:rPr>
                <w:rFonts w:ascii="Arial" w:cs="Arial" w:eastAsia="Arial" w:hAnsi="Arial"/>
                <w:sz w:val="16"/>
                <w:szCs w:val="16"/>
                <w:i w:val="1"/>
                <w:iCs w:val="1"/>
                <w:color w:val="auto"/>
              </w:rPr>
              <w:t>2016</w:t>
            </w:r>
          </w:p>
        </w:tc>
        <w:tc>
          <w:tcPr>
            <w:tcW w:w="0" w:type="dxa"/>
            <w:vAlign w:val="bottom"/>
          </w:tcPr>
          <w:p>
            <w:pPr>
              <w:spacing w:after="0"/>
              <w:rPr>
                <w:sz w:val="1"/>
                <w:szCs w:val="1"/>
                <w:color w:val="auto"/>
              </w:rPr>
            </w:pPr>
          </w:p>
        </w:tc>
      </w:tr>
      <w:tr>
        <w:trPr>
          <w:trHeight w:val="197"/>
        </w:trPr>
        <w:tc>
          <w:tcPr>
            <w:tcW w:w="4900" w:type="dxa"/>
            <w:vAlign w:val="bottom"/>
            <w:tcBorders>
              <w:bottom w:val="single" w:sz="8" w:color="7F7F7F"/>
            </w:tcBorders>
          </w:tcPr>
          <w:p>
            <w:pPr>
              <w:spacing w:after="0"/>
              <w:rPr>
                <w:sz w:val="20"/>
                <w:szCs w:val="20"/>
                <w:color w:val="auto"/>
              </w:rPr>
            </w:pPr>
            <w:r>
              <w:rPr>
                <w:rFonts w:ascii="Arial" w:cs="Arial" w:eastAsia="Arial" w:hAnsi="Arial"/>
                <w:sz w:val="16"/>
                <w:szCs w:val="16"/>
                <w:i w:val="1"/>
                <w:iCs w:val="1"/>
                <w:color w:val="auto"/>
              </w:rPr>
              <w:t>for the Nine Months Ended September 30,</w:t>
            </w:r>
          </w:p>
        </w:tc>
        <w:tc>
          <w:tcPr>
            <w:tcW w:w="2140" w:type="dxa"/>
            <w:vAlign w:val="bottom"/>
            <w:tcBorders>
              <w:bottom w:val="single" w:sz="8" w:color="7F7F7F"/>
            </w:tcBorders>
          </w:tcPr>
          <w:p>
            <w:pPr>
              <w:spacing w:after="0"/>
              <w:rPr>
                <w:sz w:val="17"/>
                <w:szCs w:val="17"/>
                <w:color w:val="auto"/>
              </w:rPr>
            </w:pPr>
          </w:p>
        </w:tc>
        <w:tc>
          <w:tcPr>
            <w:tcW w:w="720" w:type="dxa"/>
            <w:vAlign w:val="bottom"/>
            <w:tcBorders>
              <w:bottom w:val="single" w:sz="8" w:color="7F7F7F"/>
            </w:tcBorders>
            <w:vMerge w:val="continue"/>
          </w:tcPr>
          <w:p>
            <w:pPr>
              <w:spacing w:after="0"/>
              <w:rPr>
                <w:sz w:val="17"/>
                <w:szCs w:val="17"/>
                <w:color w:val="auto"/>
              </w:rPr>
            </w:pPr>
          </w:p>
        </w:tc>
        <w:tc>
          <w:tcPr>
            <w:tcW w:w="400" w:type="dxa"/>
            <w:vAlign w:val="bottom"/>
            <w:tcBorders>
              <w:bottom w:val="single" w:sz="8" w:color="7F7F7F"/>
            </w:tcBorders>
          </w:tcPr>
          <w:p>
            <w:pPr>
              <w:spacing w:after="0"/>
              <w:rPr>
                <w:sz w:val="17"/>
                <w:szCs w:val="17"/>
                <w:color w:val="auto"/>
              </w:rPr>
            </w:pPr>
          </w:p>
        </w:tc>
        <w:tc>
          <w:tcPr>
            <w:tcW w:w="660" w:type="dxa"/>
            <w:vAlign w:val="bottom"/>
            <w:tcBorders>
              <w:bottom w:val="single" w:sz="8" w:color="7F7F7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CCEEFF"/>
          </w:tcPr>
          <w:p>
            <w:pPr>
              <w:spacing w:after="0"/>
              <w:rPr>
                <w:sz w:val="20"/>
                <w:szCs w:val="20"/>
                <w:color w:val="auto"/>
              </w:rPr>
            </w:pPr>
            <w:r>
              <w:rPr>
                <w:rFonts w:ascii="Arial" w:cs="Arial" w:eastAsia="Arial" w:hAnsi="Arial"/>
                <w:sz w:val="16"/>
                <w:szCs w:val="16"/>
                <w:color w:val="auto"/>
              </w:rPr>
              <w:t>Rail and other track material</w:t>
            </w:r>
          </w:p>
        </w:tc>
        <w:tc>
          <w:tcPr>
            <w:tcW w:w="214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482</w:t>
            </w:r>
          </w:p>
        </w:tc>
        <w:tc>
          <w:tcPr>
            <w:tcW w:w="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0" w:type="dxa"/>
            <w:vAlign w:val="bottom"/>
          </w:tcPr>
          <w:p>
            <w:pPr>
              <w:spacing w:after="0"/>
              <w:rPr>
                <w:sz w:val="1"/>
                <w:szCs w:val="1"/>
                <w:color w:val="auto"/>
              </w:rPr>
            </w:pPr>
          </w:p>
        </w:tc>
      </w:tr>
      <w:tr>
        <w:trPr>
          <w:trHeight w:val="215"/>
        </w:trPr>
        <w:tc>
          <w:tcPr>
            <w:tcW w:w="4900" w:type="dxa"/>
            <w:vAlign w:val="bottom"/>
          </w:tcPr>
          <w:p>
            <w:pPr>
              <w:spacing w:after="0"/>
              <w:rPr>
                <w:sz w:val="20"/>
                <w:szCs w:val="20"/>
                <w:color w:val="auto"/>
              </w:rPr>
            </w:pPr>
            <w:r>
              <w:rPr>
                <w:rFonts w:ascii="Arial" w:cs="Arial" w:eastAsia="Arial" w:hAnsi="Arial"/>
                <w:sz w:val="16"/>
                <w:szCs w:val="16"/>
                <w:color w:val="auto"/>
              </w:rPr>
              <w:t>Ties</w:t>
            </w:r>
          </w:p>
        </w:tc>
        <w:tc>
          <w:tcPr>
            <w:tcW w:w="214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b w:val="1"/>
                <w:bCs w:val="1"/>
                <w:color w:val="auto"/>
              </w:rPr>
              <w:t>371</w:t>
            </w:r>
          </w:p>
        </w:tc>
        <w:tc>
          <w:tcPr>
            <w:tcW w:w="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397</w:t>
            </w:r>
          </w:p>
        </w:tc>
        <w:tc>
          <w:tcPr>
            <w:tcW w:w="0" w:type="dxa"/>
            <w:vAlign w:val="bottom"/>
          </w:tcPr>
          <w:p>
            <w:pPr>
              <w:spacing w:after="0"/>
              <w:rPr>
                <w:sz w:val="1"/>
                <w:szCs w:val="1"/>
                <w:color w:val="auto"/>
              </w:rPr>
            </w:pPr>
          </w:p>
        </w:tc>
      </w:tr>
      <w:tr>
        <w:trPr>
          <w:trHeight w:val="217"/>
        </w:trPr>
        <w:tc>
          <w:tcPr>
            <w:tcW w:w="4900" w:type="dxa"/>
            <w:vAlign w:val="bottom"/>
            <w:shd w:val="clear" w:color="auto" w:fill="CCEEFF"/>
          </w:tcPr>
          <w:p>
            <w:pPr>
              <w:spacing w:after="0"/>
              <w:rPr>
                <w:sz w:val="20"/>
                <w:szCs w:val="20"/>
                <w:color w:val="auto"/>
              </w:rPr>
            </w:pPr>
            <w:r>
              <w:rPr>
                <w:rFonts w:ascii="Arial" w:cs="Arial" w:eastAsia="Arial" w:hAnsi="Arial"/>
                <w:sz w:val="16"/>
                <w:szCs w:val="16"/>
                <w:color w:val="auto"/>
              </w:rPr>
              <w:t>Ballast</w:t>
            </w:r>
          </w:p>
        </w:tc>
        <w:tc>
          <w:tcPr>
            <w:tcW w:w="2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178</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210"/>
        </w:trPr>
        <w:tc>
          <w:tcPr>
            <w:tcW w:w="490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Other [a]</w:t>
            </w:r>
          </w:p>
        </w:tc>
        <w:tc>
          <w:tcPr>
            <w:tcW w:w="2140" w:type="dxa"/>
            <w:vAlign w:val="bottom"/>
            <w:tcBorders>
              <w:bottom w:val="single" w:sz="8" w:color="7F7F7F"/>
            </w:tcBorders>
          </w:tcPr>
          <w:p>
            <w:pPr>
              <w:spacing w:after="0"/>
              <w:rPr>
                <w:sz w:val="18"/>
                <w:szCs w:val="18"/>
                <w:color w:val="auto"/>
              </w:rPr>
            </w:pPr>
          </w:p>
        </w:tc>
        <w:tc>
          <w:tcPr>
            <w:tcW w:w="720" w:type="dxa"/>
            <w:vAlign w:val="bottom"/>
            <w:tcBorders>
              <w:bottom w:val="single" w:sz="8" w:color="7F7F7F"/>
            </w:tcBorders>
          </w:tcPr>
          <w:p>
            <w:pPr>
              <w:jc w:val="right"/>
              <w:ind w:right="39"/>
              <w:spacing w:after="0"/>
              <w:rPr>
                <w:sz w:val="20"/>
                <w:szCs w:val="20"/>
                <w:color w:val="auto"/>
              </w:rPr>
            </w:pPr>
            <w:r>
              <w:rPr>
                <w:rFonts w:ascii="Arial" w:cs="Arial" w:eastAsia="Arial" w:hAnsi="Arial"/>
                <w:sz w:val="16"/>
                <w:szCs w:val="16"/>
                <w:b w:val="1"/>
                <w:bCs w:val="1"/>
                <w:color w:val="auto"/>
              </w:rPr>
              <w:t>342</w:t>
            </w:r>
          </w:p>
        </w:tc>
        <w:tc>
          <w:tcPr>
            <w:tcW w:w="400" w:type="dxa"/>
            <w:vAlign w:val="bottom"/>
            <w:tcBorders>
              <w:bottom w:val="single" w:sz="8" w:color="7F7F7F"/>
            </w:tcBorders>
          </w:tcPr>
          <w:p>
            <w:pPr>
              <w:spacing w:after="0"/>
              <w:rPr>
                <w:sz w:val="18"/>
                <w:szCs w:val="18"/>
                <w:color w:val="auto"/>
              </w:rPr>
            </w:pPr>
          </w:p>
        </w:tc>
        <w:tc>
          <w:tcPr>
            <w:tcW w:w="6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309"/>
        </w:trPr>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road infrastructure replacements</w:t>
            </w:r>
          </w:p>
        </w:tc>
        <w:tc>
          <w:tcPr>
            <w:tcW w:w="214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1,373</w:t>
            </w:r>
          </w:p>
        </w:tc>
        <w:tc>
          <w:tcPr>
            <w:tcW w:w="4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1,412</w:t>
            </w:r>
          </w:p>
        </w:tc>
        <w:tc>
          <w:tcPr>
            <w:tcW w:w="0" w:type="dxa"/>
            <w:vAlign w:val="bottom"/>
          </w:tcPr>
          <w:p>
            <w:pPr>
              <w:spacing w:after="0"/>
              <w:rPr>
                <w:sz w:val="1"/>
                <w:szCs w:val="1"/>
                <w:color w:val="auto"/>
              </w:rPr>
            </w:pPr>
          </w:p>
        </w:tc>
      </w:tr>
      <w:tr>
        <w:trPr>
          <w:trHeight w:val="203"/>
        </w:trPr>
        <w:tc>
          <w:tcPr>
            <w:tcW w:w="4900" w:type="dxa"/>
            <w:vAlign w:val="bottom"/>
            <w:tcBorders>
              <w:top w:val="single" w:sz="8" w:color="7F7F7F"/>
            </w:tcBorders>
          </w:tcPr>
          <w:p>
            <w:pPr>
              <w:spacing w:after="0"/>
              <w:rPr>
                <w:sz w:val="20"/>
                <w:szCs w:val="20"/>
                <w:color w:val="auto"/>
              </w:rPr>
            </w:pPr>
            <w:r>
              <w:rPr>
                <w:rFonts w:ascii="Arial" w:cs="Arial" w:eastAsia="Arial" w:hAnsi="Arial"/>
                <w:sz w:val="16"/>
                <w:szCs w:val="16"/>
                <w:color w:val="auto"/>
              </w:rPr>
              <w:t>Line expansion and other capacity projects</w:t>
            </w:r>
          </w:p>
        </w:tc>
        <w:tc>
          <w:tcPr>
            <w:tcW w:w="2140" w:type="dxa"/>
            <w:vAlign w:val="bottom"/>
            <w:tcBorders>
              <w:top w:val="single" w:sz="8" w:color="7F7F7F"/>
            </w:tcBorders>
          </w:tcPr>
          <w:p>
            <w:pPr>
              <w:spacing w:after="0"/>
              <w:rPr>
                <w:sz w:val="17"/>
                <w:szCs w:val="17"/>
                <w:color w:val="auto"/>
              </w:rPr>
            </w:pPr>
          </w:p>
        </w:tc>
        <w:tc>
          <w:tcPr>
            <w:tcW w:w="720" w:type="dxa"/>
            <w:vAlign w:val="bottom"/>
            <w:tcBorders>
              <w:top w:val="single" w:sz="8" w:color="7F7F7F"/>
            </w:tcBorders>
          </w:tcPr>
          <w:p>
            <w:pPr>
              <w:jc w:val="right"/>
              <w:ind w:right="39"/>
              <w:spacing w:after="0"/>
              <w:rPr>
                <w:sz w:val="20"/>
                <w:szCs w:val="20"/>
                <w:color w:val="auto"/>
              </w:rPr>
            </w:pPr>
            <w:r>
              <w:rPr>
                <w:rFonts w:ascii="Arial" w:cs="Arial" w:eastAsia="Arial" w:hAnsi="Arial"/>
                <w:sz w:val="16"/>
                <w:szCs w:val="16"/>
                <w:b w:val="1"/>
                <w:bCs w:val="1"/>
                <w:color w:val="auto"/>
              </w:rPr>
              <w:t>57</w:t>
            </w:r>
          </w:p>
        </w:tc>
        <w:tc>
          <w:tcPr>
            <w:tcW w:w="400" w:type="dxa"/>
            <w:vAlign w:val="bottom"/>
            <w:tcBorders>
              <w:top w:val="single" w:sz="8" w:color="7F7F7F"/>
            </w:tcBorders>
          </w:tcPr>
          <w:p>
            <w:pPr>
              <w:spacing w:after="0"/>
              <w:rPr>
                <w:sz w:val="17"/>
                <w:szCs w:val="17"/>
                <w:color w:val="auto"/>
              </w:rPr>
            </w:pPr>
          </w:p>
        </w:tc>
        <w:tc>
          <w:tcPr>
            <w:tcW w:w="660" w:type="dxa"/>
            <w:vAlign w:val="bottom"/>
            <w:tcBorders>
              <w:top w:val="single" w:sz="8" w:color="7F7F7F"/>
            </w:tcBorders>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10"/>
        </w:trPr>
        <w:tc>
          <w:tcPr>
            <w:tcW w:w="490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Commercial facilities</w:t>
            </w:r>
          </w:p>
        </w:tc>
        <w:tc>
          <w:tcPr>
            <w:tcW w:w="2140" w:type="dxa"/>
            <w:vAlign w:val="bottom"/>
            <w:tcBorders>
              <w:bottom w:val="single" w:sz="8" w:color="7F7F7F"/>
            </w:tcBorders>
            <w:shd w:val="clear" w:color="auto" w:fill="CCEEFF"/>
          </w:tcPr>
          <w:p>
            <w:pPr>
              <w:spacing w:after="0"/>
              <w:rPr>
                <w:sz w:val="18"/>
                <w:szCs w:val="18"/>
                <w:color w:val="auto"/>
              </w:rPr>
            </w:pPr>
          </w:p>
        </w:tc>
        <w:tc>
          <w:tcPr>
            <w:tcW w:w="720" w:type="dxa"/>
            <w:vAlign w:val="bottom"/>
            <w:tcBorders>
              <w:bottom w:val="single" w:sz="8" w:color="7F7F7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119</w:t>
            </w:r>
          </w:p>
        </w:tc>
        <w:tc>
          <w:tcPr>
            <w:tcW w:w="400" w:type="dxa"/>
            <w:vAlign w:val="bottom"/>
            <w:tcBorders>
              <w:bottom w:val="single" w:sz="8" w:color="7F7F7F"/>
            </w:tcBorders>
            <w:shd w:val="clear" w:color="auto" w:fill="CCEEFF"/>
          </w:tcPr>
          <w:p>
            <w:pPr>
              <w:spacing w:after="0"/>
              <w:rPr>
                <w:sz w:val="18"/>
                <w:szCs w:val="18"/>
                <w:color w:val="auto"/>
              </w:rPr>
            </w:pPr>
          </w:p>
        </w:tc>
        <w:tc>
          <w:tcPr>
            <w:tcW w:w="66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51"/>
        </w:trPr>
        <w:tc>
          <w:tcPr>
            <w:tcW w:w="4900" w:type="dxa"/>
            <w:vAlign w:val="bottom"/>
          </w:tcPr>
          <w:p>
            <w:pPr>
              <w:spacing w:after="0"/>
              <w:rPr>
                <w:sz w:val="20"/>
                <w:szCs w:val="20"/>
                <w:color w:val="auto"/>
              </w:rPr>
            </w:pPr>
            <w:r>
              <w:rPr>
                <w:rFonts w:ascii="Arial" w:cs="Arial" w:eastAsia="Arial" w:hAnsi="Arial"/>
                <w:sz w:val="16"/>
                <w:szCs w:val="16"/>
                <w:color w:val="auto"/>
              </w:rPr>
              <w:t>Total capacity and commercial facilities</w:t>
            </w:r>
          </w:p>
        </w:tc>
        <w:tc>
          <w:tcPr>
            <w:tcW w:w="2140" w:type="dxa"/>
            <w:vAlign w:val="bottom"/>
          </w:tcPr>
          <w:p>
            <w:pPr>
              <w:spacing w:after="0"/>
              <w:rPr>
                <w:sz w:val="21"/>
                <w:szCs w:val="21"/>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b w:val="1"/>
                <w:bCs w:val="1"/>
                <w:color w:val="auto"/>
              </w:rPr>
              <w:t>176</w:t>
            </w:r>
          </w:p>
        </w:tc>
        <w:tc>
          <w:tcPr>
            <w:tcW w:w="4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54"/>
        </w:trPr>
        <w:tc>
          <w:tcPr>
            <w:tcW w:w="4900" w:type="dxa"/>
            <w:vAlign w:val="bottom"/>
            <w:tcBorders>
              <w:bottom w:val="single" w:sz="8" w:color="7F7F7F"/>
            </w:tcBorders>
          </w:tcPr>
          <w:p>
            <w:pPr>
              <w:spacing w:after="0"/>
              <w:rPr>
                <w:sz w:val="4"/>
                <w:szCs w:val="4"/>
                <w:color w:val="auto"/>
              </w:rPr>
            </w:pPr>
          </w:p>
        </w:tc>
        <w:tc>
          <w:tcPr>
            <w:tcW w:w="2140" w:type="dxa"/>
            <w:vAlign w:val="bottom"/>
            <w:tcBorders>
              <w:bottom w:val="single" w:sz="8" w:color="7F7F7F"/>
            </w:tcBorders>
          </w:tcPr>
          <w:p>
            <w:pPr>
              <w:spacing w:after="0"/>
              <w:rPr>
                <w:sz w:val="4"/>
                <w:szCs w:val="4"/>
                <w:color w:val="auto"/>
              </w:rPr>
            </w:pPr>
          </w:p>
        </w:tc>
        <w:tc>
          <w:tcPr>
            <w:tcW w:w="720" w:type="dxa"/>
            <w:vAlign w:val="bottom"/>
            <w:tcBorders>
              <w:bottom w:val="single" w:sz="8" w:color="7F7F7F"/>
            </w:tcBorders>
          </w:tcPr>
          <w:p>
            <w:pPr>
              <w:spacing w:after="0"/>
              <w:rPr>
                <w:sz w:val="4"/>
                <w:szCs w:val="4"/>
                <w:color w:val="auto"/>
              </w:rPr>
            </w:pPr>
          </w:p>
        </w:tc>
        <w:tc>
          <w:tcPr>
            <w:tcW w:w="400" w:type="dxa"/>
            <w:vAlign w:val="bottom"/>
            <w:tcBorders>
              <w:bottom w:val="single" w:sz="8" w:color="7F7F7F"/>
            </w:tcBorders>
          </w:tcPr>
          <w:p>
            <w:pPr>
              <w:spacing w:after="0"/>
              <w:rPr>
                <w:sz w:val="4"/>
                <w:szCs w:val="4"/>
                <w:color w:val="auto"/>
              </w:rPr>
            </w:pPr>
          </w:p>
        </w:tc>
        <w:tc>
          <w:tcPr>
            <w:tcW w:w="66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CCEEFF"/>
          </w:tcPr>
          <w:p>
            <w:pPr>
              <w:spacing w:after="0"/>
              <w:rPr>
                <w:sz w:val="20"/>
                <w:szCs w:val="20"/>
                <w:color w:val="auto"/>
              </w:rPr>
            </w:pPr>
            <w:r>
              <w:rPr>
                <w:rFonts w:ascii="Arial" w:cs="Arial" w:eastAsia="Arial" w:hAnsi="Arial"/>
                <w:sz w:val="16"/>
                <w:szCs w:val="16"/>
                <w:color w:val="auto"/>
              </w:rPr>
              <w:t>Locomotives and freight cars [b]</w:t>
            </w:r>
          </w:p>
        </w:tc>
        <w:tc>
          <w:tcPr>
            <w:tcW w:w="21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430</w:t>
            </w: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w:t>
            </w:r>
          </w:p>
        </w:tc>
        <w:tc>
          <w:tcPr>
            <w:tcW w:w="0" w:type="dxa"/>
            <w:vAlign w:val="bottom"/>
          </w:tcPr>
          <w:p>
            <w:pPr>
              <w:spacing w:after="0"/>
              <w:rPr>
                <w:sz w:val="1"/>
                <w:szCs w:val="1"/>
                <w:color w:val="auto"/>
              </w:rPr>
            </w:pPr>
          </w:p>
        </w:tc>
      </w:tr>
      <w:tr>
        <w:trPr>
          <w:trHeight w:val="215"/>
        </w:trPr>
        <w:tc>
          <w:tcPr>
            <w:tcW w:w="4900" w:type="dxa"/>
            <w:vAlign w:val="bottom"/>
          </w:tcPr>
          <w:p>
            <w:pPr>
              <w:spacing w:after="0"/>
              <w:rPr>
                <w:sz w:val="20"/>
                <w:szCs w:val="20"/>
                <w:color w:val="auto"/>
              </w:rPr>
            </w:pPr>
            <w:r>
              <w:rPr>
                <w:rFonts w:ascii="Arial" w:cs="Arial" w:eastAsia="Arial" w:hAnsi="Arial"/>
                <w:sz w:val="16"/>
                <w:szCs w:val="16"/>
                <w:color w:val="auto"/>
              </w:rPr>
              <w:t>Positive train control</w:t>
            </w:r>
          </w:p>
        </w:tc>
        <w:tc>
          <w:tcPr>
            <w:tcW w:w="214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b w:val="1"/>
                <w:bCs w:val="1"/>
                <w:color w:val="auto"/>
              </w:rPr>
              <w:t>262</w:t>
            </w:r>
          </w:p>
        </w:tc>
        <w:tc>
          <w:tcPr>
            <w:tcW w:w="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210"/>
        </w:trPr>
        <w:tc>
          <w:tcPr>
            <w:tcW w:w="490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Technology and other</w:t>
            </w:r>
          </w:p>
        </w:tc>
        <w:tc>
          <w:tcPr>
            <w:tcW w:w="2140" w:type="dxa"/>
            <w:vAlign w:val="bottom"/>
            <w:tcBorders>
              <w:bottom w:val="single" w:sz="8" w:color="7F7F7F"/>
            </w:tcBorders>
            <w:shd w:val="clear" w:color="auto" w:fill="CCEEFF"/>
          </w:tcPr>
          <w:p>
            <w:pPr>
              <w:spacing w:after="0"/>
              <w:rPr>
                <w:sz w:val="18"/>
                <w:szCs w:val="18"/>
                <w:color w:val="auto"/>
              </w:rPr>
            </w:pPr>
          </w:p>
        </w:tc>
        <w:tc>
          <w:tcPr>
            <w:tcW w:w="720" w:type="dxa"/>
            <w:vAlign w:val="bottom"/>
            <w:tcBorders>
              <w:bottom w:val="single" w:sz="8" w:color="7F7F7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138</w:t>
            </w:r>
          </w:p>
        </w:tc>
        <w:tc>
          <w:tcPr>
            <w:tcW w:w="400" w:type="dxa"/>
            <w:vAlign w:val="bottom"/>
            <w:tcBorders>
              <w:bottom w:val="single" w:sz="8" w:color="7F7F7F"/>
            </w:tcBorders>
            <w:shd w:val="clear" w:color="auto" w:fill="CCEEFF"/>
          </w:tcPr>
          <w:p>
            <w:pPr>
              <w:spacing w:after="0"/>
              <w:rPr>
                <w:sz w:val="18"/>
                <w:szCs w:val="18"/>
                <w:color w:val="auto"/>
              </w:rPr>
            </w:pPr>
          </w:p>
        </w:tc>
        <w:tc>
          <w:tcPr>
            <w:tcW w:w="66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37"/>
        </w:trPr>
        <w:tc>
          <w:tcPr>
            <w:tcW w:w="4900" w:type="dxa"/>
            <w:vAlign w:val="bottom"/>
          </w:tcPr>
          <w:p>
            <w:pPr>
              <w:spacing w:after="0"/>
              <w:rPr>
                <w:sz w:val="20"/>
                <w:szCs w:val="20"/>
                <w:color w:val="auto"/>
              </w:rPr>
            </w:pPr>
            <w:r>
              <w:rPr>
                <w:rFonts w:ascii="Arial" w:cs="Arial" w:eastAsia="Arial" w:hAnsi="Arial"/>
                <w:sz w:val="16"/>
                <w:szCs w:val="16"/>
                <w:color w:val="auto"/>
              </w:rPr>
              <w:t>Total cash capital investments</w:t>
            </w:r>
          </w:p>
        </w:tc>
        <w:tc>
          <w:tcPr>
            <w:tcW w:w="214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b w:val="1"/>
                <w:bCs w:val="1"/>
                <w:color w:val="auto"/>
              </w:rPr>
              <w:t>2,379</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2,604</w:t>
            </w:r>
          </w:p>
        </w:tc>
        <w:tc>
          <w:tcPr>
            <w:tcW w:w="0" w:type="dxa"/>
            <w:vAlign w:val="bottom"/>
          </w:tcPr>
          <w:p>
            <w:pPr>
              <w:spacing w:after="0"/>
              <w:rPr>
                <w:sz w:val="1"/>
                <w:szCs w:val="1"/>
                <w:color w:val="auto"/>
              </w:rPr>
            </w:pPr>
          </w:p>
        </w:tc>
      </w:tr>
      <w:tr>
        <w:trPr>
          <w:trHeight w:val="81"/>
        </w:trPr>
        <w:tc>
          <w:tcPr>
            <w:tcW w:w="4900" w:type="dxa"/>
            <w:vAlign w:val="bottom"/>
            <w:tcBorders>
              <w:bottom w:val="single" w:sz="8" w:color="7F7F7F"/>
            </w:tcBorders>
          </w:tcPr>
          <w:p>
            <w:pPr>
              <w:spacing w:after="0"/>
              <w:rPr>
                <w:sz w:val="7"/>
                <w:szCs w:val="7"/>
                <w:color w:val="auto"/>
              </w:rPr>
            </w:pPr>
          </w:p>
        </w:tc>
        <w:tc>
          <w:tcPr>
            <w:tcW w:w="2140" w:type="dxa"/>
            <w:vAlign w:val="bottom"/>
            <w:tcBorders>
              <w:bottom w:val="single" w:sz="8" w:color="7F7F7F"/>
            </w:tcBorders>
          </w:tcPr>
          <w:p>
            <w:pPr>
              <w:spacing w:after="0"/>
              <w:rPr>
                <w:sz w:val="7"/>
                <w:szCs w:val="7"/>
                <w:color w:val="auto"/>
              </w:rPr>
            </w:pPr>
          </w:p>
        </w:tc>
        <w:tc>
          <w:tcPr>
            <w:tcW w:w="720" w:type="dxa"/>
            <w:vAlign w:val="bottom"/>
            <w:tcBorders>
              <w:bottom w:val="single" w:sz="8" w:color="7F7F7F"/>
            </w:tcBorders>
          </w:tcPr>
          <w:p>
            <w:pPr>
              <w:spacing w:after="0"/>
              <w:rPr>
                <w:sz w:val="7"/>
                <w:szCs w:val="7"/>
                <w:color w:val="auto"/>
              </w:rPr>
            </w:pPr>
          </w:p>
        </w:tc>
        <w:tc>
          <w:tcPr>
            <w:tcW w:w="400" w:type="dxa"/>
            <w:vAlign w:val="bottom"/>
            <w:tcBorders>
              <w:bottom w:val="single" w:sz="8" w:color="7F7F7F"/>
            </w:tcBorders>
          </w:tcPr>
          <w:p>
            <w:pPr>
              <w:spacing w:after="0"/>
              <w:rPr>
                <w:sz w:val="7"/>
                <w:szCs w:val="7"/>
                <w:color w:val="auto"/>
              </w:rPr>
            </w:pPr>
          </w:p>
        </w:tc>
        <w:tc>
          <w:tcPr>
            <w:tcW w:w="660" w:type="dxa"/>
            <w:vAlign w:val="bottom"/>
            <w:tcBorders>
              <w:bottom w:val="single" w:sz="8" w:color="7F7F7F"/>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460" w:hanging="355"/>
        <w:spacing w:after="0"/>
        <w:tabs>
          <w:tab w:leader="none" w:pos="460"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Other includes bridges and tunnels, signals, other road assets, and road work equipment.</w:t>
      </w:r>
    </w:p>
    <w:p>
      <w:pPr>
        <w:spacing w:after="0" w:line="28" w:lineRule="exact"/>
        <w:rPr>
          <w:rFonts w:ascii="Arial" w:cs="Arial" w:eastAsia="Arial" w:hAnsi="Arial"/>
          <w:sz w:val="14"/>
          <w:szCs w:val="14"/>
          <w:i w:val="1"/>
          <w:iCs w:val="1"/>
          <w:color w:val="auto"/>
        </w:rPr>
      </w:pPr>
    </w:p>
    <w:p>
      <w:pPr>
        <w:ind w:left="460" w:hanging="355"/>
        <w:spacing w:after="0"/>
        <w:tabs>
          <w:tab w:leader="none" w:pos="460"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Locomotives and freight cars include lease buyouts of $173 million in 2017 and $70 million in 2016.</w:t>
      </w:r>
    </w:p>
    <w:p>
      <w:pPr>
        <w:spacing w:after="0" w:line="13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Capital Plan</w:t>
      </w:r>
    </w:p>
    <w:p>
      <w:pPr>
        <w:spacing w:after="0" w:line="153" w:lineRule="exact"/>
        <w:rPr>
          <w:sz w:val="20"/>
          <w:szCs w:val="20"/>
          <w:color w:val="auto"/>
        </w:rPr>
      </w:pPr>
    </w:p>
    <w:p>
      <w:pPr>
        <w:jc w:val="both"/>
        <w:ind w:left="100" w:right="99"/>
        <w:spacing w:after="0" w:line="219" w:lineRule="auto"/>
        <w:rPr>
          <w:sz w:val="20"/>
          <w:szCs w:val="20"/>
          <w:color w:val="auto"/>
        </w:rPr>
      </w:pPr>
      <w:r>
        <w:rPr>
          <w:rFonts w:ascii="Arial" w:cs="Arial" w:eastAsia="Arial" w:hAnsi="Arial"/>
          <w:sz w:val="18"/>
          <w:szCs w:val="18"/>
          <w:color w:val="auto"/>
        </w:rPr>
        <w:t>As previously stated, we expect our 2017 capital plan to be approximately $3.1 billion, which may be revised if business conditions or the regulatory environment affect our ability to generate sufficient returns on these investments.</w:t>
      </w:r>
    </w:p>
    <w:p>
      <w:pPr>
        <w:spacing w:after="0" w:line="11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Financing Activities</w:t>
      </w:r>
    </w:p>
    <w:p>
      <w:pPr>
        <w:spacing w:after="0" w:line="166" w:lineRule="exact"/>
        <w:rPr>
          <w:sz w:val="20"/>
          <w:szCs w:val="20"/>
          <w:color w:val="auto"/>
        </w:rPr>
      </w:pPr>
    </w:p>
    <w:p>
      <w:pPr>
        <w:jc w:val="both"/>
        <w:ind w:left="100" w:right="99"/>
        <w:spacing w:after="0" w:line="219" w:lineRule="auto"/>
        <w:rPr>
          <w:sz w:val="20"/>
          <w:szCs w:val="20"/>
          <w:color w:val="auto"/>
        </w:rPr>
      </w:pPr>
      <w:r>
        <w:rPr>
          <w:rFonts w:ascii="Arial" w:cs="Arial" w:eastAsia="Arial" w:hAnsi="Arial"/>
          <w:sz w:val="18"/>
          <w:szCs w:val="18"/>
          <w:color w:val="auto"/>
        </w:rPr>
        <w:t>Cash used in financing activities increased $438 million in the first nine months of 2017 compared to the same period of 2016 driven by a $782 million increase in shares repurchased, partially offset by a $402 million increase in debt issued.</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45085</wp:posOffset>
            </wp:positionV>
            <wp:extent cx="5642610" cy="514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1" w:name="page32"/>
    <w:bookmarkEnd w:id="31"/>
    <w:p>
      <w:pPr>
        <w:ind w:left="10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66" w:lineRule="exact"/>
        <w:rPr>
          <w:sz w:val="20"/>
          <w:szCs w:val="20"/>
          <w:color w:val="auto"/>
        </w:rPr>
      </w:pPr>
    </w:p>
    <w:p>
      <w:pPr>
        <w:jc w:val="both"/>
        <w:ind w:left="100" w:right="99"/>
        <w:spacing w:after="0" w:line="227" w:lineRule="auto"/>
        <w:rPr>
          <w:sz w:val="20"/>
          <w:szCs w:val="20"/>
          <w:color w:val="auto"/>
        </w:rPr>
      </w:pPr>
      <w:r>
        <w:rPr>
          <w:rFonts w:ascii="Arial" w:cs="Arial" w:eastAsia="Arial" w:hAnsi="Arial"/>
          <w:sz w:val="18"/>
          <w:szCs w:val="18"/>
          <w:color w:val="auto"/>
        </w:rPr>
        <w:t>See Note 15 of the Condensed Consolidated Financial Statements for a description of all our outstanding financing arrangements and significant new borrowings.</w:t>
      </w:r>
    </w:p>
    <w:p>
      <w:pPr>
        <w:spacing w:after="0" w:line="113" w:lineRule="exact"/>
        <w:rPr>
          <w:sz w:val="20"/>
          <w:szCs w:val="20"/>
          <w:color w:val="auto"/>
        </w:rPr>
      </w:pPr>
    </w:p>
    <w:p>
      <w:pPr>
        <w:jc w:val="both"/>
        <w:ind w:left="100" w:right="99"/>
        <w:spacing w:after="0"/>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18"/>
          <w:szCs w:val="18"/>
          <w:color w:val="auto"/>
        </w:rPr>
        <w:t>– Free cash flow is defined as cash provided by operating activities less cash used in</w:t>
      </w:r>
      <w:r>
        <w:rPr>
          <w:rFonts w:ascii="Arial" w:cs="Arial" w:eastAsia="Arial" w:hAnsi="Arial"/>
          <w:sz w:val="18"/>
          <w:szCs w:val="18"/>
          <w:b w:val="1"/>
          <w:bCs w:val="1"/>
          <w:color w:val="auto"/>
        </w:rPr>
        <w:t xml:space="preserve"> </w:t>
      </w:r>
      <w:r>
        <w:rPr>
          <w:rFonts w:ascii="Arial" w:cs="Arial" w:eastAsia="Arial" w:hAnsi="Arial"/>
          <w:sz w:val="18"/>
          <w:szCs w:val="18"/>
          <w:color w:val="auto"/>
        </w:rPr>
        <w:t>investing activities and dividends paid.</w:t>
      </w:r>
    </w:p>
    <w:p>
      <w:pPr>
        <w:spacing w:after="0" w:line="135" w:lineRule="exact"/>
        <w:rPr>
          <w:sz w:val="20"/>
          <w:szCs w:val="20"/>
          <w:color w:val="auto"/>
        </w:rPr>
      </w:pPr>
    </w:p>
    <w:p>
      <w:pPr>
        <w:jc w:val="both"/>
        <w:ind w:left="100" w:right="99"/>
        <w:spacing w:after="0" w:line="211" w:lineRule="auto"/>
        <w:rPr>
          <w:sz w:val="20"/>
          <w:szCs w:val="20"/>
          <w:color w:val="auto"/>
        </w:rPr>
      </w:pPr>
      <w:r>
        <w:rPr>
          <w:rFonts w:ascii="Arial" w:cs="Arial" w:eastAsia="Arial" w:hAnsi="Arial"/>
          <w:sz w:val="18"/>
          <w:szCs w:val="18"/>
          <w:color w:val="auto"/>
        </w:rPr>
        <w:t>Free cash flow is not considered a financial measure under GAAP by SEC Regulation G and Item 10 of SEC Regulation S-K and may not be defined and calculated by other companies in the same manner. We believe free cash flow is important to management and investors in evaluating our financial performance and measures our ability to generate cash without additional external financing. Free cash flow should be considered in addition to, rather than as a substitute for, cash provided by operating activities. The following table reconciles cash provided by operating activities (GAAP measure) to free cash flow (non-GAAP measure):</w:t>
      </w:r>
    </w:p>
    <w:p>
      <w:pPr>
        <w:spacing w:after="0" w:line="77" w:lineRule="exact"/>
        <w:rPr>
          <w:sz w:val="20"/>
          <w:szCs w:val="20"/>
          <w:color w:val="auto"/>
        </w:rPr>
      </w:pPr>
    </w:p>
    <w:tbl>
      <w:tblPr>
        <w:tblLayout w:type="fixed"/>
        <w:tblInd w:w="100" w:type="dxa"/>
        <w:tblCellMar>
          <w:top w:w="0" w:type="dxa"/>
          <w:left w:w="0" w:type="dxa"/>
          <w:bottom w:w="0" w:type="dxa"/>
          <w:right w:w="0" w:type="dxa"/>
        </w:tblCellMar>
      </w:tblPr>
      <w:tr>
        <w:trPr>
          <w:trHeight w:val="256"/>
        </w:trPr>
        <w:tc>
          <w:tcPr>
            <w:tcW w:w="4860" w:type="dxa"/>
            <w:vAlign w:val="bottom"/>
            <w:tcBorders>
              <w:top w:val="single" w:sz="8" w:color="7F7F7F"/>
            </w:tcBorders>
          </w:tcPr>
          <w:p>
            <w:pPr>
              <w:spacing w:after="0"/>
              <w:rPr>
                <w:sz w:val="20"/>
                <w:szCs w:val="20"/>
                <w:color w:val="auto"/>
              </w:rPr>
            </w:pPr>
            <w:r>
              <w:rPr>
                <w:rFonts w:ascii="Arial" w:cs="Arial" w:eastAsia="Arial" w:hAnsi="Arial"/>
                <w:sz w:val="16"/>
                <w:szCs w:val="16"/>
                <w:i w:val="1"/>
                <w:iCs w:val="1"/>
                <w:color w:val="auto"/>
              </w:rPr>
              <w:t>Millions,</w:t>
            </w:r>
          </w:p>
        </w:tc>
        <w:tc>
          <w:tcPr>
            <w:tcW w:w="2080" w:type="dxa"/>
            <w:vAlign w:val="bottom"/>
            <w:tcBorders>
              <w:top w:val="single" w:sz="8" w:color="7F7F7F"/>
            </w:tcBorders>
          </w:tcPr>
          <w:p>
            <w:pPr>
              <w:spacing w:after="0"/>
              <w:rPr>
                <w:sz w:val="22"/>
                <w:szCs w:val="22"/>
                <w:color w:val="auto"/>
              </w:rPr>
            </w:pPr>
          </w:p>
        </w:tc>
        <w:tc>
          <w:tcPr>
            <w:tcW w:w="800" w:type="dxa"/>
            <w:vAlign w:val="bottom"/>
            <w:tcBorders>
              <w:top w:val="single" w:sz="8" w:color="7F7F7F"/>
            </w:tcBorders>
            <w:vMerge w:val="restart"/>
          </w:tcPr>
          <w:p>
            <w:pPr>
              <w:jc w:val="right"/>
              <w:ind w:right="59"/>
              <w:spacing w:after="0"/>
              <w:rPr>
                <w:sz w:val="20"/>
                <w:szCs w:val="20"/>
                <w:color w:val="auto"/>
              </w:rPr>
            </w:pPr>
            <w:r>
              <w:rPr>
                <w:rFonts w:ascii="Arial" w:cs="Arial" w:eastAsia="Arial" w:hAnsi="Arial"/>
                <w:sz w:val="16"/>
                <w:szCs w:val="16"/>
                <w:b w:val="1"/>
                <w:bCs w:val="1"/>
                <w:i w:val="1"/>
                <w:iCs w:val="1"/>
                <w:color w:val="auto"/>
              </w:rPr>
              <w:t>2017</w:t>
            </w:r>
          </w:p>
        </w:tc>
        <w:tc>
          <w:tcPr>
            <w:tcW w:w="380" w:type="dxa"/>
            <w:vAlign w:val="bottom"/>
            <w:tcBorders>
              <w:top w:val="single" w:sz="8" w:color="7F7F7F"/>
            </w:tcBorders>
          </w:tcPr>
          <w:p>
            <w:pPr>
              <w:spacing w:after="0"/>
              <w:rPr>
                <w:sz w:val="22"/>
                <w:szCs w:val="22"/>
                <w:color w:val="auto"/>
              </w:rPr>
            </w:pPr>
          </w:p>
        </w:tc>
        <w:tc>
          <w:tcPr>
            <w:tcW w:w="700" w:type="dxa"/>
            <w:vAlign w:val="bottom"/>
            <w:tcBorders>
              <w:top w:val="single" w:sz="8" w:color="7F7F7F"/>
            </w:tcBorders>
            <w:vMerge w:val="restart"/>
          </w:tcPr>
          <w:p>
            <w:pPr>
              <w:jc w:val="right"/>
              <w:spacing w:after="0"/>
              <w:rPr>
                <w:sz w:val="20"/>
                <w:szCs w:val="20"/>
                <w:color w:val="auto"/>
              </w:rPr>
            </w:pPr>
            <w:r>
              <w:rPr>
                <w:rFonts w:ascii="Arial" w:cs="Arial" w:eastAsia="Arial" w:hAnsi="Arial"/>
                <w:sz w:val="16"/>
                <w:szCs w:val="16"/>
                <w:i w:val="1"/>
                <w:iCs w:val="1"/>
                <w:color w:val="auto"/>
              </w:rPr>
              <w:t>2016</w:t>
            </w:r>
          </w:p>
        </w:tc>
        <w:tc>
          <w:tcPr>
            <w:tcW w:w="0" w:type="dxa"/>
            <w:vAlign w:val="bottom"/>
          </w:tcPr>
          <w:p>
            <w:pPr>
              <w:spacing w:after="0"/>
              <w:rPr>
                <w:sz w:val="1"/>
                <w:szCs w:val="1"/>
                <w:color w:val="auto"/>
              </w:rPr>
            </w:pPr>
          </w:p>
        </w:tc>
      </w:tr>
      <w:tr>
        <w:trPr>
          <w:trHeight w:val="197"/>
        </w:trPr>
        <w:tc>
          <w:tcPr>
            <w:tcW w:w="4860" w:type="dxa"/>
            <w:vAlign w:val="bottom"/>
            <w:tcBorders>
              <w:bottom w:val="single" w:sz="8" w:color="7F7F7F"/>
            </w:tcBorders>
          </w:tcPr>
          <w:p>
            <w:pPr>
              <w:spacing w:after="0"/>
              <w:rPr>
                <w:sz w:val="20"/>
                <w:szCs w:val="20"/>
                <w:color w:val="auto"/>
              </w:rPr>
            </w:pPr>
            <w:r>
              <w:rPr>
                <w:rFonts w:ascii="Arial" w:cs="Arial" w:eastAsia="Arial" w:hAnsi="Arial"/>
                <w:sz w:val="16"/>
                <w:szCs w:val="16"/>
                <w:i w:val="1"/>
                <w:iCs w:val="1"/>
                <w:color w:val="auto"/>
              </w:rPr>
              <w:t>for the Nine Months Ended September 30,</w:t>
            </w:r>
          </w:p>
        </w:tc>
        <w:tc>
          <w:tcPr>
            <w:tcW w:w="2080" w:type="dxa"/>
            <w:vAlign w:val="bottom"/>
            <w:tcBorders>
              <w:bottom w:val="single" w:sz="8" w:color="7F7F7F"/>
            </w:tcBorders>
          </w:tcPr>
          <w:p>
            <w:pPr>
              <w:spacing w:after="0"/>
              <w:rPr>
                <w:sz w:val="17"/>
                <w:szCs w:val="17"/>
                <w:color w:val="auto"/>
              </w:rPr>
            </w:pPr>
          </w:p>
        </w:tc>
        <w:tc>
          <w:tcPr>
            <w:tcW w:w="800" w:type="dxa"/>
            <w:vAlign w:val="bottom"/>
            <w:tcBorders>
              <w:bottom w:val="single" w:sz="8" w:color="7F7F7F"/>
            </w:tcBorders>
            <w:vMerge w:val="continue"/>
          </w:tcPr>
          <w:p>
            <w:pPr>
              <w:spacing w:after="0"/>
              <w:rPr>
                <w:sz w:val="17"/>
                <w:szCs w:val="17"/>
                <w:color w:val="auto"/>
              </w:rPr>
            </w:pPr>
          </w:p>
        </w:tc>
        <w:tc>
          <w:tcPr>
            <w:tcW w:w="380" w:type="dxa"/>
            <w:vAlign w:val="bottom"/>
            <w:tcBorders>
              <w:bottom w:val="single" w:sz="8" w:color="7F7F7F"/>
            </w:tcBorders>
          </w:tcPr>
          <w:p>
            <w:pPr>
              <w:spacing w:after="0"/>
              <w:rPr>
                <w:sz w:val="17"/>
                <w:szCs w:val="17"/>
                <w:color w:val="auto"/>
              </w:rPr>
            </w:pPr>
          </w:p>
        </w:tc>
        <w:tc>
          <w:tcPr>
            <w:tcW w:w="700" w:type="dxa"/>
            <w:vAlign w:val="bottom"/>
            <w:tcBorders>
              <w:bottom w:val="single" w:sz="8" w:color="7F7F7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spacing w:after="0"/>
              <w:rPr>
                <w:sz w:val="20"/>
                <w:szCs w:val="20"/>
                <w:color w:val="auto"/>
              </w:rPr>
            </w:pPr>
            <w:r>
              <w:rPr>
                <w:rFonts w:ascii="Arial" w:cs="Arial" w:eastAsia="Arial" w:hAnsi="Arial"/>
                <w:sz w:val="16"/>
                <w:szCs w:val="16"/>
                <w:color w:val="auto"/>
              </w:rPr>
              <w:t>Cash provided by operating activities</w:t>
            </w:r>
          </w:p>
        </w:tc>
        <w:tc>
          <w:tcPr>
            <w:tcW w:w="20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5,398</w:t>
            </w:r>
          </w:p>
        </w:tc>
        <w:tc>
          <w:tcPr>
            <w:tcW w:w="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5,467</w:t>
            </w:r>
          </w:p>
        </w:tc>
        <w:tc>
          <w:tcPr>
            <w:tcW w:w="0" w:type="dxa"/>
            <w:vAlign w:val="bottom"/>
          </w:tcPr>
          <w:p>
            <w:pPr>
              <w:spacing w:after="0"/>
              <w:rPr>
                <w:sz w:val="1"/>
                <w:szCs w:val="1"/>
                <w:color w:val="auto"/>
              </w:rPr>
            </w:pPr>
          </w:p>
        </w:tc>
      </w:tr>
      <w:tr>
        <w:trPr>
          <w:trHeight w:val="215"/>
        </w:trPr>
        <w:tc>
          <w:tcPr>
            <w:tcW w:w="4860" w:type="dxa"/>
            <w:vAlign w:val="bottom"/>
          </w:tcPr>
          <w:p>
            <w:pPr>
              <w:spacing w:after="0"/>
              <w:rPr>
                <w:sz w:val="20"/>
                <w:szCs w:val="20"/>
                <w:color w:val="auto"/>
              </w:rPr>
            </w:pPr>
            <w:r>
              <w:rPr>
                <w:rFonts w:ascii="Arial" w:cs="Arial" w:eastAsia="Arial" w:hAnsi="Arial"/>
                <w:sz w:val="16"/>
                <w:szCs w:val="16"/>
                <w:color w:val="auto"/>
              </w:rPr>
              <w:t>Cash used in investing activities</w:t>
            </w:r>
          </w:p>
        </w:tc>
        <w:tc>
          <w:tcPr>
            <w:tcW w:w="208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b w:val="1"/>
                <w:bCs w:val="1"/>
                <w:color w:val="auto"/>
              </w:rPr>
              <w:t>(2,260)</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(2,819)</w:t>
            </w:r>
          </w:p>
        </w:tc>
        <w:tc>
          <w:tcPr>
            <w:tcW w:w="0" w:type="dxa"/>
            <w:vAlign w:val="bottom"/>
          </w:tcPr>
          <w:p>
            <w:pPr>
              <w:spacing w:after="0"/>
              <w:rPr>
                <w:sz w:val="1"/>
                <w:szCs w:val="1"/>
                <w:color w:val="auto"/>
              </w:rPr>
            </w:pPr>
          </w:p>
        </w:tc>
      </w:tr>
      <w:tr>
        <w:trPr>
          <w:trHeight w:val="210"/>
        </w:trPr>
        <w:tc>
          <w:tcPr>
            <w:tcW w:w="486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Dividends paid</w:t>
            </w:r>
          </w:p>
        </w:tc>
        <w:tc>
          <w:tcPr>
            <w:tcW w:w="2080" w:type="dxa"/>
            <w:vAlign w:val="bottom"/>
            <w:tcBorders>
              <w:bottom w:val="single" w:sz="8" w:color="7F7F7F"/>
            </w:tcBorders>
            <w:shd w:val="clear" w:color="auto" w:fill="CCEEFF"/>
          </w:tcPr>
          <w:p>
            <w:pPr>
              <w:spacing w:after="0"/>
              <w:rPr>
                <w:sz w:val="18"/>
                <w:szCs w:val="18"/>
                <w:color w:val="auto"/>
              </w:rPr>
            </w:pPr>
          </w:p>
        </w:tc>
        <w:tc>
          <w:tcPr>
            <w:tcW w:w="800" w:type="dxa"/>
            <w:vAlign w:val="bottom"/>
            <w:tcBorders>
              <w:bottom w:val="single" w:sz="8" w:color="7F7F7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(1,460)</w:t>
            </w:r>
          </w:p>
        </w:tc>
        <w:tc>
          <w:tcPr>
            <w:tcW w:w="380" w:type="dxa"/>
            <w:vAlign w:val="bottom"/>
            <w:tcBorders>
              <w:bottom w:val="single" w:sz="8" w:color="7F7F7F"/>
            </w:tcBorders>
            <w:shd w:val="clear" w:color="auto" w:fill="CCEEFF"/>
          </w:tcPr>
          <w:p>
            <w:pPr>
              <w:spacing w:after="0"/>
              <w:rPr>
                <w:sz w:val="18"/>
                <w:szCs w:val="18"/>
                <w:color w:val="auto"/>
              </w:rPr>
            </w:pPr>
          </w:p>
        </w:tc>
        <w:tc>
          <w:tcPr>
            <w:tcW w:w="7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(1,382)</w:t>
            </w:r>
          </w:p>
        </w:tc>
        <w:tc>
          <w:tcPr>
            <w:tcW w:w="0" w:type="dxa"/>
            <w:vAlign w:val="bottom"/>
          </w:tcPr>
          <w:p>
            <w:pPr>
              <w:spacing w:after="0"/>
              <w:rPr>
                <w:sz w:val="1"/>
                <w:szCs w:val="1"/>
                <w:color w:val="auto"/>
              </w:rPr>
            </w:pPr>
          </w:p>
        </w:tc>
      </w:tr>
      <w:tr>
        <w:trPr>
          <w:trHeight w:val="237"/>
        </w:trPr>
        <w:tc>
          <w:tcPr>
            <w:tcW w:w="4860" w:type="dxa"/>
            <w:vAlign w:val="bottom"/>
          </w:tcPr>
          <w:p>
            <w:pPr>
              <w:spacing w:after="0"/>
              <w:rPr>
                <w:sz w:val="20"/>
                <w:szCs w:val="20"/>
                <w:color w:val="auto"/>
              </w:rPr>
            </w:pPr>
            <w:r>
              <w:rPr>
                <w:rFonts w:ascii="Arial" w:cs="Arial" w:eastAsia="Arial" w:hAnsi="Arial"/>
                <w:sz w:val="16"/>
                <w:szCs w:val="16"/>
                <w:color w:val="auto"/>
              </w:rPr>
              <w:t>Free cash flow</w:t>
            </w:r>
          </w:p>
        </w:tc>
        <w:tc>
          <w:tcPr>
            <w:tcW w:w="208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59"/>
              <w:spacing w:after="0"/>
              <w:rPr>
                <w:sz w:val="20"/>
                <w:szCs w:val="20"/>
                <w:color w:val="auto"/>
              </w:rPr>
            </w:pPr>
            <w:r>
              <w:rPr>
                <w:rFonts w:ascii="Arial" w:cs="Arial" w:eastAsia="Arial" w:hAnsi="Arial"/>
                <w:sz w:val="16"/>
                <w:szCs w:val="16"/>
                <w:b w:val="1"/>
                <w:bCs w:val="1"/>
                <w:color w:val="auto"/>
              </w:rPr>
              <w:t>1,678</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1,266</w:t>
            </w:r>
          </w:p>
        </w:tc>
        <w:tc>
          <w:tcPr>
            <w:tcW w:w="0" w:type="dxa"/>
            <w:vAlign w:val="bottom"/>
          </w:tcPr>
          <w:p>
            <w:pPr>
              <w:spacing w:after="0"/>
              <w:rPr>
                <w:sz w:val="1"/>
                <w:szCs w:val="1"/>
                <w:color w:val="auto"/>
              </w:rPr>
            </w:pPr>
          </w:p>
        </w:tc>
      </w:tr>
      <w:tr>
        <w:trPr>
          <w:trHeight w:val="81"/>
        </w:trPr>
        <w:tc>
          <w:tcPr>
            <w:tcW w:w="4860" w:type="dxa"/>
            <w:vAlign w:val="bottom"/>
            <w:tcBorders>
              <w:bottom w:val="single" w:sz="8" w:color="7F7F7F"/>
            </w:tcBorders>
          </w:tcPr>
          <w:p>
            <w:pPr>
              <w:spacing w:after="0"/>
              <w:rPr>
                <w:sz w:val="7"/>
                <w:szCs w:val="7"/>
                <w:color w:val="auto"/>
              </w:rPr>
            </w:pPr>
          </w:p>
        </w:tc>
        <w:tc>
          <w:tcPr>
            <w:tcW w:w="2080" w:type="dxa"/>
            <w:vAlign w:val="bottom"/>
            <w:tcBorders>
              <w:bottom w:val="single" w:sz="8" w:color="7F7F7F"/>
            </w:tcBorders>
          </w:tcPr>
          <w:p>
            <w:pPr>
              <w:spacing w:after="0"/>
              <w:rPr>
                <w:sz w:val="7"/>
                <w:szCs w:val="7"/>
                <w:color w:val="auto"/>
              </w:rPr>
            </w:pPr>
          </w:p>
        </w:tc>
        <w:tc>
          <w:tcPr>
            <w:tcW w:w="800" w:type="dxa"/>
            <w:vAlign w:val="bottom"/>
            <w:tcBorders>
              <w:bottom w:val="single" w:sz="8" w:color="7F7F7F"/>
            </w:tcBorders>
          </w:tcPr>
          <w:p>
            <w:pPr>
              <w:spacing w:after="0"/>
              <w:rPr>
                <w:sz w:val="7"/>
                <w:szCs w:val="7"/>
                <w:color w:val="auto"/>
              </w:rPr>
            </w:pPr>
          </w:p>
        </w:tc>
        <w:tc>
          <w:tcPr>
            <w:tcW w:w="380" w:type="dxa"/>
            <w:vAlign w:val="bottom"/>
            <w:tcBorders>
              <w:bottom w:val="single" w:sz="8" w:color="7F7F7F"/>
            </w:tcBorders>
          </w:tcPr>
          <w:p>
            <w:pPr>
              <w:spacing w:after="0"/>
              <w:rPr>
                <w:sz w:val="7"/>
                <w:szCs w:val="7"/>
                <w:color w:val="auto"/>
              </w:rPr>
            </w:pPr>
          </w:p>
        </w:tc>
        <w:tc>
          <w:tcPr>
            <w:tcW w:w="700" w:type="dxa"/>
            <w:vAlign w:val="bottom"/>
            <w:tcBorders>
              <w:bottom w:val="single" w:sz="8" w:color="7F7F7F"/>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Share Repurchase Program</w:t>
      </w:r>
    </w:p>
    <w:p>
      <w:pPr>
        <w:spacing w:after="0" w:line="166" w:lineRule="exact"/>
        <w:rPr>
          <w:sz w:val="20"/>
          <w:szCs w:val="20"/>
          <w:color w:val="auto"/>
        </w:rPr>
      </w:pPr>
    </w:p>
    <w:p>
      <w:pPr>
        <w:jc w:val="both"/>
        <w:ind w:left="100" w:right="99"/>
        <w:spacing w:after="0" w:line="213" w:lineRule="auto"/>
        <w:rPr>
          <w:sz w:val="20"/>
          <w:szCs w:val="20"/>
          <w:color w:val="auto"/>
        </w:rPr>
      </w:pPr>
      <w:r>
        <w:rPr>
          <w:rFonts w:ascii="Arial" w:cs="Arial" w:eastAsia="Arial" w:hAnsi="Arial"/>
          <w:sz w:val="18"/>
          <w:szCs w:val="18"/>
          <w:color w:val="auto"/>
        </w:rPr>
        <w:t>Effective January 1, 2017, our Board of Directors authorized the repurchase of up to 120 million shares of our common stock by December 31, 2020, replacing our previous repurchase program. As of September 30, 2017, we repurchased a total of $22.1 billion of our common stock since the commencement of our repurchase programs in 2007. The table below represents shares repurchased in 2017 under our new repurchase program, and shares repurchased in 2016 under our previous repurchase program.</w:t>
      </w:r>
    </w:p>
    <w:p>
      <w:pPr>
        <w:spacing w:after="0" w:line="170" w:lineRule="exact"/>
        <w:rPr>
          <w:sz w:val="20"/>
          <w:szCs w:val="20"/>
          <w:color w:val="auto"/>
        </w:rPr>
      </w:pPr>
    </w:p>
    <w:tbl>
      <w:tblPr>
        <w:tblLayout w:type="fixed"/>
        <w:tblInd w:w="100" w:type="dxa"/>
        <w:tblCellMar>
          <w:top w:w="0" w:type="dxa"/>
          <w:left w:w="0" w:type="dxa"/>
          <w:bottom w:w="0" w:type="dxa"/>
          <w:right w:w="0" w:type="dxa"/>
        </w:tblCellMar>
      </w:tblPr>
      <w:tr>
        <w:trPr>
          <w:trHeight w:val="237"/>
        </w:trPr>
        <w:tc>
          <w:tcPr>
            <w:tcW w:w="3900" w:type="dxa"/>
            <w:vAlign w:val="bottom"/>
            <w:tcBorders>
              <w:top w:val="single" w:sz="8" w:color="7F7F7F"/>
            </w:tcBorders>
          </w:tcPr>
          <w:p>
            <w:pPr>
              <w:spacing w:after="0"/>
              <w:rPr>
                <w:sz w:val="20"/>
                <w:szCs w:val="20"/>
                <w:color w:val="auto"/>
              </w:rPr>
            </w:pPr>
          </w:p>
        </w:tc>
        <w:tc>
          <w:tcPr>
            <w:tcW w:w="2780" w:type="dxa"/>
            <w:vAlign w:val="bottom"/>
            <w:tcBorders>
              <w:top w:val="single" w:sz="8" w:color="7F7F7F"/>
              <w:bottom w:val="single" w:sz="8" w:color="7F7F7F"/>
            </w:tcBorders>
            <w:gridSpan w:val="2"/>
          </w:tcPr>
          <w:p>
            <w:pPr>
              <w:jc w:val="right"/>
              <w:ind w:right="39"/>
              <w:spacing w:after="0"/>
              <w:rPr>
                <w:sz w:val="20"/>
                <w:szCs w:val="20"/>
                <w:color w:val="auto"/>
              </w:rPr>
            </w:pPr>
            <w:r>
              <w:rPr>
                <w:rFonts w:ascii="Arial" w:cs="Arial" w:eastAsia="Arial" w:hAnsi="Arial"/>
                <w:sz w:val="16"/>
                <w:szCs w:val="16"/>
                <w:i w:val="1"/>
                <w:iCs w:val="1"/>
                <w:color w:val="auto"/>
              </w:rPr>
              <w:t>Number of Shares Purchased</w:t>
            </w:r>
          </w:p>
        </w:tc>
        <w:tc>
          <w:tcPr>
            <w:tcW w:w="340" w:type="dxa"/>
            <w:vAlign w:val="bottom"/>
            <w:tcBorders>
              <w:top w:val="single" w:sz="8" w:color="7F7F7F"/>
              <w:bottom w:val="single" w:sz="8" w:color="7F7F7F"/>
            </w:tcBorders>
          </w:tcPr>
          <w:p>
            <w:pPr>
              <w:spacing w:after="0"/>
              <w:rPr>
                <w:sz w:val="20"/>
                <w:szCs w:val="20"/>
                <w:color w:val="auto"/>
              </w:rPr>
            </w:pPr>
          </w:p>
        </w:tc>
        <w:tc>
          <w:tcPr>
            <w:tcW w:w="1800" w:type="dxa"/>
            <w:vAlign w:val="bottom"/>
            <w:tcBorders>
              <w:top w:val="single" w:sz="8" w:color="7F7F7F"/>
              <w:bottom w:val="single" w:sz="8" w:color="7F7F7F"/>
            </w:tcBorders>
            <w:gridSpan w:val="3"/>
          </w:tcPr>
          <w:p>
            <w:pPr>
              <w:jc w:val="right"/>
              <w:spacing w:after="0"/>
              <w:rPr>
                <w:sz w:val="20"/>
                <w:szCs w:val="20"/>
                <w:color w:val="auto"/>
              </w:rPr>
            </w:pPr>
            <w:r>
              <w:rPr>
                <w:rFonts w:ascii="Arial" w:cs="Arial" w:eastAsia="Arial" w:hAnsi="Arial"/>
                <w:sz w:val="16"/>
                <w:szCs w:val="16"/>
                <w:i w:val="1"/>
                <w:iCs w:val="1"/>
                <w:color w:val="auto"/>
              </w:rPr>
              <w:t>Average Price Paid</w:t>
            </w:r>
          </w:p>
        </w:tc>
      </w:tr>
      <w:tr>
        <w:trPr>
          <w:trHeight w:val="196"/>
        </w:trPr>
        <w:tc>
          <w:tcPr>
            <w:tcW w:w="3900" w:type="dxa"/>
            <w:vAlign w:val="bottom"/>
            <w:tcBorders>
              <w:bottom w:val="single" w:sz="8" w:color="7F7F7F"/>
            </w:tcBorders>
          </w:tcPr>
          <w:p>
            <w:pPr>
              <w:spacing w:after="0"/>
              <w:rPr>
                <w:sz w:val="17"/>
                <w:szCs w:val="17"/>
                <w:color w:val="auto"/>
              </w:rPr>
            </w:pPr>
          </w:p>
        </w:tc>
        <w:tc>
          <w:tcPr>
            <w:tcW w:w="1740" w:type="dxa"/>
            <w:vAlign w:val="bottom"/>
            <w:tcBorders>
              <w:bottom w:val="single" w:sz="8" w:color="7F7F7F"/>
            </w:tcBorders>
          </w:tcPr>
          <w:p>
            <w:pPr>
              <w:jc w:val="right"/>
              <w:ind w:right="379"/>
              <w:spacing w:after="0"/>
              <w:rPr>
                <w:sz w:val="20"/>
                <w:szCs w:val="20"/>
                <w:color w:val="auto"/>
              </w:rPr>
            </w:pPr>
            <w:r>
              <w:rPr>
                <w:rFonts w:ascii="Arial" w:cs="Arial" w:eastAsia="Arial" w:hAnsi="Arial"/>
                <w:sz w:val="16"/>
                <w:szCs w:val="16"/>
                <w:b w:val="1"/>
                <w:bCs w:val="1"/>
                <w:i w:val="1"/>
                <w:iCs w:val="1"/>
                <w:color w:val="auto"/>
              </w:rPr>
              <w:t>2017</w:t>
            </w:r>
          </w:p>
        </w:tc>
        <w:tc>
          <w:tcPr>
            <w:tcW w:w="1040" w:type="dxa"/>
            <w:vAlign w:val="bottom"/>
            <w:tcBorders>
              <w:bottom w:val="single" w:sz="8" w:color="7F7F7F"/>
            </w:tcBorders>
          </w:tcPr>
          <w:p>
            <w:pPr>
              <w:jc w:val="right"/>
              <w:ind w:right="99"/>
              <w:spacing w:after="0"/>
              <w:rPr>
                <w:sz w:val="20"/>
                <w:szCs w:val="20"/>
                <w:color w:val="auto"/>
              </w:rPr>
            </w:pPr>
            <w:r>
              <w:rPr>
                <w:rFonts w:ascii="Arial" w:cs="Arial" w:eastAsia="Arial" w:hAnsi="Arial"/>
                <w:sz w:val="16"/>
                <w:szCs w:val="16"/>
                <w:i w:val="1"/>
                <w:iCs w:val="1"/>
                <w:color w:val="auto"/>
              </w:rPr>
              <w:t>2016</w:t>
            </w:r>
          </w:p>
        </w:tc>
        <w:tc>
          <w:tcPr>
            <w:tcW w:w="340" w:type="dxa"/>
            <w:vAlign w:val="bottom"/>
            <w:tcBorders>
              <w:bottom w:val="single" w:sz="8" w:color="7F7F7F"/>
            </w:tcBorders>
          </w:tcPr>
          <w:p>
            <w:pPr>
              <w:spacing w:after="0"/>
              <w:rPr>
                <w:sz w:val="17"/>
                <w:szCs w:val="17"/>
                <w:color w:val="auto"/>
              </w:rPr>
            </w:pPr>
          </w:p>
        </w:tc>
        <w:tc>
          <w:tcPr>
            <w:tcW w:w="780" w:type="dxa"/>
            <w:vAlign w:val="bottom"/>
            <w:tcBorders>
              <w:bottom w:val="single" w:sz="8" w:color="7F7F7F"/>
            </w:tcBorders>
          </w:tcPr>
          <w:p>
            <w:pPr>
              <w:jc w:val="right"/>
              <w:ind w:right="79"/>
              <w:spacing w:after="0"/>
              <w:rPr>
                <w:sz w:val="20"/>
                <w:szCs w:val="20"/>
                <w:color w:val="auto"/>
              </w:rPr>
            </w:pPr>
            <w:r>
              <w:rPr>
                <w:rFonts w:ascii="Arial" w:cs="Arial" w:eastAsia="Arial" w:hAnsi="Arial"/>
                <w:sz w:val="16"/>
                <w:szCs w:val="16"/>
                <w:b w:val="1"/>
                <w:bCs w:val="1"/>
                <w:i w:val="1"/>
                <w:iCs w:val="1"/>
                <w:color w:val="auto"/>
              </w:rPr>
              <w:t>2017</w:t>
            </w:r>
          </w:p>
        </w:tc>
        <w:tc>
          <w:tcPr>
            <w:tcW w:w="400" w:type="dxa"/>
            <w:vAlign w:val="bottom"/>
            <w:tcBorders>
              <w:bottom w:val="single" w:sz="8" w:color="7F7F7F"/>
            </w:tcBorders>
          </w:tcPr>
          <w:p>
            <w:pPr>
              <w:spacing w:after="0"/>
              <w:rPr>
                <w:sz w:val="17"/>
                <w:szCs w:val="17"/>
                <w:color w:val="auto"/>
              </w:rPr>
            </w:pPr>
          </w:p>
        </w:tc>
        <w:tc>
          <w:tcPr>
            <w:tcW w:w="62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2016</w:t>
            </w:r>
          </w:p>
        </w:tc>
      </w:tr>
      <w:tr>
        <w:trPr>
          <w:trHeight w:val="203"/>
        </w:trPr>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First quarter</w:t>
            </w:r>
          </w:p>
        </w:tc>
        <w:tc>
          <w:tcPr>
            <w:tcW w:w="1740" w:type="dxa"/>
            <w:vAlign w:val="bottom"/>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7,531,300</w:t>
            </w: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9,315,807</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106.55</w:t>
            </w:r>
          </w:p>
        </w:tc>
        <w:tc>
          <w:tcPr>
            <w:tcW w:w="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76.49</w:t>
            </w:r>
          </w:p>
        </w:tc>
      </w:tr>
      <w:tr>
        <w:trPr>
          <w:trHeight w:val="215"/>
        </w:trPr>
        <w:tc>
          <w:tcPr>
            <w:tcW w:w="3900" w:type="dxa"/>
            <w:vAlign w:val="bottom"/>
          </w:tcPr>
          <w:p>
            <w:pPr>
              <w:spacing w:after="0"/>
              <w:rPr>
                <w:sz w:val="20"/>
                <w:szCs w:val="20"/>
                <w:color w:val="auto"/>
              </w:rPr>
            </w:pPr>
            <w:r>
              <w:rPr>
                <w:rFonts w:ascii="Arial" w:cs="Arial" w:eastAsia="Arial" w:hAnsi="Arial"/>
                <w:sz w:val="16"/>
                <w:szCs w:val="16"/>
                <w:color w:val="auto"/>
              </w:rPr>
              <w:t>Second quarter</w:t>
            </w:r>
          </w:p>
        </w:tc>
        <w:tc>
          <w:tcPr>
            <w:tcW w:w="1740" w:type="dxa"/>
            <w:vAlign w:val="bottom"/>
          </w:tcPr>
          <w:p>
            <w:pPr>
              <w:jc w:val="right"/>
              <w:ind w:right="379"/>
              <w:spacing w:after="0"/>
              <w:rPr>
                <w:sz w:val="20"/>
                <w:szCs w:val="20"/>
                <w:color w:val="auto"/>
              </w:rPr>
            </w:pPr>
            <w:r>
              <w:rPr>
                <w:rFonts w:ascii="Arial" w:cs="Arial" w:eastAsia="Arial" w:hAnsi="Arial"/>
                <w:sz w:val="16"/>
                <w:szCs w:val="16"/>
                <w:b w:val="1"/>
                <w:bCs w:val="1"/>
                <w:color w:val="auto"/>
              </w:rPr>
              <w:t>7,788,283</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7,026,100</w:t>
            </w:r>
          </w:p>
        </w:tc>
        <w:tc>
          <w:tcPr>
            <w:tcW w:w="340" w:type="dxa"/>
            <w:vAlign w:val="bottom"/>
          </w:tcPr>
          <w:p>
            <w:pPr>
              <w:spacing w:after="0"/>
              <w:rPr>
                <w:sz w:val="18"/>
                <w:szCs w:val="18"/>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b w:val="1"/>
                <w:bCs w:val="1"/>
                <w:color w:val="auto"/>
              </w:rPr>
              <w:t>109.10</w:t>
            </w:r>
          </w:p>
        </w:tc>
        <w:tc>
          <w:tcPr>
            <w:tcW w:w="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85.66</w:t>
            </w:r>
          </w:p>
        </w:tc>
      </w:tr>
      <w:tr>
        <w:trPr>
          <w:trHeight w:val="224"/>
        </w:trPr>
        <w:tc>
          <w:tcPr>
            <w:tcW w:w="3900" w:type="dxa"/>
            <w:vAlign w:val="bottom"/>
            <w:tcBorders>
              <w:bottom w:val="single" w:sz="8" w:color="808080"/>
            </w:tcBorders>
            <w:shd w:val="clear" w:color="auto" w:fill="CCEEFF"/>
          </w:tcPr>
          <w:p>
            <w:pPr>
              <w:spacing w:after="0"/>
              <w:rPr>
                <w:sz w:val="20"/>
                <w:szCs w:val="20"/>
                <w:color w:val="auto"/>
              </w:rPr>
            </w:pPr>
            <w:r>
              <w:rPr>
                <w:rFonts w:ascii="Arial" w:cs="Arial" w:eastAsia="Arial" w:hAnsi="Arial"/>
                <w:sz w:val="16"/>
                <w:szCs w:val="16"/>
                <w:color w:val="auto"/>
              </w:rPr>
              <w:t>Third quarter</w:t>
            </w:r>
          </w:p>
        </w:tc>
        <w:tc>
          <w:tcPr>
            <w:tcW w:w="1740" w:type="dxa"/>
            <w:vAlign w:val="bottom"/>
            <w:tcBorders>
              <w:bottom w:val="single" w:sz="8" w:color="808080"/>
            </w:tcBorders>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11,801,755</w:t>
            </w:r>
          </w:p>
        </w:tc>
        <w:tc>
          <w:tcPr>
            <w:tcW w:w="1040" w:type="dxa"/>
            <w:vAlign w:val="bottom"/>
            <w:tcBorders>
              <w:bottom w:val="single" w:sz="8" w:color="808080"/>
            </w:tcBorders>
            <w:shd w:val="clear" w:color="auto" w:fill="CCEEFF"/>
          </w:tcPr>
          <w:p>
            <w:pPr>
              <w:jc w:val="right"/>
              <w:ind w:right="99"/>
              <w:spacing w:after="0"/>
              <w:rPr>
                <w:sz w:val="20"/>
                <w:szCs w:val="20"/>
                <w:color w:val="auto"/>
              </w:rPr>
            </w:pPr>
            <w:r>
              <w:rPr>
                <w:rFonts w:ascii="Arial" w:cs="Arial" w:eastAsia="Arial" w:hAnsi="Arial"/>
                <w:sz w:val="16"/>
                <w:szCs w:val="16"/>
                <w:color w:val="auto"/>
              </w:rPr>
              <w:t>9,088,613</w:t>
            </w:r>
          </w:p>
        </w:tc>
        <w:tc>
          <w:tcPr>
            <w:tcW w:w="340" w:type="dxa"/>
            <w:vAlign w:val="bottom"/>
            <w:tcBorders>
              <w:bottom w:val="single" w:sz="8" w:color="808080"/>
            </w:tcBorders>
            <w:shd w:val="clear" w:color="auto" w:fill="CCEEFF"/>
          </w:tcPr>
          <w:p>
            <w:pPr>
              <w:spacing w:after="0"/>
              <w:rPr>
                <w:sz w:val="19"/>
                <w:szCs w:val="19"/>
                <w:color w:val="auto"/>
              </w:rPr>
            </w:pPr>
          </w:p>
        </w:tc>
        <w:tc>
          <w:tcPr>
            <w:tcW w:w="780" w:type="dxa"/>
            <w:vAlign w:val="bottom"/>
            <w:tcBorders>
              <w:bottom w:val="single" w:sz="8" w:color="808080"/>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106.69</w:t>
            </w:r>
          </w:p>
        </w:tc>
        <w:tc>
          <w:tcPr>
            <w:tcW w:w="400" w:type="dxa"/>
            <w:vAlign w:val="bottom"/>
            <w:tcBorders>
              <w:bottom w:val="single" w:sz="8" w:color="808080"/>
            </w:tcBorders>
            <w:shd w:val="clear" w:color="auto" w:fill="CCEEFF"/>
          </w:tcPr>
          <w:p>
            <w:pPr>
              <w:spacing w:after="0"/>
              <w:rPr>
                <w:sz w:val="19"/>
                <w:szCs w:val="19"/>
                <w:color w:val="auto"/>
              </w:rPr>
            </w:pPr>
          </w:p>
        </w:tc>
        <w:tc>
          <w:tcPr>
            <w:tcW w:w="620" w:type="dxa"/>
            <w:vAlign w:val="bottom"/>
            <w:tcBorders>
              <w:bottom w:val="single" w:sz="8" w:color="808080"/>
            </w:tcBorders>
            <w:shd w:val="clear" w:color="auto" w:fill="CCEEFF"/>
          </w:tcPr>
          <w:p>
            <w:pPr>
              <w:jc w:val="right"/>
              <w:spacing w:after="0"/>
              <w:rPr>
                <w:sz w:val="20"/>
                <w:szCs w:val="20"/>
                <w:color w:val="auto"/>
              </w:rPr>
            </w:pPr>
            <w:r>
              <w:rPr>
                <w:rFonts w:ascii="Arial" w:cs="Arial" w:eastAsia="Arial" w:hAnsi="Arial"/>
                <w:sz w:val="16"/>
                <w:szCs w:val="16"/>
                <w:color w:val="auto"/>
              </w:rPr>
              <w:t>93.63</w:t>
            </w:r>
          </w:p>
        </w:tc>
      </w:tr>
      <w:tr>
        <w:trPr>
          <w:trHeight w:val="250"/>
        </w:trPr>
        <w:tc>
          <w:tcPr>
            <w:tcW w:w="3900" w:type="dxa"/>
            <w:vAlign w:val="bottom"/>
            <w:tcBorders>
              <w:bottom w:val="single" w:sz="8" w:color="808080"/>
            </w:tcBorders>
          </w:tcPr>
          <w:p>
            <w:pPr>
              <w:spacing w:after="0"/>
              <w:rPr>
                <w:sz w:val="20"/>
                <w:szCs w:val="20"/>
                <w:color w:val="auto"/>
              </w:rPr>
            </w:pPr>
            <w:r>
              <w:rPr>
                <w:rFonts w:ascii="Arial" w:cs="Arial" w:eastAsia="Arial" w:hAnsi="Arial"/>
                <w:sz w:val="16"/>
                <w:szCs w:val="16"/>
                <w:color w:val="auto"/>
              </w:rPr>
              <w:t>Total</w:t>
            </w:r>
          </w:p>
        </w:tc>
        <w:tc>
          <w:tcPr>
            <w:tcW w:w="1740" w:type="dxa"/>
            <w:vAlign w:val="bottom"/>
            <w:tcBorders>
              <w:bottom w:val="single" w:sz="8" w:color="808080"/>
            </w:tcBorders>
          </w:tcPr>
          <w:p>
            <w:pPr>
              <w:jc w:val="right"/>
              <w:ind w:right="379"/>
              <w:spacing w:after="0"/>
              <w:rPr>
                <w:sz w:val="20"/>
                <w:szCs w:val="20"/>
                <w:color w:val="auto"/>
              </w:rPr>
            </w:pPr>
            <w:r>
              <w:rPr>
                <w:rFonts w:ascii="Arial" w:cs="Arial" w:eastAsia="Arial" w:hAnsi="Arial"/>
                <w:sz w:val="16"/>
                <w:szCs w:val="16"/>
                <w:b w:val="1"/>
                <w:bCs w:val="1"/>
                <w:color w:val="auto"/>
              </w:rPr>
              <w:t>27,121,338</w:t>
            </w:r>
          </w:p>
        </w:tc>
        <w:tc>
          <w:tcPr>
            <w:tcW w:w="1040" w:type="dxa"/>
            <w:vAlign w:val="bottom"/>
            <w:tcBorders>
              <w:bottom w:val="single" w:sz="8" w:color="808080"/>
            </w:tcBorders>
          </w:tcPr>
          <w:p>
            <w:pPr>
              <w:jc w:val="right"/>
              <w:ind w:right="99"/>
              <w:spacing w:after="0"/>
              <w:rPr>
                <w:sz w:val="20"/>
                <w:szCs w:val="20"/>
                <w:color w:val="auto"/>
              </w:rPr>
            </w:pPr>
            <w:r>
              <w:rPr>
                <w:rFonts w:ascii="Arial" w:cs="Arial" w:eastAsia="Arial" w:hAnsi="Arial"/>
                <w:sz w:val="16"/>
                <w:szCs w:val="16"/>
                <w:color w:val="auto"/>
              </w:rPr>
              <w:t>25,430,520</w:t>
            </w:r>
          </w:p>
        </w:tc>
        <w:tc>
          <w:tcPr>
            <w:tcW w:w="340" w:type="dxa"/>
            <w:vAlign w:val="bottom"/>
            <w:tcBorders>
              <w:bottom w:val="single" w:sz="8" w:color="808080"/>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808080"/>
            </w:tcBorders>
          </w:tcPr>
          <w:p>
            <w:pPr>
              <w:jc w:val="right"/>
              <w:ind w:right="79"/>
              <w:spacing w:after="0"/>
              <w:rPr>
                <w:sz w:val="20"/>
                <w:szCs w:val="20"/>
                <w:color w:val="auto"/>
              </w:rPr>
            </w:pPr>
            <w:r>
              <w:rPr>
                <w:rFonts w:ascii="Arial" w:cs="Arial" w:eastAsia="Arial" w:hAnsi="Arial"/>
                <w:sz w:val="16"/>
                <w:szCs w:val="16"/>
                <w:b w:val="1"/>
                <w:bCs w:val="1"/>
                <w:color w:val="auto"/>
              </w:rPr>
              <w:t>107.34</w:t>
            </w:r>
          </w:p>
        </w:tc>
        <w:tc>
          <w:tcPr>
            <w:tcW w:w="400" w:type="dxa"/>
            <w:vAlign w:val="bottom"/>
            <w:tcBorders>
              <w:bottom w:val="single" w:sz="8" w:color="808080"/>
            </w:tcBorders>
          </w:tcPr>
          <w:p>
            <w:pPr>
              <w:jc w:val="right"/>
              <w:ind w:right="7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85.15</w:t>
            </w:r>
          </w:p>
        </w:tc>
      </w:tr>
      <w:tr>
        <w:trPr>
          <w:trHeight w:val="223"/>
        </w:trPr>
        <w:tc>
          <w:tcPr>
            <w:tcW w:w="5640" w:type="dxa"/>
            <w:vAlign w:val="bottom"/>
            <w:tcBorders>
              <w:bottom w:val="single" w:sz="8" w:color="808080"/>
            </w:tcBorders>
            <w:gridSpan w:val="2"/>
            <w:shd w:val="clear" w:color="auto" w:fill="CCEEFF"/>
          </w:tcPr>
          <w:p>
            <w:pPr>
              <w:spacing w:after="0"/>
              <w:rPr>
                <w:sz w:val="20"/>
                <w:szCs w:val="20"/>
                <w:color w:val="auto"/>
              </w:rPr>
            </w:pPr>
            <w:r>
              <w:rPr>
                <w:rFonts w:ascii="Arial" w:cs="Arial" w:eastAsia="Arial" w:hAnsi="Arial"/>
                <w:sz w:val="16"/>
                <w:szCs w:val="16"/>
                <w:color w:val="auto"/>
              </w:rPr>
              <w:t>Remaining number of shares that may be repurchased under current authority</w:t>
            </w:r>
          </w:p>
        </w:tc>
        <w:tc>
          <w:tcPr>
            <w:tcW w:w="1040" w:type="dxa"/>
            <w:vAlign w:val="bottom"/>
            <w:tcBorders>
              <w:bottom w:val="single" w:sz="8" w:color="808080"/>
            </w:tcBorders>
            <w:shd w:val="clear" w:color="auto" w:fill="CCEEFF"/>
          </w:tcPr>
          <w:p>
            <w:pPr>
              <w:spacing w:after="0"/>
              <w:rPr>
                <w:sz w:val="19"/>
                <w:szCs w:val="19"/>
                <w:color w:val="auto"/>
              </w:rPr>
            </w:pPr>
          </w:p>
        </w:tc>
        <w:tc>
          <w:tcPr>
            <w:tcW w:w="340" w:type="dxa"/>
            <w:vAlign w:val="bottom"/>
            <w:tcBorders>
              <w:bottom w:val="single" w:sz="8" w:color="808080"/>
            </w:tcBorders>
            <w:shd w:val="clear" w:color="auto" w:fill="CCEEFF"/>
          </w:tcPr>
          <w:p>
            <w:pPr>
              <w:spacing w:after="0"/>
              <w:rPr>
                <w:sz w:val="19"/>
                <w:szCs w:val="19"/>
                <w:color w:val="auto"/>
              </w:rPr>
            </w:pPr>
          </w:p>
        </w:tc>
        <w:tc>
          <w:tcPr>
            <w:tcW w:w="780" w:type="dxa"/>
            <w:vAlign w:val="bottom"/>
            <w:tcBorders>
              <w:bottom w:val="single" w:sz="8" w:color="808080"/>
            </w:tcBorders>
            <w:shd w:val="clear" w:color="auto" w:fill="CCEEFF"/>
          </w:tcPr>
          <w:p>
            <w:pPr>
              <w:spacing w:after="0"/>
              <w:rPr>
                <w:sz w:val="19"/>
                <w:szCs w:val="19"/>
                <w:color w:val="auto"/>
              </w:rPr>
            </w:pPr>
          </w:p>
        </w:tc>
        <w:tc>
          <w:tcPr>
            <w:tcW w:w="1020" w:type="dxa"/>
            <w:vAlign w:val="bottom"/>
            <w:tcBorders>
              <w:bottom w:val="single" w:sz="8" w:color="808080"/>
            </w:tcBorders>
            <w:gridSpan w:val="2"/>
            <w:shd w:val="clear" w:color="auto" w:fill="CCEEFF"/>
          </w:tcPr>
          <w:p>
            <w:pPr>
              <w:jc w:val="right"/>
              <w:spacing w:after="0"/>
              <w:rPr>
                <w:sz w:val="20"/>
                <w:szCs w:val="20"/>
                <w:color w:val="auto"/>
              </w:rPr>
            </w:pPr>
            <w:r>
              <w:rPr>
                <w:rFonts w:ascii="Arial" w:cs="Arial" w:eastAsia="Arial" w:hAnsi="Arial"/>
                <w:sz w:val="16"/>
                <w:szCs w:val="16"/>
                <w:color w:val="auto"/>
              </w:rPr>
              <w:t>92,878,662</w:t>
            </w:r>
          </w:p>
        </w:tc>
      </w:tr>
    </w:tbl>
    <w:p>
      <w:pPr>
        <w:spacing w:after="0" w:line="161" w:lineRule="exact"/>
        <w:rPr>
          <w:sz w:val="20"/>
          <w:szCs w:val="20"/>
          <w:color w:val="auto"/>
        </w:rPr>
      </w:pPr>
    </w:p>
    <w:p>
      <w:pPr>
        <w:jc w:val="both"/>
        <w:ind w:left="100" w:right="99"/>
        <w:spacing w:after="0" w:line="213" w:lineRule="auto"/>
        <w:rPr>
          <w:sz w:val="20"/>
          <w:szCs w:val="20"/>
          <w:color w:val="auto"/>
        </w:rPr>
      </w:pPr>
      <w:r>
        <w:rPr>
          <w:rFonts w:ascii="Arial" w:cs="Arial" w:eastAsia="Arial" w:hAnsi="Arial"/>
          <w:sz w:val="18"/>
          <w:szCs w:val="18"/>
          <w:color w:val="auto"/>
        </w:rPr>
        <w:t>Management's assessments of market conditions and other pertinent factors guide the timing and volume of all repurchases. We expect to fund any share repurchases under this program through cash generated from operations, the sale or lease of various operating and non-operating properties, debt issuances, and cash on hand. Repurchased shares are recorded in treasury stock at cost, which includes any applicable commissions and fees.</w:t>
      </w:r>
    </w:p>
    <w:p>
      <w:pPr>
        <w:spacing w:after="0" w:line="135" w:lineRule="exact"/>
        <w:rPr>
          <w:sz w:val="20"/>
          <w:szCs w:val="20"/>
          <w:color w:val="auto"/>
        </w:rPr>
      </w:pPr>
    </w:p>
    <w:p>
      <w:pPr>
        <w:jc w:val="both"/>
        <w:ind w:left="100" w:right="99"/>
        <w:spacing w:after="0" w:line="227" w:lineRule="auto"/>
        <w:rPr>
          <w:sz w:val="20"/>
          <w:szCs w:val="20"/>
          <w:color w:val="auto"/>
        </w:rPr>
      </w:pPr>
      <w:r>
        <w:rPr>
          <w:rFonts w:ascii="Arial" w:cs="Arial" w:eastAsia="Arial" w:hAnsi="Arial"/>
          <w:sz w:val="18"/>
          <w:szCs w:val="18"/>
          <w:color w:val="auto"/>
        </w:rPr>
        <w:t>From October 1, 2017, through October 25, 2017, we repurchased 3.15 million shares at an aggregate cost of approximately $356 million.</w:t>
      </w:r>
    </w:p>
    <w:p>
      <w:pPr>
        <w:spacing w:after="0" w:line="11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Off-Balance Sheet Arrangements, Contractual Obligations, and Commercial Commitments</w:t>
      </w:r>
    </w:p>
    <w:p>
      <w:pPr>
        <w:spacing w:after="0" w:line="166" w:lineRule="exact"/>
        <w:rPr>
          <w:sz w:val="20"/>
          <w:szCs w:val="20"/>
          <w:color w:val="auto"/>
        </w:rPr>
      </w:pPr>
    </w:p>
    <w:p>
      <w:pPr>
        <w:jc w:val="both"/>
        <w:ind w:left="100" w:right="99"/>
        <w:spacing w:after="0" w:line="208" w:lineRule="auto"/>
        <w:rPr>
          <w:sz w:val="20"/>
          <w:szCs w:val="20"/>
          <w:color w:val="auto"/>
        </w:rPr>
      </w:pPr>
      <w:r>
        <w:rPr>
          <w:rFonts w:ascii="Arial" w:cs="Arial" w:eastAsia="Arial" w:hAnsi="Arial"/>
          <w:sz w:val="18"/>
          <w:szCs w:val="18"/>
          <w:color w:val="auto"/>
        </w:rPr>
        <w:t>As described in the notes to the Condensed Consolidated Financial Statements and as referenced in the tables below, we have contractual obligations and commercial commitments that may affect our financial condition. However, based on our assessment of the underlying provisions and circumstances of our contractual obligations and commercial commitments, including material sources of off-balance sheet and structured finance arrangements, there is no known trend, demand, commitment, event, or uncertainty that is reasonably likely to occur that would have a material adverse effect on our consolidated results of operations, financial condition, or liquidity. In addition, our commercial obligations, financings, and commitments are customary transactions that are similar to those of other comparable corporations, particularly within the transportation industry.</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45085</wp:posOffset>
            </wp:positionV>
            <wp:extent cx="5642610" cy="514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2" w:name="page33"/>
    <w:bookmarkEnd w:id="32"/>
    <w:p>
      <w:pPr>
        <w:ind w:left="10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6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following tables identify material obligations and commitments as of September 30, 2017:</w:t>
      </w:r>
    </w:p>
    <w:p>
      <w:pPr>
        <w:spacing w:after="0" w:line="84" w:lineRule="exact"/>
        <w:rPr>
          <w:sz w:val="20"/>
          <w:szCs w:val="20"/>
          <w:color w:val="auto"/>
        </w:rPr>
      </w:pPr>
    </w:p>
    <w:tbl>
      <w:tblPr>
        <w:tblLayout w:type="fixed"/>
        <w:tblInd w:w="100" w:type="dxa"/>
        <w:tblCellMar>
          <w:top w:w="0" w:type="dxa"/>
          <w:left w:w="0" w:type="dxa"/>
          <w:bottom w:w="0" w:type="dxa"/>
          <w:right w:w="0" w:type="dxa"/>
        </w:tblCellMar>
      </w:tblPr>
      <w:tr>
        <w:trPr>
          <w:trHeight w:val="237"/>
        </w:trPr>
        <w:tc>
          <w:tcPr>
            <w:tcW w:w="2380" w:type="dxa"/>
            <w:vAlign w:val="bottom"/>
            <w:tcBorders>
              <w:top w:val="single" w:sz="8" w:color="7F7F7F"/>
            </w:tcBorders>
          </w:tcPr>
          <w:p>
            <w:pPr>
              <w:spacing w:after="0"/>
              <w:rPr>
                <w:sz w:val="20"/>
                <w:szCs w:val="20"/>
                <w:color w:val="auto"/>
              </w:rPr>
            </w:pPr>
          </w:p>
        </w:tc>
        <w:tc>
          <w:tcPr>
            <w:tcW w:w="200" w:type="dxa"/>
            <w:vAlign w:val="bottom"/>
            <w:tcBorders>
              <w:top w:val="single" w:sz="8" w:color="7F7F7F"/>
            </w:tcBorders>
          </w:tcPr>
          <w:p>
            <w:pPr>
              <w:spacing w:after="0"/>
              <w:rPr>
                <w:sz w:val="20"/>
                <w:szCs w:val="20"/>
                <w:color w:val="auto"/>
              </w:rPr>
            </w:pPr>
          </w:p>
        </w:tc>
        <w:tc>
          <w:tcPr>
            <w:tcW w:w="680" w:type="dxa"/>
            <w:vAlign w:val="bottom"/>
            <w:tcBorders>
              <w:top w:val="single" w:sz="8" w:color="7F7F7F"/>
            </w:tcBorders>
          </w:tcPr>
          <w:p>
            <w:pPr>
              <w:spacing w:after="0"/>
              <w:rPr>
                <w:sz w:val="20"/>
                <w:szCs w:val="20"/>
                <w:color w:val="auto"/>
              </w:rPr>
            </w:pPr>
          </w:p>
        </w:tc>
        <w:tc>
          <w:tcPr>
            <w:tcW w:w="140" w:type="dxa"/>
            <w:vAlign w:val="bottom"/>
            <w:tcBorders>
              <w:top w:val="single" w:sz="8" w:color="7F7F7F"/>
            </w:tcBorders>
          </w:tcPr>
          <w:p>
            <w:pPr>
              <w:spacing w:after="0"/>
              <w:rPr>
                <w:sz w:val="20"/>
                <w:szCs w:val="20"/>
                <w:color w:val="auto"/>
              </w:rPr>
            </w:pPr>
          </w:p>
        </w:tc>
        <w:tc>
          <w:tcPr>
            <w:tcW w:w="620" w:type="dxa"/>
            <w:vAlign w:val="bottom"/>
            <w:tcBorders>
              <w:top w:val="single" w:sz="8" w:color="7F7F7F"/>
            </w:tcBorders>
          </w:tcPr>
          <w:p>
            <w:pPr>
              <w:jc w:val="right"/>
              <w:spacing w:after="0"/>
              <w:rPr>
                <w:sz w:val="20"/>
                <w:szCs w:val="20"/>
                <w:color w:val="auto"/>
              </w:rPr>
            </w:pPr>
            <w:r>
              <w:rPr>
                <w:rFonts w:ascii="Arial" w:cs="Arial" w:eastAsia="Arial" w:hAnsi="Arial"/>
                <w:sz w:val="16"/>
                <w:szCs w:val="16"/>
                <w:i w:val="1"/>
                <w:iCs w:val="1"/>
                <w:color w:val="auto"/>
              </w:rPr>
              <w:t>Oct. 1</w:t>
            </w:r>
          </w:p>
        </w:tc>
        <w:tc>
          <w:tcPr>
            <w:tcW w:w="40" w:type="dxa"/>
            <w:vAlign w:val="bottom"/>
            <w:tcBorders>
              <w:top w:val="single" w:sz="8" w:color="7F7F7F"/>
              <w:bottom w:val="single" w:sz="8" w:color="7F7F7F"/>
            </w:tcBorders>
          </w:tcPr>
          <w:p>
            <w:pPr>
              <w:spacing w:after="0"/>
              <w:rPr>
                <w:sz w:val="20"/>
                <w:szCs w:val="20"/>
                <w:color w:val="auto"/>
              </w:rPr>
            </w:pPr>
          </w:p>
        </w:tc>
        <w:tc>
          <w:tcPr>
            <w:tcW w:w="240" w:type="dxa"/>
            <w:vAlign w:val="bottom"/>
            <w:tcBorders>
              <w:top w:val="single" w:sz="8" w:color="7F7F7F"/>
              <w:bottom w:val="single" w:sz="8" w:color="7F7F7F"/>
            </w:tcBorders>
          </w:tcPr>
          <w:p>
            <w:pPr>
              <w:spacing w:after="0"/>
              <w:rPr>
                <w:sz w:val="20"/>
                <w:szCs w:val="20"/>
                <w:color w:val="auto"/>
              </w:rPr>
            </w:pPr>
          </w:p>
        </w:tc>
        <w:tc>
          <w:tcPr>
            <w:tcW w:w="560" w:type="dxa"/>
            <w:vAlign w:val="bottom"/>
            <w:tcBorders>
              <w:top w:val="single" w:sz="8" w:color="7F7F7F"/>
              <w:bottom w:val="single" w:sz="8" w:color="7F7F7F"/>
            </w:tcBorders>
          </w:tcPr>
          <w:p>
            <w:pPr>
              <w:spacing w:after="0"/>
              <w:rPr>
                <w:sz w:val="20"/>
                <w:szCs w:val="20"/>
                <w:color w:val="auto"/>
              </w:rPr>
            </w:pPr>
          </w:p>
        </w:tc>
        <w:tc>
          <w:tcPr>
            <w:tcW w:w="240" w:type="dxa"/>
            <w:vAlign w:val="bottom"/>
            <w:tcBorders>
              <w:top w:val="single" w:sz="8" w:color="7F7F7F"/>
              <w:bottom w:val="single" w:sz="8" w:color="7F7F7F"/>
            </w:tcBorders>
          </w:tcPr>
          <w:p>
            <w:pPr>
              <w:spacing w:after="0"/>
              <w:rPr>
                <w:sz w:val="20"/>
                <w:szCs w:val="20"/>
                <w:color w:val="auto"/>
              </w:rPr>
            </w:pPr>
          </w:p>
        </w:tc>
        <w:tc>
          <w:tcPr>
            <w:tcW w:w="2380" w:type="dxa"/>
            <w:vAlign w:val="bottom"/>
            <w:tcBorders>
              <w:top w:val="single" w:sz="8" w:color="7F7F7F"/>
              <w:bottom w:val="single" w:sz="8" w:color="7F7F7F"/>
            </w:tcBorders>
            <w:gridSpan w:val="6"/>
          </w:tcPr>
          <w:p>
            <w:pPr>
              <w:jc w:val="right"/>
              <w:ind w:right="19"/>
              <w:spacing w:after="0"/>
              <w:rPr>
                <w:sz w:val="20"/>
                <w:szCs w:val="20"/>
                <w:color w:val="auto"/>
              </w:rPr>
            </w:pPr>
            <w:r>
              <w:rPr>
                <w:rFonts w:ascii="Arial" w:cs="Arial" w:eastAsia="Arial" w:hAnsi="Arial"/>
                <w:sz w:val="16"/>
                <w:szCs w:val="16"/>
                <w:i w:val="1"/>
                <w:iCs w:val="1"/>
                <w:color w:val="auto"/>
              </w:rPr>
              <w:t>Payments Due by Dec. 31,</w:t>
            </w:r>
          </w:p>
        </w:tc>
        <w:tc>
          <w:tcPr>
            <w:tcW w:w="660" w:type="dxa"/>
            <w:vAlign w:val="bottom"/>
            <w:tcBorders>
              <w:top w:val="single" w:sz="8" w:color="7F7F7F"/>
              <w:bottom w:val="single" w:sz="8" w:color="7F7F7F"/>
            </w:tcBorders>
          </w:tcPr>
          <w:p>
            <w:pPr>
              <w:spacing w:after="0"/>
              <w:rPr>
                <w:sz w:val="20"/>
                <w:szCs w:val="20"/>
                <w:color w:val="auto"/>
              </w:rPr>
            </w:pPr>
          </w:p>
        </w:tc>
        <w:tc>
          <w:tcPr>
            <w:tcW w:w="200" w:type="dxa"/>
            <w:vAlign w:val="bottom"/>
            <w:tcBorders>
              <w:top w:val="single" w:sz="8" w:color="7F7F7F"/>
              <w:bottom w:val="single" w:sz="8" w:color="7F7F7F"/>
            </w:tcBorders>
          </w:tcPr>
          <w:p>
            <w:pPr>
              <w:spacing w:after="0"/>
              <w:rPr>
                <w:sz w:val="20"/>
                <w:szCs w:val="20"/>
                <w:color w:val="auto"/>
              </w:rPr>
            </w:pPr>
          </w:p>
        </w:tc>
        <w:tc>
          <w:tcPr>
            <w:tcW w:w="480" w:type="dxa"/>
            <w:vAlign w:val="bottom"/>
            <w:tcBorders>
              <w:top w:val="single" w:sz="8" w:color="7F7F7F"/>
              <w:bottom w:val="single" w:sz="8" w:color="7F7F7F"/>
            </w:tcBorders>
          </w:tcPr>
          <w:p>
            <w:pPr>
              <w:spacing w:after="0"/>
              <w:rPr>
                <w:sz w:val="20"/>
                <w:szCs w:val="20"/>
                <w:color w:val="auto"/>
              </w:rPr>
            </w:pPr>
          </w:p>
        </w:tc>
      </w:tr>
      <w:tr>
        <w:trPr>
          <w:trHeight w:val="224"/>
        </w:trPr>
        <w:tc>
          <w:tcPr>
            <w:tcW w:w="2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6"/>
                <w:szCs w:val="16"/>
                <w:i w:val="1"/>
                <w:iCs w:val="1"/>
                <w:color w:val="auto"/>
              </w:rPr>
              <w:t>through</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194"/>
        </w:trPr>
        <w:tc>
          <w:tcPr>
            <w:tcW w:w="2380" w:type="dxa"/>
            <w:vAlign w:val="bottom"/>
          </w:tcPr>
          <w:p>
            <w:pPr>
              <w:spacing w:after="0"/>
              <w:rPr>
                <w:sz w:val="20"/>
                <w:szCs w:val="20"/>
                <w:color w:val="auto"/>
              </w:rPr>
            </w:pPr>
            <w:r>
              <w:rPr>
                <w:rFonts w:ascii="Arial" w:cs="Arial" w:eastAsia="Arial" w:hAnsi="Arial"/>
                <w:sz w:val="16"/>
                <w:szCs w:val="16"/>
                <w:b w:val="1"/>
                <w:bCs w:val="1"/>
                <w:i w:val="1"/>
                <w:iCs w:val="1"/>
                <w:color w:val="auto"/>
              </w:rPr>
              <w:t>Contractual Obligations</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6"/>
                <w:szCs w:val="16"/>
                <w:i w:val="1"/>
                <w:iCs w:val="1"/>
                <w:color w:val="auto"/>
              </w:rPr>
              <w:t>Dec. 31,</w:t>
            </w: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i w:val="1"/>
                <w:iCs w:val="1"/>
                <w:color w:val="auto"/>
              </w:rPr>
              <w:t>After</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10"/>
        </w:trPr>
        <w:tc>
          <w:tcPr>
            <w:tcW w:w="2380" w:type="dxa"/>
            <w:vAlign w:val="bottom"/>
            <w:tcBorders>
              <w:bottom w:val="single" w:sz="8" w:color="7F7F7F"/>
            </w:tcBorders>
          </w:tcPr>
          <w:p>
            <w:pPr>
              <w:spacing w:after="0"/>
              <w:rPr>
                <w:sz w:val="20"/>
                <w:szCs w:val="20"/>
                <w:color w:val="auto"/>
              </w:rPr>
            </w:pPr>
            <w:r>
              <w:rPr>
                <w:rFonts w:ascii="Arial" w:cs="Arial" w:eastAsia="Arial" w:hAnsi="Arial"/>
                <w:sz w:val="16"/>
                <w:szCs w:val="16"/>
                <w:i w:val="1"/>
                <w:iCs w:val="1"/>
                <w:color w:val="auto"/>
              </w:rPr>
              <w:t>Millions</w:t>
            </w:r>
          </w:p>
        </w:tc>
        <w:tc>
          <w:tcPr>
            <w:tcW w:w="200" w:type="dxa"/>
            <w:vAlign w:val="bottom"/>
            <w:tcBorders>
              <w:bottom w:val="single" w:sz="8" w:color="7F7F7F"/>
            </w:tcBorders>
          </w:tcPr>
          <w:p>
            <w:pPr>
              <w:spacing w:after="0"/>
              <w:rPr>
                <w:sz w:val="18"/>
                <w:szCs w:val="18"/>
                <w:color w:val="auto"/>
              </w:rPr>
            </w:pPr>
          </w:p>
        </w:tc>
        <w:tc>
          <w:tcPr>
            <w:tcW w:w="68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Total</w:t>
            </w:r>
          </w:p>
        </w:tc>
        <w:tc>
          <w:tcPr>
            <w:tcW w:w="140" w:type="dxa"/>
            <w:vAlign w:val="bottom"/>
            <w:tcBorders>
              <w:bottom w:val="single" w:sz="8" w:color="7F7F7F"/>
            </w:tcBorders>
          </w:tcPr>
          <w:p>
            <w:pPr>
              <w:spacing w:after="0"/>
              <w:rPr>
                <w:sz w:val="18"/>
                <w:szCs w:val="18"/>
                <w:color w:val="auto"/>
              </w:rPr>
            </w:pPr>
          </w:p>
        </w:tc>
        <w:tc>
          <w:tcPr>
            <w:tcW w:w="62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2017</w:t>
            </w:r>
          </w:p>
        </w:tc>
        <w:tc>
          <w:tcPr>
            <w:tcW w:w="40" w:type="dxa"/>
            <w:vAlign w:val="bottom"/>
            <w:tcBorders>
              <w:bottom w:val="single" w:sz="8" w:color="7F7F7F"/>
            </w:tcBorders>
          </w:tcPr>
          <w:p>
            <w:pPr>
              <w:spacing w:after="0"/>
              <w:rPr>
                <w:sz w:val="18"/>
                <w:szCs w:val="18"/>
                <w:color w:val="auto"/>
              </w:rPr>
            </w:pPr>
          </w:p>
        </w:tc>
        <w:tc>
          <w:tcPr>
            <w:tcW w:w="240" w:type="dxa"/>
            <w:vAlign w:val="bottom"/>
            <w:tcBorders>
              <w:bottom w:val="single" w:sz="8" w:color="7F7F7F"/>
            </w:tcBorders>
          </w:tcPr>
          <w:p>
            <w:pPr>
              <w:spacing w:after="0"/>
              <w:rPr>
                <w:sz w:val="18"/>
                <w:szCs w:val="18"/>
                <w:color w:val="auto"/>
              </w:rPr>
            </w:pPr>
          </w:p>
        </w:tc>
        <w:tc>
          <w:tcPr>
            <w:tcW w:w="56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2018</w:t>
            </w:r>
          </w:p>
        </w:tc>
        <w:tc>
          <w:tcPr>
            <w:tcW w:w="240" w:type="dxa"/>
            <w:vAlign w:val="bottom"/>
            <w:tcBorders>
              <w:bottom w:val="single" w:sz="8" w:color="7F7F7F"/>
            </w:tcBorders>
          </w:tcPr>
          <w:p>
            <w:pPr>
              <w:spacing w:after="0"/>
              <w:rPr>
                <w:sz w:val="18"/>
                <w:szCs w:val="18"/>
                <w:color w:val="auto"/>
              </w:rPr>
            </w:pPr>
          </w:p>
        </w:tc>
        <w:tc>
          <w:tcPr>
            <w:tcW w:w="58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2019</w:t>
            </w:r>
          </w:p>
        </w:tc>
        <w:tc>
          <w:tcPr>
            <w:tcW w:w="220" w:type="dxa"/>
            <w:vAlign w:val="bottom"/>
            <w:tcBorders>
              <w:bottom w:val="single" w:sz="8" w:color="7F7F7F"/>
            </w:tcBorders>
          </w:tcPr>
          <w:p>
            <w:pPr>
              <w:spacing w:after="0"/>
              <w:rPr>
                <w:sz w:val="18"/>
                <w:szCs w:val="18"/>
                <w:color w:val="auto"/>
              </w:rPr>
            </w:pPr>
          </w:p>
        </w:tc>
        <w:tc>
          <w:tcPr>
            <w:tcW w:w="580" w:type="dxa"/>
            <w:vAlign w:val="bottom"/>
            <w:tcBorders>
              <w:bottom w:val="single" w:sz="8" w:color="7F7F7F"/>
            </w:tcBorders>
          </w:tcPr>
          <w:p>
            <w:pPr>
              <w:jc w:val="right"/>
              <w:ind w:right="19"/>
              <w:spacing w:after="0"/>
              <w:rPr>
                <w:sz w:val="20"/>
                <w:szCs w:val="20"/>
                <w:color w:val="auto"/>
              </w:rPr>
            </w:pPr>
            <w:r>
              <w:rPr>
                <w:rFonts w:ascii="Arial" w:cs="Arial" w:eastAsia="Arial" w:hAnsi="Arial"/>
                <w:sz w:val="16"/>
                <w:szCs w:val="16"/>
                <w:i w:val="1"/>
                <w:iCs w:val="1"/>
                <w:color w:val="auto"/>
              </w:rPr>
              <w:t>2020</w:t>
            </w:r>
          </w:p>
        </w:tc>
        <w:tc>
          <w:tcPr>
            <w:tcW w:w="200" w:type="dxa"/>
            <w:vAlign w:val="bottom"/>
            <w:tcBorders>
              <w:bottom w:val="single" w:sz="8" w:color="7F7F7F"/>
            </w:tcBorders>
          </w:tcPr>
          <w:p>
            <w:pPr>
              <w:spacing w:after="0"/>
              <w:rPr>
                <w:sz w:val="18"/>
                <w:szCs w:val="18"/>
                <w:color w:val="auto"/>
              </w:rPr>
            </w:pPr>
          </w:p>
        </w:tc>
        <w:tc>
          <w:tcPr>
            <w:tcW w:w="58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2021</w:t>
            </w:r>
          </w:p>
        </w:tc>
        <w:tc>
          <w:tcPr>
            <w:tcW w:w="220" w:type="dxa"/>
            <w:vAlign w:val="bottom"/>
            <w:tcBorders>
              <w:bottom w:val="single" w:sz="8" w:color="7F7F7F"/>
            </w:tcBorders>
          </w:tcPr>
          <w:p>
            <w:pPr>
              <w:spacing w:after="0"/>
              <w:rPr>
                <w:sz w:val="18"/>
                <w:szCs w:val="18"/>
                <w:color w:val="auto"/>
              </w:rPr>
            </w:pPr>
          </w:p>
        </w:tc>
        <w:tc>
          <w:tcPr>
            <w:tcW w:w="660" w:type="dxa"/>
            <w:vAlign w:val="bottom"/>
            <w:tcBorders>
              <w:bottom w:val="single" w:sz="8" w:color="7F7F7F"/>
            </w:tcBorders>
          </w:tcPr>
          <w:p>
            <w:pPr>
              <w:jc w:val="right"/>
              <w:ind w:right="19"/>
              <w:spacing w:after="0"/>
              <w:rPr>
                <w:sz w:val="20"/>
                <w:szCs w:val="20"/>
                <w:color w:val="auto"/>
              </w:rPr>
            </w:pPr>
            <w:r>
              <w:rPr>
                <w:rFonts w:ascii="Arial" w:cs="Arial" w:eastAsia="Arial" w:hAnsi="Arial"/>
                <w:sz w:val="16"/>
                <w:szCs w:val="16"/>
                <w:i w:val="1"/>
                <w:iCs w:val="1"/>
                <w:color w:val="auto"/>
              </w:rPr>
              <w:t>2021</w:t>
            </w:r>
          </w:p>
        </w:tc>
        <w:tc>
          <w:tcPr>
            <w:tcW w:w="200" w:type="dxa"/>
            <w:vAlign w:val="bottom"/>
            <w:tcBorders>
              <w:bottom w:val="single" w:sz="8" w:color="7F7F7F"/>
            </w:tcBorders>
          </w:tcPr>
          <w:p>
            <w:pPr>
              <w:spacing w:after="0"/>
              <w:rPr>
                <w:sz w:val="18"/>
                <w:szCs w:val="18"/>
                <w:color w:val="auto"/>
              </w:rPr>
            </w:pPr>
          </w:p>
        </w:tc>
        <w:tc>
          <w:tcPr>
            <w:tcW w:w="48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Other</w:t>
            </w:r>
          </w:p>
        </w:tc>
      </w:tr>
      <w:tr>
        <w:trPr>
          <w:trHeight w:val="203"/>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Debt [a]</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29,002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1,274</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1,314</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1,473</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1,098</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23,459</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380" w:type="dxa"/>
            <w:vAlign w:val="bottom"/>
          </w:tcPr>
          <w:p>
            <w:pPr>
              <w:spacing w:after="0"/>
              <w:rPr>
                <w:sz w:val="20"/>
                <w:szCs w:val="20"/>
                <w:color w:val="auto"/>
              </w:rPr>
            </w:pPr>
            <w:r>
              <w:rPr>
                <w:rFonts w:ascii="Arial" w:cs="Arial" w:eastAsia="Arial" w:hAnsi="Arial"/>
                <w:sz w:val="16"/>
                <w:szCs w:val="16"/>
                <w:color w:val="auto"/>
              </w:rPr>
              <w:t>Operating leases [b]</w:t>
            </w:r>
          </w:p>
        </w:tc>
        <w:tc>
          <w:tcPr>
            <w:tcW w:w="200" w:type="dxa"/>
            <w:vAlign w:val="bottom"/>
          </w:tcPr>
          <w:p>
            <w:pPr>
              <w:spacing w:after="0"/>
              <w:rPr>
                <w:sz w:val="18"/>
                <w:szCs w:val="18"/>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2,699</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68</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395</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357</w:t>
            </w:r>
          </w:p>
        </w:tc>
        <w:tc>
          <w:tcPr>
            <w:tcW w:w="220" w:type="dxa"/>
            <w:vAlign w:val="bottom"/>
          </w:tcPr>
          <w:p>
            <w:pPr>
              <w:spacing w:after="0"/>
              <w:rPr>
                <w:sz w:val="18"/>
                <w:szCs w:val="18"/>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294</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257</w:t>
            </w:r>
          </w:p>
        </w:tc>
        <w:tc>
          <w:tcPr>
            <w:tcW w:w="220" w:type="dxa"/>
            <w:vAlign w:val="bottom"/>
          </w:tcPr>
          <w:p>
            <w:pPr>
              <w:spacing w:after="0"/>
              <w:rPr>
                <w:sz w:val="18"/>
                <w:szCs w:val="18"/>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1,328</w:t>
            </w: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Capital lease obligations [c]</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1,068</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165</w:t>
            </w: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417</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380" w:type="dxa"/>
            <w:vAlign w:val="bottom"/>
          </w:tcPr>
          <w:p>
            <w:pPr>
              <w:spacing w:after="0"/>
              <w:rPr>
                <w:sz w:val="20"/>
                <w:szCs w:val="20"/>
                <w:color w:val="auto"/>
              </w:rPr>
            </w:pPr>
            <w:r>
              <w:rPr>
                <w:rFonts w:ascii="Arial" w:cs="Arial" w:eastAsia="Arial" w:hAnsi="Arial"/>
                <w:sz w:val="16"/>
                <w:szCs w:val="16"/>
                <w:color w:val="auto"/>
              </w:rPr>
              <w:t>Purchase obligations [d]</w:t>
            </w:r>
          </w:p>
        </w:tc>
        <w:tc>
          <w:tcPr>
            <w:tcW w:w="200" w:type="dxa"/>
            <w:vAlign w:val="bottom"/>
          </w:tcPr>
          <w:p>
            <w:pPr>
              <w:spacing w:after="0"/>
              <w:rPr>
                <w:sz w:val="18"/>
                <w:szCs w:val="18"/>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3,330</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811</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1,440</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383</w:t>
            </w:r>
          </w:p>
        </w:tc>
        <w:tc>
          <w:tcPr>
            <w:tcW w:w="220" w:type="dxa"/>
            <w:vAlign w:val="bottom"/>
          </w:tcPr>
          <w:p>
            <w:pPr>
              <w:spacing w:after="0"/>
              <w:rPr>
                <w:sz w:val="18"/>
                <w:szCs w:val="18"/>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311</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246</w:t>
            </w:r>
          </w:p>
        </w:tc>
        <w:tc>
          <w:tcPr>
            <w:tcW w:w="220" w:type="dxa"/>
            <w:vAlign w:val="bottom"/>
          </w:tcPr>
          <w:p>
            <w:pPr>
              <w:spacing w:after="0"/>
              <w:rPr>
                <w:sz w:val="18"/>
                <w:szCs w:val="18"/>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107</w:t>
            </w: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19"/>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Other postretirement benefits [e]</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430</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230</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238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Income tax contingencies [f]</w:t>
            </w:r>
          </w:p>
        </w:tc>
        <w:tc>
          <w:tcPr>
            <w:tcW w:w="200" w:type="dxa"/>
            <w:vAlign w:val="bottom"/>
            <w:tcBorders>
              <w:bottom w:val="single" w:sz="8" w:color="7F7F7F"/>
            </w:tcBorders>
          </w:tcPr>
          <w:p>
            <w:pPr>
              <w:spacing w:after="0"/>
              <w:rPr>
                <w:sz w:val="18"/>
                <w:szCs w:val="18"/>
                <w:color w:val="auto"/>
              </w:rPr>
            </w:pPr>
          </w:p>
        </w:tc>
        <w:tc>
          <w:tcPr>
            <w:tcW w:w="680" w:type="dxa"/>
            <w:vAlign w:val="bottom"/>
            <w:tcBorders>
              <w:bottom w:val="single" w:sz="8" w:color="7F7F7F"/>
            </w:tcBorders>
          </w:tcPr>
          <w:p>
            <w:pPr>
              <w:jc w:val="right"/>
              <w:ind w:right="19"/>
              <w:spacing w:after="0"/>
              <w:rPr>
                <w:sz w:val="20"/>
                <w:szCs w:val="20"/>
                <w:color w:val="auto"/>
              </w:rPr>
            </w:pPr>
            <w:r>
              <w:rPr>
                <w:rFonts w:ascii="Arial" w:cs="Arial" w:eastAsia="Arial" w:hAnsi="Arial"/>
                <w:sz w:val="16"/>
                <w:szCs w:val="16"/>
                <w:color w:val="auto"/>
              </w:rPr>
              <w:t>170</w:t>
            </w:r>
          </w:p>
        </w:tc>
        <w:tc>
          <w:tcPr>
            <w:tcW w:w="140" w:type="dxa"/>
            <w:vAlign w:val="bottom"/>
            <w:tcBorders>
              <w:bottom w:val="single" w:sz="8" w:color="7F7F7F"/>
            </w:tcBorders>
          </w:tcPr>
          <w:p>
            <w:pPr>
              <w:spacing w:after="0"/>
              <w:rPr>
                <w:sz w:val="18"/>
                <w:szCs w:val="18"/>
                <w:color w:val="auto"/>
              </w:rPr>
            </w:pPr>
          </w:p>
        </w:tc>
        <w:tc>
          <w:tcPr>
            <w:tcW w:w="6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7F7F7F"/>
            </w:tcBorders>
          </w:tcPr>
          <w:p>
            <w:pPr>
              <w:spacing w:after="0"/>
              <w:rPr>
                <w:sz w:val="18"/>
                <w:szCs w:val="18"/>
                <w:color w:val="auto"/>
              </w:rPr>
            </w:pPr>
          </w:p>
        </w:tc>
        <w:tc>
          <w:tcPr>
            <w:tcW w:w="240" w:type="dxa"/>
            <w:vAlign w:val="bottom"/>
            <w:tcBorders>
              <w:bottom w:val="single" w:sz="8" w:color="7F7F7F"/>
            </w:tcBorders>
          </w:tcPr>
          <w:p>
            <w:pPr>
              <w:spacing w:after="0"/>
              <w:rPr>
                <w:sz w:val="18"/>
                <w:szCs w:val="18"/>
                <w:color w:val="auto"/>
              </w:rPr>
            </w:pPr>
          </w:p>
        </w:tc>
        <w:tc>
          <w:tcPr>
            <w:tcW w:w="5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12</w:t>
            </w:r>
          </w:p>
        </w:tc>
        <w:tc>
          <w:tcPr>
            <w:tcW w:w="240" w:type="dxa"/>
            <w:vAlign w:val="bottom"/>
            <w:tcBorders>
              <w:bottom w:val="single" w:sz="8" w:color="7F7F7F"/>
            </w:tcBorders>
          </w:tcPr>
          <w:p>
            <w:pPr>
              <w:spacing w:after="0"/>
              <w:rPr>
                <w:sz w:val="18"/>
                <w:szCs w:val="18"/>
                <w:color w:val="auto"/>
              </w:rPr>
            </w:pPr>
          </w:p>
        </w:tc>
        <w:tc>
          <w:tcPr>
            <w:tcW w:w="58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7F7F7F"/>
            </w:tcBorders>
          </w:tcPr>
          <w:p>
            <w:pPr>
              <w:spacing w:after="0"/>
              <w:rPr>
                <w:sz w:val="18"/>
                <w:szCs w:val="18"/>
                <w:color w:val="auto"/>
              </w:rPr>
            </w:pPr>
          </w:p>
        </w:tc>
        <w:tc>
          <w:tcPr>
            <w:tcW w:w="58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7F7F7F"/>
            </w:tcBorders>
          </w:tcPr>
          <w:p>
            <w:pPr>
              <w:spacing w:after="0"/>
              <w:rPr>
                <w:sz w:val="18"/>
                <w:szCs w:val="18"/>
                <w:color w:val="auto"/>
              </w:rPr>
            </w:pPr>
          </w:p>
        </w:tc>
        <w:tc>
          <w:tcPr>
            <w:tcW w:w="58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7F7F7F"/>
            </w:tcBorders>
          </w:tcPr>
          <w:p>
            <w:pPr>
              <w:spacing w:after="0"/>
              <w:rPr>
                <w:sz w:val="18"/>
                <w:szCs w:val="18"/>
                <w:color w:val="auto"/>
              </w:rPr>
            </w:pPr>
          </w:p>
        </w:tc>
        <w:tc>
          <w:tcPr>
            <w:tcW w:w="6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7F7F7F"/>
            </w:tcBorders>
          </w:tcPr>
          <w:p>
            <w:pPr>
              <w:spacing w:after="0"/>
              <w:rPr>
                <w:sz w:val="18"/>
                <w:szCs w:val="18"/>
                <w:color w:val="auto"/>
              </w:rPr>
            </w:pPr>
          </w:p>
        </w:tc>
        <w:tc>
          <w:tcPr>
            <w:tcW w:w="48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158</w:t>
            </w:r>
          </w:p>
        </w:tc>
      </w:tr>
      <w:tr>
        <w:trPr>
          <w:trHeight w:val="264"/>
        </w:trPr>
        <w:tc>
          <w:tcPr>
            <w:tcW w:w="2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contractual obligations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36,699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1,293</w:t>
            </w: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3,338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2,290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25,541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w:t>
            </w:r>
          </w:p>
        </w:tc>
      </w:tr>
      <w:tr>
        <w:trPr>
          <w:trHeight w:val="54"/>
        </w:trPr>
        <w:tc>
          <w:tcPr>
            <w:tcW w:w="2380" w:type="dxa"/>
            <w:vAlign w:val="bottom"/>
            <w:shd w:val="clear" w:color="auto" w:fill="7F7F7F"/>
          </w:tcPr>
          <w:p>
            <w:pPr>
              <w:spacing w:after="0"/>
              <w:rPr>
                <w:sz w:val="4"/>
                <w:szCs w:val="4"/>
                <w:color w:val="auto"/>
              </w:rPr>
            </w:pPr>
          </w:p>
        </w:tc>
        <w:tc>
          <w:tcPr>
            <w:tcW w:w="200" w:type="dxa"/>
            <w:vAlign w:val="bottom"/>
            <w:shd w:val="clear" w:color="auto" w:fill="7F7F7F"/>
          </w:tcPr>
          <w:p>
            <w:pPr>
              <w:spacing w:after="0"/>
              <w:rPr>
                <w:sz w:val="4"/>
                <w:szCs w:val="4"/>
                <w:color w:val="auto"/>
              </w:rPr>
            </w:pPr>
          </w:p>
        </w:tc>
        <w:tc>
          <w:tcPr>
            <w:tcW w:w="680" w:type="dxa"/>
            <w:vAlign w:val="bottom"/>
            <w:shd w:val="clear" w:color="auto" w:fill="7F7F7F"/>
          </w:tcPr>
          <w:p>
            <w:pPr>
              <w:spacing w:after="0"/>
              <w:rPr>
                <w:sz w:val="4"/>
                <w:szCs w:val="4"/>
                <w:color w:val="auto"/>
              </w:rPr>
            </w:pPr>
          </w:p>
        </w:tc>
        <w:tc>
          <w:tcPr>
            <w:tcW w:w="140" w:type="dxa"/>
            <w:vAlign w:val="bottom"/>
            <w:shd w:val="clear" w:color="auto" w:fill="7F7F7F"/>
          </w:tcPr>
          <w:p>
            <w:pPr>
              <w:spacing w:after="0"/>
              <w:rPr>
                <w:sz w:val="4"/>
                <w:szCs w:val="4"/>
                <w:color w:val="auto"/>
              </w:rPr>
            </w:pPr>
          </w:p>
        </w:tc>
        <w:tc>
          <w:tcPr>
            <w:tcW w:w="620" w:type="dxa"/>
            <w:vAlign w:val="bottom"/>
            <w:shd w:val="clear" w:color="auto" w:fill="7F7F7F"/>
          </w:tcPr>
          <w:p>
            <w:pPr>
              <w:spacing w:after="0"/>
              <w:rPr>
                <w:sz w:val="4"/>
                <w:szCs w:val="4"/>
                <w:color w:val="auto"/>
              </w:rPr>
            </w:pPr>
          </w:p>
        </w:tc>
        <w:tc>
          <w:tcPr>
            <w:tcW w:w="40" w:type="dxa"/>
            <w:vAlign w:val="bottom"/>
            <w:shd w:val="clear" w:color="auto" w:fill="7F7F7F"/>
          </w:tcPr>
          <w:p>
            <w:pPr>
              <w:spacing w:after="0"/>
              <w:rPr>
                <w:sz w:val="4"/>
                <w:szCs w:val="4"/>
                <w:color w:val="auto"/>
              </w:rPr>
            </w:pPr>
          </w:p>
        </w:tc>
        <w:tc>
          <w:tcPr>
            <w:tcW w:w="240" w:type="dxa"/>
            <w:vAlign w:val="bottom"/>
            <w:shd w:val="clear" w:color="auto" w:fill="7F7F7F"/>
          </w:tcPr>
          <w:p>
            <w:pPr>
              <w:spacing w:after="0"/>
              <w:rPr>
                <w:sz w:val="4"/>
                <w:szCs w:val="4"/>
                <w:color w:val="auto"/>
              </w:rPr>
            </w:pPr>
          </w:p>
        </w:tc>
        <w:tc>
          <w:tcPr>
            <w:tcW w:w="560" w:type="dxa"/>
            <w:vAlign w:val="bottom"/>
            <w:shd w:val="clear" w:color="auto" w:fill="7F7F7F"/>
          </w:tcPr>
          <w:p>
            <w:pPr>
              <w:spacing w:after="0"/>
              <w:rPr>
                <w:sz w:val="4"/>
                <w:szCs w:val="4"/>
                <w:color w:val="auto"/>
              </w:rPr>
            </w:pPr>
          </w:p>
        </w:tc>
        <w:tc>
          <w:tcPr>
            <w:tcW w:w="240" w:type="dxa"/>
            <w:vAlign w:val="bottom"/>
            <w:shd w:val="clear" w:color="auto" w:fill="7F7F7F"/>
          </w:tcPr>
          <w:p>
            <w:pPr>
              <w:spacing w:after="0"/>
              <w:rPr>
                <w:sz w:val="4"/>
                <w:szCs w:val="4"/>
                <w:color w:val="auto"/>
              </w:rPr>
            </w:pPr>
          </w:p>
        </w:tc>
        <w:tc>
          <w:tcPr>
            <w:tcW w:w="580" w:type="dxa"/>
            <w:vAlign w:val="bottom"/>
            <w:shd w:val="clear" w:color="auto" w:fill="7F7F7F"/>
          </w:tcPr>
          <w:p>
            <w:pPr>
              <w:spacing w:after="0"/>
              <w:rPr>
                <w:sz w:val="4"/>
                <w:szCs w:val="4"/>
                <w:color w:val="auto"/>
              </w:rPr>
            </w:pPr>
          </w:p>
        </w:tc>
        <w:tc>
          <w:tcPr>
            <w:tcW w:w="220" w:type="dxa"/>
            <w:vAlign w:val="bottom"/>
            <w:shd w:val="clear" w:color="auto" w:fill="7F7F7F"/>
          </w:tcPr>
          <w:p>
            <w:pPr>
              <w:spacing w:after="0"/>
              <w:rPr>
                <w:sz w:val="4"/>
                <w:szCs w:val="4"/>
                <w:color w:val="auto"/>
              </w:rPr>
            </w:pPr>
          </w:p>
        </w:tc>
        <w:tc>
          <w:tcPr>
            <w:tcW w:w="580" w:type="dxa"/>
            <w:vAlign w:val="bottom"/>
            <w:shd w:val="clear" w:color="auto" w:fill="7F7F7F"/>
          </w:tcPr>
          <w:p>
            <w:pPr>
              <w:spacing w:after="0"/>
              <w:rPr>
                <w:sz w:val="4"/>
                <w:szCs w:val="4"/>
                <w:color w:val="auto"/>
              </w:rPr>
            </w:pPr>
          </w:p>
        </w:tc>
        <w:tc>
          <w:tcPr>
            <w:tcW w:w="200" w:type="dxa"/>
            <w:vAlign w:val="bottom"/>
            <w:shd w:val="clear" w:color="auto" w:fill="7F7F7F"/>
          </w:tcPr>
          <w:p>
            <w:pPr>
              <w:spacing w:after="0"/>
              <w:rPr>
                <w:sz w:val="4"/>
                <w:szCs w:val="4"/>
                <w:color w:val="auto"/>
              </w:rPr>
            </w:pPr>
          </w:p>
        </w:tc>
        <w:tc>
          <w:tcPr>
            <w:tcW w:w="580" w:type="dxa"/>
            <w:vAlign w:val="bottom"/>
            <w:shd w:val="clear" w:color="auto" w:fill="7F7F7F"/>
          </w:tcPr>
          <w:p>
            <w:pPr>
              <w:spacing w:after="0"/>
              <w:rPr>
                <w:sz w:val="4"/>
                <w:szCs w:val="4"/>
                <w:color w:val="auto"/>
              </w:rPr>
            </w:pPr>
          </w:p>
        </w:tc>
        <w:tc>
          <w:tcPr>
            <w:tcW w:w="220" w:type="dxa"/>
            <w:vAlign w:val="bottom"/>
            <w:shd w:val="clear" w:color="auto" w:fill="7F7F7F"/>
          </w:tcPr>
          <w:p>
            <w:pPr>
              <w:spacing w:after="0"/>
              <w:rPr>
                <w:sz w:val="4"/>
                <w:szCs w:val="4"/>
                <w:color w:val="auto"/>
              </w:rPr>
            </w:pPr>
          </w:p>
        </w:tc>
        <w:tc>
          <w:tcPr>
            <w:tcW w:w="660" w:type="dxa"/>
            <w:vAlign w:val="bottom"/>
            <w:shd w:val="clear" w:color="auto" w:fill="7F7F7F"/>
          </w:tcPr>
          <w:p>
            <w:pPr>
              <w:spacing w:after="0"/>
              <w:rPr>
                <w:sz w:val="4"/>
                <w:szCs w:val="4"/>
                <w:color w:val="auto"/>
              </w:rPr>
            </w:pPr>
          </w:p>
        </w:tc>
        <w:tc>
          <w:tcPr>
            <w:tcW w:w="200" w:type="dxa"/>
            <w:vAlign w:val="bottom"/>
            <w:shd w:val="clear" w:color="auto" w:fill="7F7F7F"/>
          </w:tcPr>
          <w:p>
            <w:pPr>
              <w:spacing w:after="0"/>
              <w:rPr>
                <w:sz w:val="4"/>
                <w:szCs w:val="4"/>
                <w:color w:val="auto"/>
              </w:rPr>
            </w:pPr>
          </w:p>
        </w:tc>
        <w:tc>
          <w:tcPr>
            <w:tcW w:w="480" w:type="dxa"/>
            <w:vAlign w:val="bottom"/>
            <w:shd w:val="clear" w:color="auto" w:fill="7F7F7F"/>
          </w:tcPr>
          <w:p>
            <w:pPr>
              <w:spacing w:after="0"/>
              <w:rPr>
                <w:sz w:val="4"/>
                <w:szCs w:val="4"/>
                <w:color w:val="auto"/>
              </w:rPr>
            </w:pPr>
          </w:p>
        </w:tc>
      </w:tr>
    </w:tbl>
    <w:p>
      <w:pPr>
        <w:spacing w:after="0" w:line="153" w:lineRule="exact"/>
        <w:rPr>
          <w:sz w:val="20"/>
          <w:szCs w:val="20"/>
          <w:color w:val="auto"/>
        </w:rPr>
      </w:pPr>
    </w:p>
    <w:p>
      <w:pPr>
        <w:ind w:left="420" w:right="99" w:hanging="315"/>
        <w:spacing w:after="0" w:line="239" w:lineRule="auto"/>
        <w:tabs>
          <w:tab w:leader="none" w:pos="445"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Excludes capital lease obligations of $884 million, as well as unamortized discount and deferred issuance costs of ($897) million. Includes an interest component of $12,156 million.</w:t>
      </w:r>
    </w:p>
    <w:p>
      <w:pPr>
        <w:spacing w:after="0" w:line="3" w:lineRule="exact"/>
        <w:rPr>
          <w:rFonts w:ascii="Arial" w:cs="Arial" w:eastAsia="Arial" w:hAnsi="Arial"/>
          <w:sz w:val="14"/>
          <w:szCs w:val="14"/>
          <w:i w:val="1"/>
          <w:iCs w:val="1"/>
          <w:color w:val="auto"/>
        </w:rPr>
      </w:pPr>
    </w:p>
    <w:p>
      <w:pPr>
        <w:ind w:left="460" w:hanging="355"/>
        <w:spacing w:after="0"/>
        <w:tabs>
          <w:tab w:leader="none" w:pos="460"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Includes leases for locomotives, freight cars, other equipment, and real estate.</w:t>
      </w:r>
    </w:p>
    <w:p>
      <w:pPr>
        <w:spacing w:after="0" w:line="28" w:lineRule="exact"/>
        <w:rPr>
          <w:rFonts w:ascii="Arial" w:cs="Arial" w:eastAsia="Arial" w:hAnsi="Arial"/>
          <w:sz w:val="14"/>
          <w:szCs w:val="14"/>
          <w:i w:val="1"/>
          <w:iCs w:val="1"/>
          <w:color w:val="auto"/>
        </w:rPr>
      </w:pPr>
    </w:p>
    <w:p>
      <w:pPr>
        <w:ind w:left="440" w:hanging="335"/>
        <w:spacing w:after="0"/>
        <w:tabs>
          <w:tab w:leader="none" w:pos="440"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total obligations, including interest component of $184 million.</w:t>
      </w:r>
    </w:p>
    <w:p>
      <w:pPr>
        <w:spacing w:after="0" w:line="28" w:lineRule="exact"/>
        <w:rPr>
          <w:rFonts w:ascii="Arial" w:cs="Arial" w:eastAsia="Arial" w:hAnsi="Arial"/>
          <w:sz w:val="14"/>
          <w:szCs w:val="14"/>
          <w:i w:val="1"/>
          <w:iCs w:val="1"/>
          <w:color w:val="auto"/>
        </w:rPr>
      </w:pPr>
    </w:p>
    <w:p>
      <w:pPr>
        <w:jc w:val="both"/>
        <w:ind w:left="420" w:right="99" w:hanging="315"/>
        <w:spacing w:after="0" w:line="226" w:lineRule="auto"/>
        <w:tabs>
          <w:tab w:leader="none" w:pos="445"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Purchase obligations include locomotive maintenance contracts; purchase commitments for fuel purchases, locomotives, ties, ballast, and rail; and agreements to purchase other goods and services. For amounts where we cannot reasonably estimate the year of settlement, they are included in the Other column.</w:t>
      </w:r>
    </w:p>
    <w:p>
      <w:pPr>
        <w:spacing w:after="0" w:line="4" w:lineRule="exact"/>
        <w:rPr>
          <w:rFonts w:ascii="Arial" w:cs="Arial" w:eastAsia="Arial" w:hAnsi="Arial"/>
          <w:sz w:val="14"/>
          <w:szCs w:val="14"/>
          <w:i w:val="1"/>
          <w:iCs w:val="1"/>
          <w:color w:val="auto"/>
        </w:rPr>
      </w:pPr>
    </w:p>
    <w:p>
      <w:pPr>
        <w:ind w:left="420" w:right="99" w:hanging="315"/>
        <w:spacing w:after="0" w:line="239" w:lineRule="auto"/>
        <w:tabs>
          <w:tab w:leader="none" w:pos="445"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Includes estimated other postretirement, medical, and life insurance payments and payments made under the unfunded pension plan for the next ten years.</w:t>
      </w:r>
    </w:p>
    <w:p>
      <w:pPr>
        <w:spacing w:after="0" w:line="3" w:lineRule="exact"/>
        <w:rPr>
          <w:rFonts w:ascii="Arial" w:cs="Arial" w:eastAsia="Arial" w:hAnsi="Arial"/>
          <w:sz w:val="14"/>
          <w:szCs w:val="14"/>
          <w:i w:val="1"/>
          <w:iCs w:val="1"/>
          <w:color w:val="auto"/>
        </w:rPr>
      </w:pPr>
    </w:p>
    <w:p>
      <w:pPr>
        <w:jc w:val="both"/>
        <w:ind w:left="420" w:right="99" w:hanging="315"/>
        <w:spacing w:after="0" w:line="226" w:lineRule="auto"/>
        <w:tabs>
          <w:tab w:leader="none" w:pos="405"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Future cash flows for income tax contingencies reflect the recorded liabilities and assets for unrecognized tax benefits, including any interest or penalties, as of September 30, 2017. For amounts where the year of settlement is uncertain, they are included in the Other column.</w:t>
      </w:r>
    </w:p>
    <w:p>
      <w:pPr>
        <w:spacing w:after="0" w:line="129"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2760" w:type="dxa"/>
            <w:vAlign w:val="bottom"/>
            <w:tcBorders>
              <w:top w:val="single" w:sz="8" w:color="7F7F7F"/>
            </w:tcBorders>
          </w:tcPr>
          <w:p>
            <w:pPr>
              <w:spacing w:after="0"/>
              <w:rPr>
                <w:sz w:val="19"/>
                <w:szCs w:val="19"/>
                <w:color w:val="auto"/>
              </w:rPr>
            </w:pPr>
          </w:p>
        </w:tc>
        <w:tc>
          <w:tcPr>
            <w:tcW w:w="380" w:type="dxa"/>
            <w:vAlign w:val="bottom"/>
            <w:tcBorders>
              <w:top w:val="single" w:sz="8" w:color="7F7F7F"/>
            </w:tcBorders>
          </w:tcPr>
          <w:p>
            <w:pPr>
              <w:spacing w:after="0"/>
              <w:rPr>
                <w:sz w:val="19"/>
                <w:szCs w:val="19"/>
                <w:color w:val="auto"/>
              </w:rPr>
            </w:pPr>
          </w:p>
        </w:tc>
        <w:tc>
          <w:tcPr>
            <w:tcW w:w="640" w:type="dxa"/>
            <w:vAlign w:val="bottom"/>
            <w:tcBorders>
              <w:top w:val="single" w:sz="8" w:color="7F7F7F"/>
            </w:tcBorders>
          </w:tcPr>
          <w:p>
            <w:pPr>
              <w:spacing w:after="0"/>
              <w:rPr>
                <w:sz w:val="19"/>
                <w:szCs w:val="19"/>
                <w:color w:val="auto"/>
              </w:rPr>
            </w:pPr>
          </w:p>
        </w:tc>
        <w:tc>
          <w:tcPr>
            <w:tcW w:w="180" w:type="dxa"/>
            <w:vAlign w:val="bottom"/>
            <w:tcBorders>
              <w:top w:val="single" w:sz="8" w:color="7F7F7F"/>
            </w:tcBorders>
          </w:tcPr>
          <w:p>
            <w:pPr>
              <w:spacing w:after="0"/>
              <w:rPr>
                <w:sz w:val="19"/>
                <w:szCs w:val="19"/>
                <w:color w:val="auto"/>
              </w:rPr>
            </w:pPr>
          </w:p>
        </w:tc>
        <w:tc>
          <w:tcPr>
            <w:tcW w:w="700" w:type="dxa"/>
            <w:vAlign w:val="bottom"/>
            <w:tcBorders>
              <w:top w:val="single" w:sz="8" w:color="7F7F7F"/>
            </w:tcBorders>
          </w:tcPr>
          <w:p>
            <w:pPr>
              <w:jc w:val="right"/>
              <w:spacing w:after="0"/>
              <w:rPr>
                <w:sz w:val="20"/>
                <w:szCs w:val="20"/>
                <w:color w:val="auto"/>
              </w:rPr>
            </w:pPr>
            <w:r>
              <w:rPr>
                <w:rFonts w:ascii="Arial" w:cs="Arial" w:eastAsia="Arial" w:hAnsi="Arial"/>
                <w:sz w:val="16"/>
                <w:szCs w:val="16"/>
                <w:i w:val="1"/>
                <w:iCs w:val="1"/>
                <w:color w:val="auto"/>
              </w:rPr>
              <w:t>Oct. 1</w:t>
            </w:r>
          </w:p>
        </w:tc>
        <w:tc>
          <w:tcPr>
            <w:tcW w:w="280" w:type="dxa"/>
            <w:vAlign w:val="bottom"/>
            <w:tcBorders>
              <w:top w:val="single" w:sz="8" w:color="7F7F7F"/>
            </w:tcBorders>
          </w:tcPr>
          <w:p>
            <w:pPr>
              <w:spacing w:after="0"/>
              <w:rPr>
                <w:sz w:val="19"/>
                <w:szCs w:val="19"/>
                <w:color w:val="auto"/>
              </w:rPr>
            </w:pPr>
          </w:p>
        </w:tc>
        <w:tc>
          <w:tcPr>
            <w:tcW w:w="3460" w:type="dxa"/>
            <w:vAlign w:val="bottom"/>
            <w:tcBorders>
              <w:top w:val="single" w:sz="8" w:color="7F7F7F"/>
            </w:tcBorders>
            <w:gridSpan w:val="8"/>
          </w:tcPr>
          <w:p>
            <w:pPr>
              <w:jc w:val="right"/>
              <w:spacing w:after="0"/>
              <w:rPr>
                <w:sz w:val="20"/>
                <w:szCs w:val="20"/>
                <w:color w:val="auto"/>
              </w:rPr>
            </w:pPr>
            <w:r>
              <w:rPr>
                <w:rFonts w:ascii="Arial" w:cs="Arial" w:eastAsia="Arial" w:hAnsi="Arial"/>
                <w:sz w:val="16"/>
                <w:szCs w:val="16"/>
                <w:i w:val="1"/>
                <w:iCs w:val="1"/>
                <w:color w:val="auto"/>
              </w:rPr>
              <w:t>Amount of Commitment Expiration by Dec. 31,</w:t>
            </w:r>
          </w:p>
        </w:tc>
        <w:tc>
          <w:tcPr>
            <w:tcW w:w="420" w:type="dxa"/>
            <w:vAlign w:val="bottom"/>
            <w:tcBorders>
              <w:top w:val="single" w:sz="8" w:color="7F7F7F"/>
            </w:tcBorders>
          </w:tcPr>
          <w:p>
            <w:pPr>
              <w:spacing w:after="0"/>
              <w:rPr>
                <w:sz w:val="19"/>
                <w:szCs w:val="19"/>
                <w:color w:val="auto"/>
              </w:rPr>
            </w:pPr>
          </w:p>
        </w:tc>
      </w:tr>
      <w:tr>
        <w:trPr>
          <w:trHeight w:val="27"/>
        </w:trPr>
        <w:tc>
          <w:tcPr>
            <w:tcW w:w="2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Borders>
              <w:right w:val="single" w:sz="8" w:color="7F7F7F"/>
            </w:tcBorders>
          </w:tcPr>
          <w:p>
            <w:pPr>
              <w:spacing w:after="0"/>
              <w:rPr>
                <w:sz w:val="2"/>
                <w:szCs w:val="2"/>
                <w:color w:val="auto"/>
              </w:rPr>
            </w:pPr>
          </w:p>
        </w:tc>
        <w:tc>
          <w:tcPr>
            <w:tcW w:w="280" w:type="dxa"/>
            <w:vAlign w:val="bottom"/>
            <w:shd w:val="clear" w:color="auto" w:fill="7F7F7F"/>
          </w:tcPr>
          <w:p>
            <w:pPr>
              <w:spacing w:after="0"/>
              <w:rPr>
                <w:sz w:val="2"/>
                <w:szCs w:val="2"/>
                <w:color w:val="auto"/>
              </w:rPr>
            </w:pPr>
          </w:p>
        </w:tc>
        <w:tc>
          <w:tcPr>
            <w:tcW w:w="580" w:type="dxa"/>
            <w:vAlign w:val="bottom"/>
            <w:shd w:val="clear" w:color="auto" w:fill="7F7F7F"/>
          </w:tcPr>
          <w:p>
            <w:pPr>
              <w:spacing w:after="0"/>
              <w:rPr>
                <w:sz w:val="2"/>
                <w:szCs w:val="2"/>
                <w:color w:val="auto"/>
              </w:rPr>
            </w:pPr>
          </w:p>
        </w:tc>
        <w:tc>
          <w:tcPr>
            <w:tcW w:w="240" w:type="dxa"/>
            <w:vAlign w:val="bottom"/>
            <w:shd w:val="clear" w:color="auto" w:fill="7F7F7F"/>
          </w:tcPr>
          <w:p>
            <w:pPr>
              <w:spacing w:after="0"/>
              <w:rPr>
                <w:sz w:val="2"/>
                <w:szCs w:val="2"/>
                <w:color w:val="auto"/>
              </w:rPr>
            </w:pPr>
          </w:p>
        </w:tc>
        <w:tc>
          <w:tcPr>
            <w:tcW w:w="600" w:type="dxa"/>
            <w:vAlign w:val="bottom"/>
            <w:shd w:val="clear" w:color="auto" w:fill="7F7F7F"/>
          </w:tcPr>
          <w:p>
            <w:pPr>
              <w:spacing w:after="0"/>
              <w:rPr>
                <w:sz w:val="2"/>
                <w:szCs w:val="2"/>
                <w:color w:val="auto"/>
              </w:rPr>
            </w:pPr>
          </w:p>
        </w:tc>
        <w:tc>
          <w:tcPr>
            <w:tcW w:w="280" w:type="dxa"/>
            <w:vAlign w:val="bottom"/>
            <w:shd w:val="clear" w:color="auto" w:fill="7F7F7F"/>
          </w:tcPr>
          <w:p>
            <w:pPr>
              <w:spacing w:after="0"/>
              <w:rPr>
                <w:sz w:val="2"/>
                <w:szCs w:val="2"/>
                <w:color w:val="auto"/>
              </w:rPr>
            </w:pPr>
          </w:p>
        </w:tc>
        <w:tc>
          <w:tcPr>
            <w:tcW w:w="580" w:type="dxa"/>
            <w:vAlign w:val="bottom"/>
            <w:shd w:val="clear" w:color="auto" w:fill="7F7F7F"/>
          </w:tcPr>
          <w:p>
            <w:pPr>
              <w:spacing w:after="0"/>
              <w:rPr>
                <w:sz w:val="2"/>
                <w:szCs w:val="2"/>
                <w:color w:val="auto"/>
              </w:rPr>
            </w:pPr>
          </w:p>
        </w:tc>
        <w:tc>
          <w:tcPr>
            <w:tcW w:w="260" w:type="dxa"/>
            <w:vAlign w:val="bottom"/>
            <w:shd w:val="clear" w:color="auto" w:fill="7F7F7F"/>
          </w:tcPr>
          <w:p>
            <w:pPr>
              <w:spacing w:after="0"/>
              <w:rPr>
                <w:sz w:val="2"/>
                <w:szCs w:val="2"/>
                <w:color w:val="auto"/>
              </w:rPr>
            </w:pPr>
          </w:p>
        </w:tc>
        <w:tc>
          <w:tcPr>
            <w:tcW w:w="560" w:type="dxa"/>
            <w:vAlign w:val="bottom"/>
            <w:shd w:val="clear" w:color="auto" w:fill="7F7F7F"/>
          </w:tcPr>
          <w:p>
            <w:pPr>
              <w:spacing w:after="0"/>
              <w:rPr>
                <w:sz w:val="2"/>
                <w:szCs w:val="2"/>
                <w:color w:val="auto"/>
              </w:rPr>
            </w:pPr>
          </w:p>
        </w:tc>
        <w:tc>
          <w:tcPr>
            <w:tcW w:w="360" w:type="dxa"/>
            <w:vAlign w:val="bottom"/>
            <w:shd w:val="clear" w:color="auto" w:fill="7F7F7F"/>
          </w:tcPr>
          <w:p>
            <w:pPr>
              <w:spacing w:after="0"/>
              <w:rPr>
                <w:sz w:val="2"/>
                <w:szCs w:val="2"/>
                <w:color w:val="auto"/>
              </w:rPr>
            </w:pPr>
          </w:p>
        </w:tc>
        <w:tc>
          <w:tcPr>
            <w:tcW w:w="420" w:type="dxa"/>
            <w:vAlign w:val="bottom"/>
            <w:shd w:val="clear" w:color="auto" w:fill="7F7F7F"/>
          </w:tcPr>
          <w:p>
            <w:pPr>
              <w:spacing w:after="0"/>
              <w:rPr>
                <w:sz w:val="2"/>
                <w:szCs w:val="2"/>
                <w:color w:val="auto"/>
              </w:rPr>
            </w:pPr>
          </w:p>
        </w:tc>
      </w:tr>
      <w:tr>
        <w:trPr>
          <w:trHeight w:val="224"/>
        </w:trPr>
        <w:tc>
          <w:tcPr>
            <w:tcW w:w="2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i w:val="1"/>
                <w:iCs w:val="1"/>
                <w:color w:val="auto"/>
              </w:rPr>
              <w:t>through</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194"/>
        </w:trPr>
        <w:tc>
          <w:tcPr>
            <w:tcW w:w="2760" w:type="dxa"/>
            <w:vAlign w:val="bottom"/>
          </w:tcPr>
          <w:p>
            <w:pPr>
              <w:spacing w:after="0"/>
              <w:rPr>
                <w:sz w:val="20"/>
                <w:szCs w:val="20"/>
                <w:color w:val="auto"/>
              </w:rPr>
            </w:pPr>
            <w:r>
              <w:rPr>
                <w:rFonts w:ascii="Arial" w:cs="Arial" w:eastAsia="Arial" w:hAnsi="Arial"/>
                <w:sz w:val="16"/>
                <w:szCs w:val="16"/>
                <w:b w:val="1"/>
                <w:bCs w:val="1"/>
                <w:i w:val="1"/>
                <w:iCs w:val="1"/>
                <w:color w:val="auto"/>
              </w:rPr>
              <w:t>Other Commercial Commitments</w:t>
            </w: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i w:val="1"/>
                <w:iCs w:val="1"/>
                <w:color w:val="auto"/>
              </w:rPr>
              <w:t>Dec. 31,</w:t>
            </w: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i w:val="1"/>
                <w:iCs w:val="1"/>
                <w:color w:val="auto"/>
              </w:rPr>
              <w:t>After</w:t>
            </w:r>
          </w:p>
        </w:tc>
      </w:tr>
      <w:tr>
        <w:trPr>
          <w:trHeight w:val="210"/>
        </w:trPr>
        <w:tc>
          <w:tcPr>
            <w:tcW w:w="2760" w:type="dxa"/>
            <w:vAlign w:val="bottom"/>
            <w:tcBorders>
              <w:bottom w:val="single" w:sz="8" w:color="7F7F7F"/>
            </w:tcBorders>
          </w:tcPr>
          <w:p>
            <w:pPr>
              <w:spacing w:after="0"/>
              <w:rPr>
                <w:sz w:val="20"/>
                <w:szCs w:val="20"/>
                <w:color w:val="auto"/>
              </w:rPr>
            </w:pPr>
            <w:r>
              <w:rPr>
                <w:rFonts w:ascii="Arial" w:cs="Arial" w:eastAsia="Arial" w:hAnsi="Arial"/>
                <w:sz w:val="16"/>
                <w:szCs w:val="16"/>
                <w:i w:val="1"/>
                <w:iCs w:val="1"/>
                <w:color w:val="auto"/>
              </w:rPr>
              <w:t>Millions</w:t>
            </w:r>
          </w:p>
        </w:tc>
        <w:tc>
          <w:tcPr>
            <w:tcW w:w="380" w:type="dxa"/>
            <w:vAlign w:val="bottom"/>
            <w:tcBorders>
              <w:bottom w:val="single" w:sz="8" w:color="7F7F7F"/>
            </w:tcBorders>
          </w:tcPr>
          <w:p>
            <w:pPr>
              <w:spacing w:after="0"/>
              <w:rPr>
                <w:sz w:val="18"/>
                <w:szCs w:val="18"/>
                <w:color w:val="auto"/>
              </w:rPr>
            </w:pPr>
          </w:p>
        </w:tc>
        <w:tc>
          <w:tcPr>
            <w:tcW w:w="64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Total</w:t>
            </w:r>
          </w:p>
        </w:tc>
        <w:tc>
          <w:tcPr>
            <w:tcW w:w="180" w:type="dxa"/>
            <w:vAlign w:val="bottom"/>
            <w:tcBorders>
              <w:bottom w:val="single" w:sz="8" w:color="7F7F7F"/>
            </w:tcBorders>
          </w:tcPr>
          <w:p>
            <w:pPr>
              <w:spacing w:after="0"/>
              <w:rPr>
                <w:sz w:val="18"/>
                <w:szCs w:val="18"/>
                <w:color w:val="auto"/>
              </w:rPr>
            </w:pPr>
          </w:p>
        </w:tc>
        <w:tc>
          <w:tcPr>
            <w:tcW w:w="700" w:type="dxa"/>
            <w:vAlign w:val="bottom"/>
            <w:tcBorders>
              <w:bottom w:val="single" w:sz="8" w:color="7F7F7F"/>
            </w:tcBorders>
          </w:tcPr>
          <w:p>
            <w:pPr>
              <w:jc w:val="right"/>
              <w:ind w:right="19"/>
              <w:spacing w:after="0"/>
              <w:rPr>
                <w:sz w:val="20"/>
                <w:szCs w:val="20"/>
                <w:color w:val="auto"/>
              </w:rPr>
            </w:pPr>
            <w:r>
              <w:rPr>
                <w:rFonts w:ascii="Arial" w:cs="Arial" w:eastAsia="Arial" w:hAnsi="Arial"/>
                <w:sz w:val="16"/>
                <w:szCs w:val="16"/>
                <w:i w:val="1"/>
                <w:iCs w:val="1"/>
                <w:color w:val="auto"/>
              </w:rPr>
              <w:t>2017</w:t>
            </w:r>
          </w:p>
        </w:tc>
        <w:tc>
          <w:tcPr>
            <w:tcW w:w="280" w:type="dxa"/>
            <w:vAlign w:val="bottom"/>
            <w:tcBorders>
              <w:bottom w:val="single" w:sz="8" w:color="7F7F7F"/>
            </w:tcBorders>
          </w:tcPr>
          <w:p>
            <w:pPr>
              <w:spacing w:after="0"/>
              <w:rPr>
                <w:sz w:val="18"/>
                <w:szCs w:val="18"/>
                <w:color w:val="auto"/>
              </w:rPr>
            </w:pPr>
          </w:p>
        </w:tc>
        <w:tc>
          <w:tcPr>
            <w:tcW w:w="580" w:type="dxa"/>
            <w:vAlign w:val="bottom"/>
            <w:tcBorders>
              <w:bottom w:val="single" w:sz="8" w:color="7F7F7F"/>
            </w:tcBorders>
          </w:tcPr>
          <w:p>
            <w:pPr>
              <w:jc w:val="right"/>
              <w:ind w:right="19"/>
              <w:spacing w:after="0"/>
              <w:rPr>
                <w:sz w:val="20"/>
                <w:szCs w:val="20"/>
                <w:color w:val="auto"/>
              </w:rPr>
            </w:pPr>
            <w:r>
              <w:rPr>
                <w:rFonts w:ascii="Arial" w:cs="Arial" w:eastAsia="Arial" w:hAnsi="Arial"/>
                <w:sz w:val="16"/>
                <w:szCs w:val="16"/>
                <w:i w:val="1"/>
                <w:iCs w:val="1"/>
                <w:color w:val="auto"/>
              </w:rPr>
              <w:t>2018</w:t>
            </w:r>
          </w:p>
        </w:tc>
        <w:tc>
          <w:tcPr>
            <w:tcW w:w="240" w:type="dxa"/>
            <w:vAlign w:val="bottom"/>
            <w:tcBorders>
              <w:bottom w:val="single" w:sz="8" w:color="7F7F7F"/>
            </w:tcBorders>
          </w:tcPr>
          <w:p>
            <w:pPr>
              <w:spacing w:after="0"/>
              <w:rPr>
                <w:sz w:val="18"/>
                <w:szCs w:val="18"/>
                <w:color w:val="auto"/>
              </w:rPr>
            </w:pPr>
          </w:p>
        </w:tc>
        <w:tc>
          <w:tcPr>
            <w:tcW w:w="600" w:type="dxa"/>
            <w:vAlign w:val="bottom"/>
            <w:tcBorders>
              <w:bottom w:val="single" w:sz="8" w:color="7F7F7F"/>
            </w:tcBorders>
          </w:tcPr>
          <w:p>
            <w:pPr>
              <w:jc w:val="right"/>
              <w:ind w:right="19"/>
              <w:spacing w:after="0"/>
              <w:rPr>
                <w:sz w:val="20"/>
                <w:szCs w:val="20"/>
                <w:color w:val="auto"/>
              </w:rPr>
            </w:pPr>
            <w:r>
              <w:rPr>
                <w:rFonts w:ascii="Arial" w:cs="Arial" w:eastAsia="Arial" w:hAnsi="Arial"/>
                <w:sz w:val="16"/>
                <w:szCs w:val="16"/>
                <w:i w:val="1"/>
                <w:iCs w:val="1"/>
                <w:color w:val="auto"/>
              </w:rPr>
              <w:t>2019</w:t>
            </w:r>
          </w:p>
        </w:tc>
        <w:tc>
          <w:tcPr>
            <w:tcW w:w="280" w:type="dxa"/>
            <w:vAlign w:val="bottom"/>
            <w:tcBorders>
              <w:bottom w:val="single" w:sz="8" w:color="7F7F7F"/>
            </w:tcBorders>
          </w:tcPr>
          <w:p>
            <w:pPr>
              <w:spacing w:after="0"/>
              <w:rPr>
                <w:sz w:val="18"/>
                <w:szCs w:val="18"/>
                <w:color w:val="auto"/>
              </w:rPr>
            </w:pPr>
          </w:p>
        </w:tc>
        <w:tc>
          <w:tcPr>
            <w:tcW w:w="580" w:type="dxa"/>
            <w:vAlign w:val="bottom"/>
            <w:tcBorders>
              <w:bottom w:val="single" w:sz="8" w:color="7F7F7F"/>
            </w:tcBorders>
          </w:tcPr>
          <w:p>
            <w:pPr>
              <w:jc w:val="right"/>
              <w:ind w:right="19"/>
              <w:spacing w:after="0"/>
              <w:rPr>
                <w:sz w:val="20"/>
                <w:szCs w:val="20"/>
                <w:color w:val="auto"/>
              </w:rPr>
            </w:pPr>
            <w:r>
              <w:rPr>
                <w:rFonts w:ascii="Arial" w:cs="Arial" w:eastAsia="Arial" w:hAnsi="Arial"/>
                <w:sz w:val="16"/>
                <w:szCs w:val="16"/>
                <w:i w:val="1"/>
                <w:iCs w:val="1"/>
                <w:color w:val="auto"/>
              </w:rPr>
              <w:t>2020</w:t>
            </w:r>
          </w:p>
        </w:tc>
        <w:tc>
          <w:tcPr>
            <w:tcW w:w="260" w:type="dxa"/>
            <w:vAlign w:val="bottom"/>
            <w:tcBorders>
              <w:bottom w:val="single" w:sz="8" w:color="7F7F7F"/>
            </w:tcBorders>
          </w:tcPr>
          <w:p>
            <w:pPr>
              <w:spacing w:after="0"/>
              <w:rPr>
                <w:sz w:val="18"/>
                <w:szCs w:val="18"/>
                <w:color w:val="auto"/>
              </w:rPr>
            </w:pPr>
          </w:p>
        </w:tc>
        <w:tc>
          <w:tcPr>
            <w:tcW w:w="56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2021</w:t>
            </w:r>
          </w:p>
        </w:tc>
        <w:tc>
          <w:tcPr>
            <w:tcW w:w="360" w:type="dxa"/>
            <w:vAlign w:val="bottom"/>
            <w:tcBorders>
              <w:bottom w:val="single" w:sz="8" w:color="7F7F7F"/>
            </w:tcBorders>
          </w:tcPr>
          <w:p>
            <w:pPr>
              <w:spacing w:after="0"/>
              <w:rPr>
                <w:sz w:val="18"/>
                <w:szCs w:val="18"/>
                <w:color w:val="auto"/>
              </w:rPr>
            </w:pPr>
          </w:p>
        </w:tc>
        <w:tc>
          <w:tcPr>
            <w:tcW w:w="42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2021</w:t>
            </w:r>
          </w:p>
        </w:tc>
      </w:tr>
      <w:tr>
        <w:trPr>
          <w:trHeight w:val="203"/>
        </w:trPr>
        <w:tc>
          <w:tcPr>
            <w:tcW w:w="2760" w:type="dxa"/>
            <w:vAlign w:val="bottom"/>
            <w:shd w:val="clear" w:color="auto" w:fill="CCEEFF"/>
          </w:tcPr>
          <w:p>
            <w:pPr>
              <w:spacing w:after="0"/>
              <w:rPr>
                <w:sz w:val="20"/>
                <w:szCs w:val="20"/>
                <w:color w:val="auto"/>
              </w:rPr>
            </w:pPr>
            <w:r>
              <w:rPr>
                <w:rFonts w:ascii="Arial" w:cs="Arial" w:eastAsia="Arial" w:hAnsi="Arial"/>
                <w:sz w:val="16"/>
                <w:szCs w:val="16"/>
                <w:color w:val="auto"/>
              </w:rPr>
              <w:t>Credit facilities [a]</w:t>
            </w:r>
          </w:p>
        </w:tc>
        <w:tc>
          <w:tcPr>
            <w:tcW w:w="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1,700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1,700</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760" w:type="dxa"/>
            <w:vAlign w:val="bottom"/>
          </w:tcPr>
          <w:p>
            <w:pPr>
              <w:spacing w:after="0"/>
              <w:rPr>
                <w:sz w:val="20"/>
                <w:szCs w:val="20"/>
                <w:color w:val="auto"/>
              </w:rPr>
            </w:pPr>
            <w:r>
              <w:rPr>
                <w:rFonts w:ascii="Arial" w:cs="Arial" w:eastAsia="Arial" w:hAnsi="Arial"/>
                <w:sz w:val="16"/>
                <w:szCs w:val="16"/>
                <w:color w:val="auto"/>
              </w:rPr>
              <w:t>Receivables securitization facility [b]</w:t>
            </w:r>
          </w:p>
        </w:tc>
        <w:tc>
          <w:tcPr>
            <w:tcW w:w="380" w:type="dxa"/>
            <w:vAlign w:val="bottom"/>
          </w:tcPr>
          <w:p>
            <w:pPr>
              <w:spacing w:after="0"/>
              <w:rPr>
                <w:sz w:val="18"/>
                <w:szCs w:val="18"/>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650</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650</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760" w:type="dxa"/>
            <w:vAlign w:val="bottom"/>
            <w:shd w:val="clear" w:color="auto" w:fill="CCEEFF"/>
          </w:tcPr>
          <w:p>
            <w:pPr>
              <w:spacing w:after="0"/>
              <w:rPr>
                <w:sz w:val="20"/>
                <w:szCs w:val="20"/>
                <w:color w:val="auto"/>
              </w:rPr>
            </w:pPr>
            <w:r>
              <w:rPr>
                <w:rFonts w:ascii="Arial" w:cs="Arial" w:eastAsia="Arial" w:hAnsi="Arial"/>
                <w:sz w:val="16"/>
                <w:szCs w:val="16"/>
                <w:color w:val="auto"/>
              </w:rPr>
              <w:t>Guarantees [c]</w:t>
            </w: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c>
          <w:tcPr>
            <w:tcW w:w="18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3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0"/>
        </w:trPr>
        <w:tc>
          <w:tcPr>
            <w:tcW w:w="276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Standby letters of credit [d]</w:t>
            </w:r>
          </w:p>
        </w:tc>
        <w:tc>
          <w:tcPr>
            <w:tcW w:w="380" w:type="dxa"/>
            <w:vAlign w:val="bottom"/>
            <w:tcBorders>
              <w:bottom w:val="single" w:sz="8" w:color="7F7F7F"/>
            </w:tcBorders>
          </w:tcPr>
          <w:p>
            <w:pPr>
              <w:spacing w:after="0"/>
              <w:rPr>
                <w:sz w:val="18"/>
                <w:szCs w:val="18"/>
                <w:color w:val="auto"/>
              </w:rPr>
            </w:pPr>
          </w:p>
        </w:tc>
        <w:tc>
          <w:tcPr>
            <w:tcW w:w="640" w:type="dxa"/>
            <w:vAlign w:val="bottom"/>
            <w:tcBorders>
              <w:bottom w:val="single" w:sz="8" w:color="7F7F7F"/>
            </w:tcBorders>
          </w:tcPr>
          <w:p>
            <w:pPr>
              <w:jc w:val="right"/>
              <w:ind w:right="19"/>
              <w:spacing w:after="0"/>
              <w:rPr>
                <w:sz w:val="20"/>
                <w:szCs w:val="20"/>
                <w:color w:val="auto"/>
              </w:rPr>
            </w:pPr>
            <w:r>
              <w:rPr>
                <w:rFonts w:ascii="Arial" w:cs="Arial" w:eastAsia="Arial" w:hAnsi="Arial"/>
                <w:sz w:val="16"/>
                <w:szCs w:val="16"/>
                <w:color w:val="auto"/>
              </w:rPr>
              <w:t>20</w:t>
            </w:r>
          </w:p>
        </w:tc>
        <w:tc>
          <w:tcPr>
            <w:tcW w:w="180" w:type="dxa"/>
            <w:vAlign w:val="bottom"/>
            <w:tcBorders>
              <w:bottom w:val="single" w:sz="8" w:color="7F7F7F"/>
            </w:tcBorders>
          </w:tcPr>
          <w:p>
            <w:pPr>
              <w:spacing w:after="0"/>
              <w:rPr>
                <w:sz w:val="18"/>
                <w:szCs w:val="18"/>
                <w:color w:val="auto"/>
              </w:rPr>
            </w:pPr>
          </w:p>
        </w:tc>
        <w:tc>
          <w:tcPr>
            <w:tcW w:w="700" w:type="dxa"/>
            <w:vAlign w:val="bottom"/>
            <w:tcBorders>
              <w:bottom w:val="single" w:sz="8" w:color="7F7F7F"/>
            </w:tcBorders>
          </w:tcPr>
          <w:p>
            <w:pPr>
              <w:jc w:val="right"/>
              <w:ind w:right="19"/>
              <w:spacing w:after="0"/>
              <w:rPr>
                <w:sz w:val="20"/>
                <w:szCs w:val="20"/>
                <w:color w:val="auto"/>
              </w:rPr>
            </w:pPr>
            <w:r>
              <w:rPr>
                <w:rFonts w:ascii="Arial" w:cs="Arial" w:eastAsia="Arial" w:hAnsi="Arial"/>
                <w:sz w:val="16"/>
                <w:szCs w:val="16"/>
                <w:color w:val="auto"/>
              </w:rPr>
              <w:t>7</w:t>
            </w:r>
          </w:p>
        </w:tc>
        <w:tc>
          <w:tcPr>
            <w:tcW w:w="280" w:type="dxa"/>
            <w:vAlign w:val="bottom"/>
            <w:tcBorders>
              <w:bottom w:val="single" w:sz="8" w:color="7F7F7F"/>
            </w:tcBorders>
          </w:tcPr>
          <w:p>
            <w:pPr>
              <w:spacing w:after="0"/>
              <w:rPr>
                <w:sz w:val="18"/>
                <w:szCs w:val="18"/>
                <w:color w:val="auto"/>
              </w:rPr>
            </w:pPr>
          </w:p>
        </w:tc>
        <w:tc>
          <w:tcPr>
            <w:tcW w:w="580" w:type="dxa"/>
            <w:vAlign w:val="bottom"/>
            <w:tcBorders>
              <w:bottom w:val="single" w:sz="8" w:color="7F7F7F"/>
            </w:tcBorders>
          </w:tcPr>
          <w:p>
            <w:pPr>
              <w:jc w:val="right"/>
              <w:ind w:right="19"/>
              <w:spacing w:after="0"/>
              <w:rPr>
                <w:sz w:val="20"/>
                <w:szCs w:val="20"/>
                <w:color w:val="auto"/>
              </w:rPr>
            </w:pPr>
            <w:r>
              <w:rPr>
                <w:rFonts w:ascii="Arial" w:cs="Arial" w:eastAsia="Arial" w:hAnsi="Arial"/>
                <w:sz w:val="16"/>
                <w:szCs w:val="16"/>
                <w:color w:val="auto"/>
              </w:rPr>
              <w:t>13</w:t>
            </w:r>
          </w:p>
        </w:tc>
        <w:tc>
          <w:tcPr>
            <w:tcW w:w="240" w:type="dxa"/>
            <w:vAlign w:val="bottom"/>
            <w:tcBorders>
              <w:bottom w:val="single" w:sz="8" w:color="7F7F7F"/>
            </w:tcBorders>
          </w:tcPr>
          <w:p>
            <w:pPr>
              <w:spacing w:after="0"/>
              <w:rPr>
                <w:sz w:val="18"/>
                <w:szCs w:val="18"/>
                <w:color w:val="auto"/>
              </w:rPr>
            </w:pPr>
          </w:p>
        </w:tc>
        <w:tc>
          <w:tcPr>
            <w:tcW w:w="6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7F7F7F"/>
            </w:tcBorders>
          </w:tcPr>
          <w:p>
            <w:pPr>
              <w:spacing w:after="0"/>
              <w:rPr>
                <w:sz w:val="18"/>
                <w:szCs w:val="18"/>
                <w:color w:val="auto"/>
              </w:rPr>
            </w:pPr>
          </w:p>
        </w:tc>
        <w:tc>
          <w:tcPr>
            <w:tcW w:w="58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7F7F7F"/>
            </w:tcBorders>
          </w:tcPr>
          <w:p>
            <w:pPr>
              <w:spacing w:after="0"/>
              <w:rPr>
                <w:sz w:val="18"/>
                <w:szCs w:val="18"/>
                <w:color w:val="auto"/>
              </w:rPr>
            </w:pPr>
          </w:p>
        </w:tc>
        <w:tc>
          <w:tcPr>
            <w:tcW w:w="5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7F7F7F"/>
            </w:tcBorders>
          </w:tcPr>
          <w:p>
            <w:pPr>
              <w:spacing w:after="0"/>
              <w:rPr>
                <w:sz w:val="18"/>
                <w:szCs w:val="18"/>
                <w:color w:val="auto"/>
              </w:rPr>
            </w:pPr>
          </w:p>
        </w:tc>
        <w:tc>
          <w:tcPr>
            <w:tcW w:w="4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r>
      <w:tr>
        <w:trPr>
          <w:trHeight w:val="264"/>
        </w:trPr>
        <w:tc>
          <w:tcPr>
            <w:tcW w:w="2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commercial commitments</w:t>
            </w: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2,403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2,357</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3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54"/>
        </w:trPr>
        <w:tc>
          <w:tcPr>
            <w:tcW w:w="2760" w:type="dxa"/>
            <w:vAlign w:val="bottom"/>
            <w:shd w:val="clear" w:color="auto" w:fill="7F7F7F"/>
          </w:tcPr>
          <w:p>
            <w:pPr>
              <w:spacing w:after="0"/>
              <w:rPr>
                <w:sz w:val="4"/>
                <w:szCs w:val="4"/>
                <w:color w:val="auto"/>
              </w:rPr>
            </w:pPr>
          </w:p>
        </w:tc>
        <w:tc>
          <w:tcPr>
            <w:tcW w:w="380" w:type="dxa"/>
            <w:vAlign w:val="bottom"/>
            <w:shd w:val="clear" w:color="auto" w:fill="7F7F7F"/>
          </w:tcPr>
          <w:p>
            <w:pPr>
              <w:spacing w:after="0"/>
              <w:rPr>
                <w:sz w:val="4"/>
                <w:szCs w:val="4"/>
                <w:color w:val="auto"/>
              </w:rPr>
            </w:pPr>
          </w:p>
        </w:tc>
        <w:tc>
          <w:tcPr>
            <w:tcW w:w="640" w:type="dxa"/>
            <w:vAlign w:val="bottom"/>
            <w:shd w:val="clear" w:color="auto" w:fill="7F7F7F"/>
          </w:tcPr>
          <w:p>
            <w:pPr>
              <w:spacing w:after="0"/>
              <w:rPr>
                <w:sz w:val="4"/>
                <w:szCs w:val="4"/>
                <w:color w:val="auto"/>
              </w:rPr>
            </w:pPr>
          </w:p>
        </w:tc>
        <w:tc>
          <w:tcPr>
            <w:tcW w:w="180" w:type="dxa"/>
            <w:vAlign w:val="bottom"/>
            <w:shd w:val="clear" w:color="auto" w:fill="7F7F7F"/>
          </w:tcPr>
          <w:p>
            <w:pPr>
              <w:spacing w:after="0"/>
              <w:rPr>
                <w:sz w:val="4"/>
                <w:szCs w:val="4"/>
                <w:color w:val="auto"/>
              </w:rPr>
            </w:pPr>
          </w:p>
        </w:tc>
        <w:tc>
          <w:tcPr>
            <w:tcW w:w="700" w:type="dxa"/>
            <w:vAlign w:val="bottom"/>
            <w:tcBorders>
              <w:right w:val="single" w:sz="8" w:color="7F7F7F"/>
            </w:tcBorders>
            <w:shd w:val="clear" w:color="auto" w:fill="7F7F7F"/>
          </w:tcPr>
          <w:p>
            <w:pPr>
              <w:spacing w:after="0"/>
              <w:rPr>
                <w:sz w:val="4"/>
                <w:szCs w:val="4"/>
                <w:color w:val="auto"/>
              </w:rPr>
            </w:pPr>
          </w:p>
        </w:tc>
        <w:tc>
          <w:tcPr>
            <w:tcW w:w="280" w:type="dxa"/>
            <w:vAlign w:val="bottom"/>
            <w:shd w:val="clear" w:color="auto" w:fill="7F7F7F"/>
          </w:tcPr>
          <w:p>
            <w:pPr>
              <w:spacing w:after="0"/>
              <w:rPr>
                <w:sz w:val="4"/>
                <w:szCs w:val="4"/>
                <w:color w:val="auto"/>
              </w:rPr>
            </w:pPr>
          </w:p>
        </w:tc>
        <w:tc>
          <w:tcPr>
            <w:tcW w:w="580" w:type="dxa"/>
            <w:vAlign w:val="bottom"/>
            <w:shd w:val="clear" w:color="auto" w:fill="7F7F7F"/>
          </w:tcPr>
          <w:p>
            <w:pPr>
              <w:spacing w:after="0"/>
              <w:rPr>
                <w:sz w:val="4"/>
                <w:szCs w:val="4"/>
                <w:color w:val="auto"/>
              </w:rPr>
            </w:pPr>
          </w:p>
        </w:tc>
        <w:tc>
          <w:tcPr>
            <w:tcW w:w="240" w:type="dxa"/>
            <w:vAlign w:val="bottom"/>
            <w:shd w:val="clear" w:color="auto" w:fill="7F7F7F"/>
          </w:tcPr>
          <w:p>
            <w:pPr>
              <w:spacing w:after="0"/>
              <w:rPr>
                <w:sz w:val="4"/>
                <w:szCs w:val="4"/>
                <w:color w:val="auto"/>
              </w:rPr>
            </w:pPr>
          </w:p>
        </w:tc>
        <w:tc>
          <w:tcPr>
            <w:tcW w:w="600" w:type="dxa"/>
            <w:vAlign w:val="bottom"/>
            <w:shd w:val="clear" w:color="auto" w:fill="7F7F7F"/>
          </w:tcPr>
          <w:p>
            <w:pPr>
              <w:spacing w:after="0"/>
              <w:rPr>
                <w:sz w:val="4"/>
                <w:szCs w:val="4"/>
                <w:color w:val="auto"/>
              </w:rPr>
            </w:pPr>
          </w:p>
        </w:tc>
        <w:tc>
          <w:tcPr>
            <w:tcW w:w="280" w:type="dxa"/>
            <w:vAlign w:val="bottom"/>
            <w:shd w:val="clear" w:color="auto" w:fill="7F7F7F"/>
          </w:tcPr>
          <w:p>
            <w:pPr>
              <w:spacing w:after="0"/>
              <w:rPr>
                <w:sz w:val="4"/>
                <w:szCs w:val="4"/>
                <w:color w:val="auto"/>
              </w:rPr>
            </w:pPr>
          </w:p>
        </w:tc>
        <w:tc>
          <w:tcPr>
            <w:tcW w:w="580" w:type="dxa"/>
            <w:vAlign w:val="bottom"/>
            <w:shd w:val="clear" w:color="auto" w:fill="7F7F7F"/>
          </w:tcPr>
          <w:p>
            <w:pPr>
              <w:spacing w:after="0"/>
              <w:rPr>
                <w:sz w:val="4"/>
                <w:szCs w:val="4"/>
                <w:color w:val="auto"/>
              </w:rPr>
            </w:pPr>
          </w:p>
        </w:tc>
        <w:tc>
          <w:tcPr>
            <w:tcW w:w="260" w:type="dxa"/>
            <w:vAlign w:val="bottom"/>
            <w:shd w:val="clear" w:color="auto" w:fill="7F7F7F"/>
          </w:tcPr>
          <w:p>
            <w:pPr>
              <w:spacing w:after="0"/>
              <w:rPr>
                <w:sz w:val="4"/>
                <w:szCs w:val="4"/>
                <w:color w:val="auto"/>
              </w:rPr>
            </w:pPr>
          </w:p>
        </w:tc>
        <w:tc>
          <w:tcPr>
            <w:tcW w:w="560" w:type="dxa"/>
            <w:vAlign w:val="bottom"/>
            <w:shd w:val="clear" w:color="auto" w:fill="7F7F7F"/>
          </w:tcPr>
          <w:p>
            <w:pPr>
              <w:spacing w:after="0"/>
              <w:rPr>
                <w:sz w:val="4"/>
                <w:szCs w:val="4"/>
                <w:color w:val="auto"/>
              </w:rPr>
            </w:pPr>
          </w:p>
        </w:tc>
        <w:tc>
          <w:tcPr>
            <w:tcW w:w="360" w:type="dxa"/>
            <w:vAlign w:val="bottom"/>
            <w:shd w:val="clear" w:color="auto" w:fill="7F7F7F"/>
          </w:tcPr>
          <w:p>
            <w:pPr>
              <w:spacing w:after="0"/>
              <w:rPr>
                <w:sz w:val="4"/>
                <w:szCs w:val="4"/>
                <w:color w:val="auto"/>
              </w:rPr>
            </w:pPr>
          </w:p>
        </w:tc>
        <w:tc>
          <w:tcPr>
            <w:tcW w:w="420" w:type="dxa"/>
            <w:vAlign w:val="bottom"/>
            <w:shd w:val="clear" w:color="auto" w:fill="7F7F7F"/>
          </w:tcPr>
          <w:p>
            <w:pPr>
              <w:spacing w:after="0"/>
              <w:rPr>
                <w:sz w:val="4"/>
                <w:szCs w:val="4"/>
                <w:color w:val="auto"/>
              </w:rPr>
            </w:pPr>
          </w:p>
        </w:tc>
      </w:tr>
    </w:tbl>
    <w:p>
      <w:pPr>
        <w:spacing w:after="0" w:line="153" w:lineRule="exact"/>
        <w:rPr>
          <w:sz w:val="20"/>
          <w:szCs w:val="20"/>
          <w:color w:val="auto"/>
        </w:rPr>
      </w:pPr>
    </w:p>
    <w:p>
      <w:pPr>
        <w:ind w:left="460" w:hanging="355"/>
        <w:spacing w:after="0"/>
        <w:tabs>
          <w:tab w:leader="none" w:pos="460"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None of the credit facility was used as of September 30, 2017.</w:t>
      </w:r>
    </w:p>
    <w:p>
      <w:pPr>
        <w:spacing w:after="0" w:line="28" w:lineRule="exact"/>
        <w:rPr>
          <w:rFonts w:ascii="Arial" w:cs="Arial" w:eastAsia="Arial" w:hAnsi="Arial"/>
          <w:sz w:val="14"/>
          <w:szCs w:val="14"/>
          <w:i w:val="1"/>
          <w:iCs w:val="1"/>
          <w:color w:val="auto"/>
        </w:rPr>
      </w:pPr>
    </w:p>
    <w:p>
      <w:pPr>
        <w:ind w:left="420" w:right="99" w:hanging="315"/>
        <w:spacing w:after="0" w:line="239" w:lineRule="auto"/>
        <w:tabs>
          <w:tab w:leader="none" w:pos="444"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$200 million of the receivables securitization facility was utilized as of September 30, 2017, which is accounted for as debt. The full program matures in July 2019.</w:t>
      </w:r>
    </w:p>
    <w:p>
      <w:pPr>
        <w:spacing w:after="0" w:line="3" w:lineRule="exact"/>
        <w:rPr>
          <w:rFonts w:ascii="Arial" w:cs="Arial" w:eastAsia="Arial" w:hAnsi="Arial"/>
          <w:sz w:val="14"/>
          <w:szCs w:val="14"/>
          <w:i w:val="1"/>
          <w:iCs w:val="1"/>
          <w:color w:val="auto"/>
        </w:rPr>
      </w:pPr>
    </w:p>
    <w:p>
      <w:pPr>
        <w:ind w:left="440" w:hanging="335"/>
        <w:spacing w:after="0"/>
        <w:tabs>
          <w:tab w:leader="none" w:pos="440"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Includes guaranteed obligations related to our affiliated operations.</w:t>
      </w:r>
    </w:p>
    <w:p>
      <w:pPr>
        <w:spacing w:after="0" w:line="28" w:lineRule="exact"/>
        <w:rPr>
          <w:rFonts w:ascii="Arial" w:cs="Arial" w:eastAsia="Arial" w:hAnsi="Arial"/>
          <w:sz w:val="14"/>
          <w:szCs w:val="14"/>
          <w:i w:val="1"/>
          <w:iCs w:val="1"/>
          <w:color w:val="auto"/>
        </w:rPr>
      </w:pPr>
    </w:p>
    <w:p>
      <w:pPr>
        <w:ind w:left="460" w:hanging="355"/>
        <w:spacing w:after="0"/>
        <w:tabs>
          <w:tab w:leader="none" w:pos="460"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None of the letters of credit were drawn upon as of September 30, 2017.</w:t>
      </w:r>
    </w:p>
    <w:p>
      <w:pPr>
        <w:spacing w:after="0" w:line="19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OTHER MATTERS</w:t>
      </w:r>
    </w:p>
    <w:p>
      <w:pPr>
        <w:spacing w:after="0" w:line="144" w:lineRule="exact"/>
        <w:rPr>
          <w:sz w:val="20"/>
          <w:szCs w:val="20"/>
          <w:color w:val="auto"/>
        </w:rPr>
      </w:pPr>
    </w:p>
    <w:p>
      <w:pPr>
        <w:jc w:val="both"/>
        <w:ind w:left="100" w:right="99"/>
        <w:spacing w:after="0" w:line="214" w:lineRule="auto"/>
        <w:rPr>
          <w:sz w:val="20"/>
          <w:szCs w:val="20"/>
          <w:color w:val="auto"/>
        </w:rPr>
      </w:pPr>
      <w:r>
        <w:rPr>
          <w:rFonts w:ascii="Arial" w:cs="Arial" w:eastAsia="Arial" w:hAnsi="Arial"/>
          <w:sz w:val="18"/>
          <w:szCs w:val="18"/>
          <w:b w:val="1"/>
          <w:bCs w:val="1"/>
          <w:color w:val="auto"/>
        </w:rPr>
        <w:t xml:space="preserve">Asserted and Unasserted Claims </w:t>
      </w:r>
      <w:r>
        <w:rPr>
          <w:rFonts w:ascii="Arial" w:cs="Arial" w:eastAsia="Arial" w:hAnsi="Arial"/>
          <w:sz w:val="18"/>
          <w:szCs w:val="18"/>
          <w:color w:val="auto"/>
        </w:rPr>
        <w:t>– Various claims and lawsuits are pending against us and certain of our</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We cannot fully determine the effect of all asserted and unasserted claims on our consolidated results of operations, financial condition, or liquidity. To the extent possible, we have recorded a liability where asserted and unasserted claims are considered probable and where such claims can be reasonably estimated. We do not expect that any known lawsuits, claims, environmental costs, commitments, contingent liabilities, or guarantees will have a material adverse effect on our consolidated results of operations, financial condition, or liquidity after taking into account liabilities and insurance recoveries previously recorded for these matters.</w:t>
      </w:r>
    </w:p>
    <w:p>
      <w:pPr>
        <w:spacing w:after="0" w:line="113" w:lineRule="exact"/>
        <w:rPr>
          <w:sz w:val="20"/>
          <w:szCs w:val="20"/>
          <w:color w:val="auto"/>
        </w:rPr>
      </w:pPr>
    </w:p>
    <w:p>
      <w:pPr>
        <w:jc w:val="both"/>
        <w:ind w:left="100" w:right="99"/>
        <w:spacing w:after="0" w:line="221" w:lineRule="auto"/>
        <w:rPr>
          <w:sz w:val="20"/>
          <w:szCs w:val="20"/>
          <w:color w:val="auto"/>
        </w:rPr>
      </w:pPr>
      <w:r>
        <w:rPr>
          <w:rFonts w:ascii="Arial" w:cs="Arial" w:eastAsia="Arial" w:hAnsi="Arial"/>
          <w:sz w:val="18"/>
          <w:szCs w:val="18"/>
          <w:b w:val="1"/>
          <w:bCs w:val="1"/>
          <w:color w:val="auto"/>
        </w:rPr>
        <w:t xml:space="preserve">Indemnities </w:t>
      </w:r>
      <w:r>
        <w:rPr>
          <w:rFonts w:ascii="Arial" w:cs="Arial" w:eastAsia="Arial" w:hAnsi="Arial"/>
          <w:sz w:val="18"/>
          <w:szCs w:val="18"/>
          <w:color w:val="auto"/>
        </w:rPr>
        <w:t>– We are contingently obligated under a variety of indemnification arrangements, although in</w:t>
      </w:r>
      <w:r>
        <w:rPr>
          <w:rFonts w:ascii="Arial" w:cs="Arial" w:eastAsia="Arial" w:hAnsi="Arial"/>
          <w:sz w:val="18"/>
          <w:szCs w:val="18"/>
          <w:b w:val="1"/>
          <w:bCs w:val="1"/>
          <w:color w:val="auto"/>
        </w:rPr>
        <w:t xml:space="preserve"> </w:t>
      </w:r>
      <w:r>
        <w:rPr>
          <w:rFonts w:ascii="Arial" w:cs="Arial" w:eastAsia="Arial" w:hAnsi="Arial"/>
          <w:sz w:val="18"/>
          <w:szCs w:val="18"/>
          <w:color w:val="auto"/>
        </w:rPr>
        <w:t>some cases the extent of our potential liability is limited, depending on the nature of the transactions and the agreements. Due to uncertainty as to whether claims will be made or how they will be resolved, we cannot reasonably determine the probability of an adverse claim or reasonably estimate any adverse liability</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45085</wp:posOffset>
            </wp:positionV>
            <wp:extent cx="5642610" cy="514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3" w:name="page34"/>
    <w:bookmarkEnd w:id="33"/>
    <w:p>
      <w:pPr>
        <w:ind w:left="10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66" w:lineRule="exact"/>
        <w:rPr>
          <w:sz w:val="20"/>
          <w:szCs w:val="20"/>
          <w:color w:val="auto"/>
        </w:rPr>
      </w:pPr>
    </w:p>
    <w:p>
      <w:pPr>
        <w:jc w:val="both"/>
        <w:ind w:left="100" w:right="99"/>
        <w:spacing w:after="0" w:line="227" w:lineRule="auto"/>
        <w:rPr>
          <w:sz w:val="20"/>
          <w:szCs w:val="20"/>
          <w:color w:val="auto"/>
        </w:rPr>
      </w:pPr>
      <w:r>
        <w:rPr>
          <w:rFonts w:ascii="Arial" w:cs="Arial" w:eastAsia="Arial" w:hAnsi="Arial"/>
          <w:sz w:val="18"/>
          <w:szCs w:val="18"/>
          <w:color w:val="auto"/>
        </w:rPr>
        <w:t>or the total maximum exposure under these indemnification arrangements. We do not have any reason to believe that we will be required to make any material payments under these indemnity provisions.</w:t>
      </w:r>
    </w:p>
    <w:p>
      <w:pPr>
        <w:spacing w:after="0" w:line="11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 xml:space="preserve">Accounting Pronouncements </w:t>
      </w:r>
      <w:r>
        <w:rPr>
          <w:rFonts w:ascii="Arial" w:cs="Arial" w:eastAsia="Arial" w:hAnsi="Arial"/>
          <w:sz w:val="18"/>
          <w:szCs w:val="18"/>
          <w:color w:val="auto"/>
        </w:rPr>
        <w:t>– See Note 2 to the Condensed Consolidated Financial Statements.</w:t>
      </w:r>
    </w:p>
    <w:p>
      <w:pPr>
        <w:spacing w:after="0" w:line="144" w:lineRule="exact"/>
        <w:rPr>
          <w:sz w:val="20"/>
          <w:szCs w:val="20"/>
          <w:color w:val="auto"/>
        </w:rPr>
      </w:pPr>
    </w:p>
    <w:p>
      <w:pPr>
        <w:jc w:val="both"/>
        <w:ind w:left="100" w:right="99"/>
        <w:spacing w:after="0" w:line="218" w:lineRule="auto"/>
        <w:rPr>
          <w:sz w:val="20"/>
          <w:szCs w:val="20"/>
          <w:color w:val="auto"/>
        </w:rPr>
      </w:pPr>
      <w:r>
        <w:rPr>
          <w:rFonts w:ascii="Arial" w:cs="Arial" w:eastAsia="Arial" w:hAnsi="Arial"/>
          <w:sz w:val="18"/>
          <w:szCs w:val="18"/>
          <w:b w:val="1"/>
          <w:bCs w:val="1"/>
          <w:color w:val="auto"/>
        </w:rPr>
        <w:t xml:space="preserve">Labor Agreements </w:t>
      </w:r>
      <w:r>
        <w:rPr>
          <w:rFonts w:ascii="Arial" w:cs="Arial" w:eastAsia="Arial" w:hAnsi="Arial"/>
          <w:sz w:val="18"/>
          <w:szCs w:val="18"/>
          <w:color w:val="auto"/>
        </w:rPr>
        <w:t>- The U.S. Class I railroads have been in collective bargaining with rail labor unions since</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2015. On October 5, 2017, six rail unions making up the Coordinated Bargaining Group (CBG) reached a Tentative National Agreement with the railroads, which would be effective January 1, 2015 through December 31, 2019. Collectively, the CBG represents nearly 60% of U.S. railroad employees in collective bargaining.</w:t>
      </w:r>
    </w:p>
    <w:p>
      <w:pPr>
        <w:spacing w:after="0" w:line="11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CAUTIONARY INFORMATION</w:t>
      </w:r>
    </w:p>
    <w:p>
      <w:pPr>
        <w:spacing w:after="0" w:line="166" w:lineRule="exact"/>
        <w:rPr>
          <w:sz w:val="20"/>
          <w:szCs w:val="20"/>
          <w:color w:val="auto"/>
        </w:rPr>
      </w:pPr>
    </w:p>
    <w:p>
      <w:pPr>
        <w:jc w:val="both"/>
        <w:ind w:left="100" w:right="99"/>
        <w:spacing w:after="0" w:line="206" w:lineRule="auto"/>
        <w:rPr>
          <w:sz w:val="20"/>
          <w:szCs w:val="20"/>
          <w:color w:val="auto"/>
        </w:rPr>
      </w:pPr>
      <w:r>
        <w:rPr>
          <w:rFonts w:ascii="Arial" w:cs="Arial" w:eastAsia="Arial" w:hAnsi="Arial"/>
          <w:sz w:val="18"/>
          <w:szCs w:val="18"/>
          <w:color w:val="auto"/>
        </w:rPr>
        <w:t>Certain statements in this report, and statements in other reports or information filed or to be filed with the SEC (as well as information included in oral statements or other written statements made or to be made by us), are, or will be, forward-looking statements as defined by the Securities Act of 1933 and the Exchange Act. These forward-looking statements and information include, without limitation, the statements and information set forth under the caption “Liquidity and Capital Resources” in Item 2 regarding our capital plan and statements under the caption “Off-Balance Sheet Arrangements, Contractual Obligations, and Commercial Commitments.” Forward-looking statements and information also include any other statements or information in this report regarding: expectations as to operational or service improvements; expectations regarding the effectiveness of steps taken or to be taken to improve operations, service, infrastructure improvements, and transportation plan modifications; expectations as to cost savings, revenue growth, and earnings; the time by which goals, targets, or objectives will be achieved; projections, predictions, expectations, estimates, or forecasts as to our business, financial and operational results, future economic performance, and general economic conditions; proposed new products and services; estimates of costs relating to environmental remediation and restoration; estimates and expectations regarding tax matters, expectations that claims, litigation, environmental costs, commitments, contingent liabilities, labor negotiations or agreements, or other matters will not have a material adverse effect on our consolidated results of operations, financial condition, or liquidity and any other similar expressions concerning matters that are not historical facts.</w:t>
      </w:r>
    </w:p>
    <w:p>
      <w:pPr>
        <w:spacing w:after="0" w:line="140" w:lineRule="exact"/>
        <w:rPr>
          <w:sz w:val="20"/>
          <w:szCs w:val="20"/>
          <w:color w:val="auto"/>
        </w:rPr>
      </w:pPr>
    </w:p>
    <w:p>
      <w:pPr>
        <w:jc w:val="both"/>
        <w:ind w:left="100" w:right="99"/>
        <w:spacing w:after="0" w:line="206" w:lineRule="auto"/>
        <w:rPr>
          <w:sz w:val="20"/>
          <w:szCs w:val="20"/>
          <w:color w:val="auto"/>
        </w:rPr>
      </w:pPr>
      <w:r>
        <w:rPr>
          <w:rFonts w:ascii="Arial" w:cs="Arial" w:eastAsia="Arial" w:hAnsi="Arial"/>
          <w:sz w:val="18"/>
          <w:szCs w:val="18"/>
          <w:color w:val="auto"/>
        </w:rPr>
        <w:t>Forward-looking statements and information reflect the good faith consideration by management of currently available information, and may be based on underlying assumptions believed to be reasonable under the circumstances. However, such information and assumptions (and, therefore, such forward-looking statements and information) are or may be subject to variables or unknown or unforeseeable events or circumstances over which management has little or no influence or control. The Risk Factors in Item 1A of our 2016 Annual Report on Form 10-K, filed February 3, 2017, could affect our future results and could cause those results or other outcomes to differ materially from those expressed or implied in the forward-looking statements, and this report, including this Item 2, should be read in conjunction with these Risk Factors. To the extent circumstances require or we deem it otherwise necessary, we will update or amend these risk factors in a Form 10-Q or Form 8-K. Information regarding new risk factors or material changes to our risk factors, if any, is set forth in Item 1A of Part II of this report. Forward-looking statements should not be read as a guarantee of future performance or results, and will not necessarily be accurate indications of the times that, or by which, such performance or results will be achieved. Forward-looking information is subject to risks and uncertainties that could cause actual performance or results to differ materially from those expressed in the statements.</w:t>
      </w:r>
    </w:p>
    <w:p>
      <w:pPr>
        <w:spacing w:after="0" w:line="146" w:lineRule="exact"/>
        <w:rPr>
          <w:sz w:val="20"/>
          <w:szCs w:val="20"/>
          <w:color w:val="auto"/>
        </w:rPr>
      </w:pPr>
    </w:p>
    <w:p>
      <w:pPr>
        <w:jc w:val="both"/>
        <w:ind w:left="100" w:right="99"/>
        <w:spacing w:after="0" w:line="213" w:lineRule="auto"/>
        <w:rPr>
          <w:sz w:val="20"/>
          <w:szCs w:val="20"/>
          <w:color w:val="auto"/>
        </w:rPr>
      </w:pPr>
      <w:r>
        <w:rPr>
          <w:rFonts w:ascii="Arial" w:cs="Arial" w:eastAsia="Arial" w:hAnsi="Arial"/>
          <w:sz w:val="18"/>
          <w:szCs w:val="18"/>
          <w:color w:val="auto"/>
        </w:rPr>
        <w:t>Forward-looking statements speak only as of the date the statement was made. We assume no obligation to update forward-looking information to reflect actual results, changes in assumptions or changes in other factors affecting forward-looking information. If we do update one or more forward-looking statements, no inference should be drawn that we will make additional updates with respect thereto or with respect to other forward-looking statements.</w:t>
      </w:r>
    </w:p>
    <w:p>
      <w:pPr>
        <w:spacing w:after="0" w:line="11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6" w:lineRule="exact"/>
        <w:rPr>
          <w:sz w:val="20"/>
          <w:szCs w:val="20"/>
          <w:color w:val="auto"/>
        </w:rPr>
      </w:pPr>
    </w:p>
    <w:p>
      <w:pPr>
        <w:jc w:val="both"/>
        <w:ind w:left="100" w:right="99"/>
        <w:spacing w:after="0" w:line="227" w:lineRule="auto"/>
        <w:rPr>
          <w:sz w:val="20"/>
          <w:szCs w:val="20"/>
          <w:color w:val="auto"/>
        </w:rPr>
      </w:pPr>
      <w:r>
        <w:rPr>
          <w:rFonts w:ascii="Arial" w:cs="Arial" w:eastAsia="Arial" w:hAnsi="Arial"/>
          <w:sz w:val="18"/>
          <w:szCs w:val="18"/>
          <w:color w:val="auto"/>
        </w:rPr>
        <w:t>There were no material changes to the Quantitative and Qualitative Disclosures About Market Risk previously disclosed in our 2016 Annual Report on Form 10-K.</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45085</wp:posOffset>
            </wp:positionV>
            <wp:extent cx="5642610" cy="514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4" w:name="page35"/>
    <w:bookmarkEnd w:id="34"/>
    <w:p>
      <w:pPr>
        <w:ind w:left="10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4. Controls and Procedures</w:t>
      </w:r>
    </w:p>
    <w:p>
      <w:pPr>
        <w:spacing w:after="0" w:line="166" w:lineRule="exact"/>
        <w:rPr>
          <w:sz w:val="20"/>
          <w:szCs w:val="20"/>
          <w:color w:val="auto"/>
        </w:rPr>
      </w:pPr>
    </w:p>
    <w:p>
      <w:pPr>
        <w:jc w:val="both"/>
        <w:ind w:left="100" w:right="99"/>
        <w:spacing w:after="0" w:line="207" w:lineRule="auto"/>
        <w:rPr>
          <w:sz w:val="20"/>
          <w:szCs w:val="20"/>
          <w:color w:val="auto"/>
        </w:rPr>
      </w:pPr>
      <w:r>
        <w:rPr>
          <w:rFonts w:ascii="Arial" w:cs="Arial" w:eastAsia="Arial" w:hAnsi="Arial"/>
          <w:sz w:val="18"/>
          <w:szCs w:val="18"/>
          <w:color w:val="auto"/>
        </w:rPr>
        <w:t>As of the end of the period covered by this report, the Corporation carried out an evaluation, under the supervision and with the participation of the Corporation’s management, including the Corporation’s Chief Executive Officer (CEO) and Executive Vice President and Chief Financial Officer (CFO), of the effectiveness of the design and operation of the Corporation’s disclosure controls and procedures pursuant to Exchange Act Rules 13a-15 and 15d-15. In designing and evaluating the disclosure controls and procedures, management recognized that any controls and procedures, no matter how well designed and operated, can provide only reasonable assurance of achieving the desired control objectives. Based upon that evaluation, the CEO and the CFO concluded that, as of the end of the period covered by this report, the Corporation’s disclosure controls and procedures were effective to provide reasonable assurance that information required to be disclosed in our Exchange Act reports is recorded, processed, summarized and reported within the time periods specified by the SEC, and that such information is accumulated and communicated to management, including the CEO and CFO, as appropriate, to allow timely decisions regarding required disclosure.</w:t>
      </w:r>
    </w:p>
    <w:p>
      <w:pPr>
        <w:spacing w:after="0" w:line="140" w:lineRule="exact"/>
        <w:rPr>
          <w:sz w:val="20"/>
          <w:szCs w:val="20"/>
          <w:color w:val="auto"/>
        </w:rPr>
      </w:pPr>
    </w:p>
    <w:p>
      <w:pPr>
        <w:jc w:val="both"/>
        <w:ind w:left="100" w:right="99"/>
        <w:spacing w:after="0" w:line="215" w:lineRule="auto"/>
        <w:rPr>
          <w:sz w:val="20"/>
          <w:szCs w:val="20"/>
          <w:color w:val="auto"/>
        </w:rPr>
      </w:pPr>
      <w:r>
        <w:rPr>
          <w:rFonts w:ascii="Arial" w:cs="Arial" w:eastAsia="Arial" w:hAnsi="Arial"/>
          <w:sz w:val="18"/>
          <w:szCs w:val="18"/>
          <w:color w:val="auto"/>
        </w:rPr>
        <w:t>Additionally, the CEO and CFO determined that there were no changes to the Corporation’s internal control over financial reporting (as defined in Exchange Act Rules 13a-15(f) and 15d-15(f)) during the last fiscal quarter that materially affected, or are reasonably likely to materially affect, the Corporation’s internal control over financial reporting.</w:t>
      </w:r>
    </w:p>
    <w:p>
      <w:pPr>
        <w:spacing w:after="0" w:line="114" w:lineRule="exact"/>
        <w:rPr>
          <w:sz w:val="20"/>
          <w:szCs w:val="20"/>
          <w:color w:val="auto"/>
        </w:rPr>
      </w:pPr>
    </w:p>
    <w:p>
      <w:pPr>
        <w:ind w:left="100"/>
        <w:spacing w:after="0"/>
        <w:rPr>
          <w:sz w:val="20"/>
          <w:szCs w:val="20"/>
          <w:color w:val="auto"/>
        </w:rPr>
      </w:pPr>
      <w:r>
        <w:rPr>
          <w:rFonts w:ascii="Arial" w:cs="Arial" w:eastAsia="Arial" w:hAnsi="Arial"/>
          <w:sz w:val="18"/>
          <w:szCs w:val="18"/>
          <w:b w:val="1"/>
          <w:bCs w:val="1"/>
          <w:u w:val="single" w:color="auto"/>
          <w:color w:val="auto"/>
        </w:rPr>
        <w:t>PART II. OTHER INFORMATION</w:t>
      </w:r>
    </w:p>
    <w:p>
      <w:pPr>
        <w:spacing w:after="0" w:line="14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 Legal Proceedings</w:t>
      </w:r>
    </w:p>
    <w:p>
      <w:pPr>
        <w:spacing w:after="0" w:line="166" w:lineRule="exact"/>
        <w:rPr>
          <w:sz w:val="20"/>
          <w:szCs w:val="20"/>
          <w:color w:val="auto"/>
        </w:rPr>
      </w:pPr>
    </w:p>
    <w:p>
      <w:pPr>
        <w:jc w:val="both"/>
        <w:ind w:left="100" w:right="99"/>
        <w:spacing w:after="0" w:line="208" w:lineRule="auto"/>
        <w:rPr>
          <w:sz w:val="20"/>
          <w:szCs w:val="20"/>
          <w:color w:val="auto"/>
        </w:rPr>
      </w:pPr>
      <w:r>
        <w:rPr>
          <w:rFonts w:ascii="Arial" w:cs="Arial" w:eastAsia="Arial" w:hAnsi="Arial"/>
          <w:sz w:val="18"/>
          <w:szCs w:val="18"/>
          <w:color w:val="auto"/>
        </w:rPr>
        <w:t>From time to time, we are involved in legal proceedings, claims, and litigation that occur in connection with our business. We routinely assess our liabilities and contingencies in connection with these matters based upon the latest available information and, when necessary, we seek input from our third-party advisors when making these assessments. Consistent with SEC rules and requirements, we describe below material pending legal proceedings (other than ordinary routine litigation incidental to our business), material proceedings known to be contemplated by governmental authorities, other proceedings arising under federal, state, or local environmental laws and regulations (including governmental proceedings involving potential fines, penalties, or other monetary sanctions in excess of $100,000), and such other pending matters that we may determine to be appropriate.</w:t>
      </w:r>
    </w:p>
    <w:p>
      <w:pPr>
        <w:spacing w:after="0" w:line="11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Environmental Matters</w:t>
      </w:r>
    </w:p>
    <w:p>
      <w:pPr>
        <w:spacing w:after="0" w:line="166" w:lineRule="exact"/>
        <w:rPr>
          <w:sz w:val="20"/>
          <w:szCs w:val="20"/>
          <w:color w:val="auto"/>
        </w:rPr>
      </w:pPr>
    </w:p>
    <w:p>
      <w:pPr>
        <w:jc w:val="both"/>
        <w:ind w:left="100" w:right="99"/>
        <w:spacing w:after="0" w:line="211" w:lineRule="auto"/>
        <w:rPr>
          <w:sz w:val="20"/>
          <w:szCs w:val="20"/>
          <w:color w:val="auto"/>
        </w:rPr>
      </w:pPr>
      <w:r>
        <w:rPr>
          <w:rFonts w:ascii="Arial" w:cs="Arial" w:eastAsia="Arial" w:hAnsi="Arial"/>
          <w:sz w:val="18"/>
          <w:szCs w:val="18"/>
          <w:color w:val="auto"/>
        </w:rPr>
        <w:t>On January 21, 2016, California Air Resources Board (CARB) sent UPRR a notice of violation alleging that it had failed to report all information required by the Drayage Truck Rule. The CARB Drayage Truck Rule requires UPRR, as an operator of an intermodal railyard, to submit quarterly reports with detailed information, such as the vehicle identification number, about all trucks entering its intermodal railyard that are not compliant with the rule. UPRR reached an agreement resolving the notice of violation, which includes that payment of a fine of $525,000. UPRR executed the settlement agreement and paid the fine on August 15, 2017.</w:t>
      </w:r>
    </w:p>
    <w:p>
      <w:pPr>
        <w:spacing w:after="0" w:line="137" w:lineRule="exact"/>
        <w:rPr>
          <w:sz w:val="20"/>
          <w:szCs w:val="20"/>
          <w:color w:val="auto"/>
        </w:rPr>
      </w:pPr>
    </w:p>
    <w:p>
      <w:pPr>
        <w:jc w:val="both"/>
        <w:ind w:left="100" w:right="99"/>
        <w:spacing w:after="0" w:line="211" w:lineRule="auto"/>
        <w:rPr>
          <w:sz w:val="20"/>
          <w:szCs w:val="20"/>
          <w:color w:val="auto"/>
        </w:rPr>
      </w:pPr>
      <w:r>
        <w:rPr>
          <w:rFonts w:ascii="Arial" w:cs="Arial" w:eastAsia="Arial" w:hAnsi="Arial"/>
          <w:sz w:val="18"/>
          <w:szCs w:val="18"/>
          <w:color w:val="auto"/>
        </w:rPr>
        <w:t>We receive notices from the EPA and state environmental agencies alleging that we are or may be liable under federal or state environmental laws for remediation costs at various sites throughout the U.S., including sites on the Superfund National Priorities List or state superfund lists. We cannot predict the ultimate impact of these proceedings and suits because of the number of potentially responsible parties involved, the degree of contamination by various wastes, the scarcity and quality of volumetric data related to many of the sites, and the speculative nature of remediation costs.</w:t>
      </w:r>
    </w:p>
    <w:p>
      <w:pPr>
        <w:spacing w:after="0" w:line="137" w:lineRule="exact"/>
        <w:rPr>
          <w:sz w:val="20"/>
          <w:szCs w:val="20"/>
          <w:color w:val="auto"/>
        </w:rPr>
      </w:pPr>
    </w:p>
    <w:p>
      <w:pPr>
        <w:jc w:val="both"/>
        <w:ind w:left="100" w:right="99"/>
        <w:spacing w:after="0" w:line="219" w:lineRule="auto"/>
        <w:rPr>
          <w:sz w:val="20"/>
          <w:szCs w:val="20"/>
          <w:color w:val="auto"/>
        </w:rPr>
      </w:pPr>
      <w:r>
        <w:rPr>
          <w:rFonts w:ascii="Arial" w:cs="Arial" w:eastAsia="Arial" w:hAnsi="Arial"/>
          <w:sz w:val="18"/>
          <w:szCs w:val="18"/>
          <w:color w:val="auto"/>
        </w:rPr>
        <w:t>Information concerning environmental claims and contingencies and estimated remediation costs is set forth in Management’s Discussion and Analysis of Financial Condition and Results of Operations – Critical Accounting Policies – Environmental, Item 7 of our 2016 Annual Report on Form 10-K.</w:t>
      </w:r>
    </w:p>
    <w:p>
      <w:pPr>
        <w:spacing w:after="0" w:line="11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Other Matters</w:t>
      </w:r>
    </w:p>
    <w:p>
      <w:pPr>
        <w:spacing w:after="0" w:line="144" w:lineRule="exact"/>
        <w:rPr>
          <w:sz w:val="20"/>
          <w:szCs w:val="20"/>
          <w:color w:val="auto"/>
        </w:rPr>
      </w:pPr>
    </w:p>
    <w:p>
      <w:pPr>
        <w:jc w:val="both"/>
        <w:ind w:left="100" w:right="99"/>
        <w:spacing w:after="0"/>
        <w:rPr>
          <w:sz w:val="20"/>
          <w:szCs w:val="20"/>
          <w:color w:val="auto"/>
        </w:rPr>
      </w:pPr>
      <w:r>
        <w:rPr>
          <w:rFonts w:ascii="Arial" w:cs="Arial" w:eastAsia="Arial" w:hAnsi="Arial"/>
          <w:sz w:val="18"/>
          <w:szCs w:val="18"/>
          <w:b w:val="1"/>
          <w:bCs w:val="1"/>
          <w:color w:val="auto"/>
        </w:rPr>
        <w:t xml:space="preserve">Antitrust Litigation </w:t>
      </w:r>
      <w:r>
        <w:rPr>
          <w:rFonts w:ascii="Arial" w:cs="Arial" w:eastAsia="Arial" w:hAnsi="Arial"/>
          <w:sz w:val="18"/>
          <w:szCs w:val="18"/>
          <w:color w:val="auto"/>
        </w:rPr>
        <w:t>- As we reported in our Quarterly Report on Form 10-Q for the quarter ended June 30,</w:t>
      </w:r>
      <w:r>
        <w:rPr>
          <w:rFonts w:ascii="Arial" w:cs="Arial" w:eastAsia="Arial" w:hAnsi="Arial"/>
          <w:sz w:val="18"/>
          <w:szCs w:val="18"/>
          <w:b w:val="1"/>
          <w:bCs w:val="1"/>
          <w:color w:val="auto"/>
        </w:rPr>
        <w:t xml:space="preserve"> </w:t>
      </w:r>
      <w:r>
        <w:rPr>
          <w:rFonts w:ascii="Arial" w:cs="Arial" w:eastAsia="Arial" w:hAnsi="Arial"/>
          <w:sz w:val="18"/>
          <w:szCs w:val="18"/>
          <w:color w:val="auto"/>
        </w:rPr>
        <w:t>2007, 20 rail shippers (many of whom are represented by the same law firms) filed virtually identical antitrust</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45085</wp:posOffset>
            </wp:positionV>
            <wp:extent cx="5642610" cy="514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5" w:name="page36"/>
    <w:bookmarkEnd w:id="35"/>
    <w:p>
      <w:pPr>
        <w:ind w:left="10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66" w:lineRule="exact"/>
        <w:rPr>
          <w:sz w:val="20"/>
          <w:szCs w:val="20"/>
          <w:color w:val="auto"/>
        </w:rPr>
      </w:pPr>
    </w:p>
    <w:p>
      <w:pPr>
        <w:jc w:val="both"/>
        <w:ind w:left="100" w:right="99"/>
        <w:spacing w:after="0" w:line="213" w:lineRule="auto"/>
        <w:rPr>
          <w:sz w:val="20"/>
          <w:szCs w:val="20"/>
          <w:color w:val="auto"/>
        </w:rPr>
      </w:pPr>
      <w:r>
        <w:rPr>
          <w:rFonts w:ascii="Arial" w:cs="Arial" w:eastAsia="Arial" w:hAnsi="Arial"/>
          <w:sz w:val="18"/>
          <w:szCs w:val="18"/>
          <w:color w:val="auto"/>
        </w:rPr>
        <w:t>lawsuits in various federal district courts against us and four other Class I railroads in the U.S. Currently, UPRR and three other Class I railroads are the named defendants in the lawsuit. The original plaintiff filed the first of these claims in the U.S. District Court in New Jersey on May 14, 2007. The number of complaints reached a total of 30. These suits allege that the named railroads engaged in pricefixing by establishing common fuel surcharges for certain rail traffic.</w:t>
      </w:r>
    </w:p>
    <w:p>
      <w:pPr>
        <w:spacing w:after="0" w:line="135" w:lineRule="exact"/>
        <w:rPr>
          <w:sz w:val="20"/>
          <w:szCs w:val="20"/>
          <w:color w:val="auto"/>
        </w:rPr>
      </w:pPr>
    </w:p>
    <w:p>
      <w:pPr>
        <w:jc w:val="both"/>
        <w:ind w:left="100" w:right="99"/>
        <w:spacing w:after="0" w:line="208" w:lineRule="auto"/>
        <w:rPr>
          <w:sz w:val="20"/>
          <w:szCs w:val="20"/>
          <w:color w:val="auto"/>
        </w:rPr>
      </w:pPr>
      <w:r>
        <w:rPr>
          <w:rFonts w:ascii="Arial" w:cs="Arial" w:eastAsia="Arial" w:hAnsi="Arial"/>
          <w:sz w:val="18"/>
          <w:szCs w:val="18"/>
          <w:color w:val="auto"/>
        </w:rPr>
        <w:t>In addition to suits filed by direct purchasers of rail transportation services, a few of the suits involved plaintiffs alleging that they are or were indirect purchasers of rail transportation and sought to represent a purported class of indirect purchasers of rail transportation services that paid fuel surcharges. These complaints added allegations under state antitrust and consumer protection laws. On November 6, 2007, the Judicial Panel on Multidistrict Litigation ordered that all of the rail fuel surcharge cases be transferred to Judge Paul Friedman of the U.S. District Court in the District of Columbia for coordinated or consolidated pretrial proceedings. Following numerous hearings and rulings, Judge Friedman dismissed the complaints of the indirect purchasers, which the indirect purchasers appealed. On April 16, 2010, the U.S. Court of Appeals for the District of Columbia affirmed Judge Friedman’s ruling dismissing the indirect purchasers’ claims based on various state laws.</w:t>
      </w:r>
    </w:p>
    <w:p>
      <w:pPr>
        <w:spacing w:after="0" w:line="137" w:lineRule="exact"/>
        <w:rPr>
          <w:sz w:val="20"/>
          <w:szCs w:val="20"/>
          <w:color w:val="auto"/>
        </w:rPr>
      </w:pPr>
    </w:p>
    <w:p>
      <w:pPr>
        <w:jc w:val="both"/>
        <w:ind w:left="100" w:right="99"/>
        <w:spacing w:after="0" w:line="207" w:lineRule="auto"/>
        <w:rPr>
          <w:sz w:val="20"/>
          <w:szCs w:val="20"/>
          <w:color w:val="auto"/>
        </w:rPr>
      </w:pPr>
      <w:r>
        <w:rPr>
          <w:rFonts w:ascii="Arial" w:cs="Arial" w:eastAsia="Arial" w:hAnsi="Arial"/>
          <w:sz w:val="18"/>
          <w:szCs w:val="18"/>
          <w:color w:val="auto"/>
        </w:rPr>
        <w:t>On June 21, 2012, Judge Friedman issued a decision that certified a class of plaintiffs with eight named plaintiff representatives. The decision included in the class all shippers that paid a rate -based fuel surcharge to any one of the defendant railroads for rate-unregulated rail transportation from July 1, 2003, through December 31, 2008. On July 5, 2012, the defendant railroads filed a petition with the U.S. Court of Appeals for the District of Columbia requesting that the court review the class certification ruling. On August 9, 2013, the Circuit Court vacated the class certification decision and remanded the case to the district court to reconsider the class certification decision in light of a recent Supreme Court case and incomplete consideration of errors in the expert report of the plaintiffs. On October 31, 2013, Judge Friedman approved a schedule agreed to by all parties for consideration of the class certification issue on remand. After reviewing an intervening case, supplemental expert materials and related briefing from the parties, Judge Friedman scheduled and completed a new class certification hearing during the week of September 26, 2016. On October 10, 2017, the parties received a ruling from Judge Friedman denying class certification.</w:t>
      </w:r>
    </w:p>
    <w:p>
      <w:pPr>
        <w:spacing w:after="0" w:line="140" w:lineRule="exact"/>
        <w:rPr>
          <w:sz w:val="20"/>
          <w:szCs w:val="20"/>
          <w:color w:val="auto"/>
        </w:rPr>
      </w:pPr>
    </w:p>
    <w:p>
      <w:pPr>
        <w:jc w:val="both"/>
        <w:ind w:left="100" w:right="99"/>
        <w:spacing w:after="0" w:line="213" w:lineRule="auto"/>
        <w:rPr>
          <w:sz w:val="20"/>
          <w:szCs w:val="20"/>
          <w:color w:val="auto"/>
        </w:rPr>
      </w:pPr>
      <w:r>
        <w:rPr>
          <w:rFonts w:ascii="Arial" w:cs="Arial" w:eastAsia="Arial" w:hAnsi="Arial"/>
          <w:sz w:val="18"/>
          <w:szCs w:val="18"/>
          <w:color w:val="auto"/>
        </w:rPr>
        <w:t>As we reported in our Current Report on Form 8-K, filed on June 10, 2011, the Railroad received a complaint filed in the U.S. District Court for the District of Columbia on June 7, 2011, by Oxbow Carbon &amp; Minerals LLC and related entities (Oxbow). The parties are currently conducting discovery in this matter. For additional information on Oxbow, please refer to Item 3. Legal Proceedings, under Other Matters, Antitrust Litigation in our most recently filed Annual Report on Form 10-K for the year ended December 31, 2016.</w:t>
      </w:r>
    </w:p>
    <w:p>
      <w:pPr>
        <w:spacing w:after="0" w:line="135" w:lineRule="exact"/>
        <w:rPr>
          <w:sz w:val="20"/>
          <w:szCs w:val="20"/>
          <w:color w:val="auto"/>
        </w:rPr>
      </w:pPr>
    </w:p>
    <w:p>
      <w:pPr>
        <w:jc w:val="both"/>
        <w:ind w:left="100" w:right="99"/>
        <w:spacing w:after="0" w:line="215" w:lineRule="auto"/>
        <w:rPr>
          <w:sz w:val="20"/>
          <w:szCs w:val="20"/>
          <w:color w:val="auto"/>
        </w:rPr>
      </w:pPr>
      <w:r>
        <w:rPr>
          <w:rFonts w:ascii="Arial" w:cs="Arial" w:eastAsia="Arial" w:hAnsi="Arial"/>
          <w:sz w:val="18"/>
          <w:szCs w:val="18"/>
          <w:color w:val="auto"/>
        </w:rPr>
        <w:t>We continue to deny the allegations that our fuel surcharge programs violate the antitrust laws or any other laws. We believe that these lawsuits are without merit, and we will vigorously defend our actions. Therefore, we currently believe that these matters will not have a material adverse effect on any of our results of operations, financial condition, and liquidity.</w:t>
      </w:r>
    </w:p>
    <w:p>
      <w:pPr>
        <w:spacing w:after="0" w:line="11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1A. Risk Factors</w:t>
      </w:r>
    </w:p>
    <w:p>
      <w:pPr>
        <w:spacing w:after="0" w:line="166" w:lineRule="exact"/>
        <w:rPr>
          <w:sz w:val="20"/>
          <w:szCs w:val="20"/>
          <w:color w:val="auto"/>
        </w:rPr>
      </w:pPr>
    </w:p>
    <w:p>
      <w:pPr>
        <w:jc w:val="both"/>
        <w:ind w:left="100" w:right="99"/>
        <w:spacing w:after="0" w:line="227" w:lineRule="auto"/>
        <w:rPr>
          <w:sz w:val="20"/>
          <w:szCs w:val="20"/>
          <w:color w:val="auto"/>
        </w:rPr>
      </w:pPr>
      <w:r>
        <w:rPr>
          <w:rFonts w:ascii="Arial" w:cs="Arial" w:eastAsia="Arial" w:hAnsi="Arial"/>
          <w:sz w:val="18"/>
          <w:szCs w:val="18"/>
          <w:color w:val="auto"/>
        </w:rPr>
        <w:t>There were no material changes from the risk factors previously disclosed in our 2016 Annual Report on Form 10-K.</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45085</wp:posOffset>
            </wp:positionV>
            <wp:extent cx="5642610" cy="514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6" w:name="page37"/>
    <w:bookmarkEnd w:id="36"/>
    <w:p>
      <w:pPr>
        <w:ind w:left="10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44" w:lineRule="exact"/>
        <w:rPr>
          <w:sz w:val="20"/>
          <w:szCs w:val="20"/>
          <w:color w:val="auto"/>
        </w:rPr>
      </w:pPr>
    </w:p>
    <w:p>
      <w:pPr>
        <w:ind w:left="100" w:right="99"/>
        <w:spacing w:after="0"/>
        <w:rPr>
          <w:sz w:val="20"/>
          <w:szCs w:val="20"/>
          <w:color w:val="auto"/>
        </w:rPr>
      </w:pPr>
      <w:r>
        <w:rPr>
          <w:rFonts w:ascii="Arial" w:cs="Arial" w:eastAsia="Arial" w:hAnsi="Arial"/>
          <w:sz w:val="18"/>
          <w:szCs w:val="18"/>
          <w:b w:val="1"/>
          <w:bCs w:val="1"/>
          <w:color w:val="auto"/>
        </w:rPr>
        <w:t xml:space="preserve">Purchases of Equity Securities </w:t>
      </w:r>
      <w:r>
        <w:rPr>
          <w:rFonts w:ascii="Arial" w:cs="Arial" w:eastAsia="Arial" w:hAnsi="Arial"/>
          <w:sz w:val="18"/>
          <w:szCs w:val="18"/>
          <w:color w:val="auto"/>
        </w:rPr>
        <w:t>– The following table presents common stock repurchases during each</w:t>
      </w:r>
      <w:r>
        <w:rPr>
          <w:rFonts w:ascii="Arial" w:cs="Arial" w:eastAsia="Arial" w:hAnsi="Arial"/>
          <w:sz w:val="18"/>
          <w:szCs w:val="18"/>
          <w:b w:val="1"/>
          <w:bCs w:val="1"/>
          <w:color w:val="auto"/>
        </w:rPr>
        <w:t xml:space="preserve"> </w:t>
      </w:r>
      <w:r>
        <w:rPr>
          <w:rFonts w:ascii="Arial" w:cs="Arial" w:eastAsia="Arial" w:hAnsi="Arial"/>
          <w:sz w:val="18"/>
          <w:szCs w:val="18"/>
          <w:color w:val="auto"/>
        </w:rPr>
        <w:t>month for the third quarter of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60325</wp:posOffset>
            </wp:positionV>
            <wp:extent cx="5600065"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00065" cy="34290"/>
                    </a:xfrm>
                    <a:prstGeom prst="rect">
                      <a:avLst/>
                    </a:prstGeom>
                    <a:noFill/>
                  </pic:spPr>
                </pic:pic>
              </a:graphicData>
            </a:graphic>
          </wp:anchor>
        </w:drawing>
      </w:r>
    </w:p>
    <w:p>
      <w:pPr>
        <w:spacing w:after="0" w:line="256"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2040" w:type="dxa"/>
            <w:vAlign w:val="bottom"/>
          </w:tcPr>
          <w:p>
            <w:pPr>
              <w:spacing w:after="0"/>
              <w:rPr>
                <w:sz w:val="16"/>
                <w:szCs w:val="16"/>
                <w:color w:val="auto"/>
              </w:rPr>
            </w:pPr>
          </w:p>
        </w:tc>
        <w:tc>
          <w:tcPr>
            <w:tcW w:w="1580" w:type="dxa"/>
            <w:vAlign w:val="bottom"/>
            <w:vMerge w:val="restart"/>
          </w:tcPr>
          <w:p>
            <w:pPr>
              <w:jc w:val="right"/>
              <w:spacing w:after="0"/>
              <w:rPr>
                <w:sz w:val="20"/>
                <w:szCs w:val="20"/>
                <w:color w:val="auto"/>
              </w:rPr>
            </w:pPr>
            <w:r>
              <w:rPr>
                <w:rFonts w:ascii="Arial" w:cs="Arial" w:eastAsia="Arial" w:hAnsi="Arial"/>
                <w:sz w:val="16"/>
                <w:szCs w:val="16"/>
                <w:i w:val="1"/>
                <w:iCs w:val="1"/>
                <w:color w:val="auto"/>
              </w:rPr>
              <w:t>Total Number of</w:t>
            </w:r>
          </w:p>
        </w:tc>
        <w:tc>
          <w:tcPr>
            <w:tcW w:w="180" w:type="dxa"/>
            <w:vAlign w:val="bottom"/>
          </w:tcPr>
          <w:p>
            <w:pPr>
              <w:spacing w:after="0"/>
              <w:rPr>
                <w:sz w:val="16"/>
                <w:szCs w:val="16"/>
                <w:color w:val="auto"/>
              </w:rPr>
            </w:pPr>
          </w:p>
        </w:tc>
        <w:tc>
          <w:tcPr>
            <w:tcW w:w="900" w:type="dxa"/>
            <w:vAlign w:val="bottom"/>
            <w:vMerge w:val="restart"/>
          </w:tcPr>
          <w:p>
            <w:pPr>
              <w:jc w:val="center"/>
              <w:spacing w:after="0"/>
              <w:rPr>
                <w:sz w:val="20"/>
                <w:szCs w:val="20"/>
                <w:color w:val="auto"/>
              </w:rPr>
            </w:pPr>
            <w:r>
              <w:rPr>
                <w:rFonts w:ascii="Arial" w:cs="Arial" w:eastAsia="Arial" w:hAnsi="Arial"/>
                <w:sz w:val="16"/>
                <w:szCs w:val="16"/>
                <w:i w:val="1"/>
                <w:iCs w:val="1"/>
                <w:color w:val="auto"/>
              </w:rPr>
              <w:t>Average</w:t>
            </w:r>
          </w:p>
        </w:tc>
        <w:tc>
          <w:tcPr>
            <w:tcW w:w="2120" w:type="dxa"/>
            <w:vAlign w:val="bottom"/>
          </w:tcPr>
          <w:p>
            <w:pPr>
              <w:jc w:val="right"/>
              <w:ind w:right="59"/>
              <w:spacing w:after="0"/>
              <w:rPr>
                <w:sz w:val="20"/>
                <w:szCs w:val="20"/>
                <w:color w:val="auto"/>
              </w:rPr>
            </w:pPr>
            <w:r>
              <w:rPr>
                <w:rFonts w:ascii="Arial" w:cs="Arial" w:eastAsia="Arial" w:hAnsi="Arial"/>
                <w:sz w:val="16"/>
                <w:szCs w:val="16"/>
                <w:i w:val="1"/>
                <w:iCs w:val="1"/>
                <w:color w:val="auto"/>
              </w:rPr>
              <w:t>Total Number of Shares</w:t>
            </w:r>
          </w:p>
        </w:tc>
        <w:tc>
          <w:tcPr>
            <w:tcW w:w="2000" w:type="dxa"/>
            <w:vAlign w:val="bottom"/>
          </w:tcPr>
          <w:p>
            <w:pPr>
              <w:jc w:val="right"/>
              <w:spacing w:after="0"/>
              <w:rPr>
                <w:sz w:val="20"/>
                <w:szCs w:val="20"/>
                <w:color w:val="auto"/>
              </w:rPr>
            </w:pPr>
            <w:r>
              <w:rPr>
                <w:rFonts w:ascii="Arial" w:cs="Arial" w:eastAsia="Arial" w:hAnsi="Arial"/>
                <w:sz w:val="16"/>
                <w:szCs w:val="16"/>
                <w:i w:val="1"/>
                <w:iCs w:val="1"/>
                <w:color w:val="auto"/>
              </w:rPr>
              <w:t>Maximum Number of</w:t>
            </w: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120" w:type="dxa"/>
            <w:vAlign w:val="bottom"/>
          </w:tcPr>
          <w:p>
            <w:pPr>
              <w:jc w:val="right"/>
              <w:ind w:right="59"/>
              <w:spacing w:after="0" w:line="162" w:lineRule="exact"/>
              <w:rPr>
                <w:sz w:val="20"/>
                <w:szCs w:val="20"/>
                <w:color w:val="auto"/>
              </w:rPr>
            </w:pPr>
            <w:r>
              <w:rPr>
                <w:rFonts w:ascii="Arial" w:cs="Arial" w:eastAsia="Arial" w:hAnsi="Arial"/>
                <w:sz w:val="16"/>
                <w:szCs w:val="16"/>
                <w:i w:val="1"/>
                <w:iCs w:val="1"/>
                <w:color w:val="auto"/>
              </w:rPr>
              <w:t>Purchased as Part of a</w:t>
            </w:r>
          </w:p>
        </w:tc>
        <w:tc>
          <w:tcPr>
            <w:tcW w:w="2000" w:type="dxa"/>
            <w:vAlign w:val="bottom"/>
          </w:tcPr>
          <w:p>
            <w:pPr>
              <w:jc w:val="right"/>
              <w:spacing w:after="0" w:line="162" w:lineRule="exact"/>
              <w:rPr>
                <w:sz w:val="20"/>
                <w:szCs w:val="20"/>
                <w:color w:val="auto"/>
              </w:rPr>
            </w:pPr>
            <w:r>
              <w:rPr>
                <w:rFonts w:ascii="Arial" w:cs="Arial" w:eastAsia="Arial" w:hAnsi="Arial"/>
                <w:sz w:val="16"/>
                <w:szCs w:val="16"/>
                <w:i w:val="1"/>
                <w:iCs w:val="1"/>
                <w:color w:val="auto"/>
              </w:rPr>
              <w:t>Shares That May Be</w:t>
            </w:r>
          </w:p>
        </w:tc>
        <w:tc>
          <w:tcPr>
            <w:tcW w:w="0" w:type="dxa"/>
            <w:vAlign w:val="bottom"/>
          </w:tcPr>
          <w:p>
            <w:pPr>
              <w:spacing w:after="0"/>
              <w:rPr>
                <w:sz w:val="1"/>
                <w:szCs w:val="1"/>
                <w:color w:val="auto"/>
              </w:rPr>
            </w:pPr>
          </w:p>
        </w:tc>
      </w:tr>
      <w:tr>
        <w:trPr>
          <w:trHeight w:val="162"/>
        </w:trPr>
        <w:tc>
          <w:tcPr>
            <w:tcW w:w="2040" w:type="dxa"/>
            <w:vAlign w:val="bottom"/>
            <w:vMerge w:val="restart"/>
          </w:tcPr>
          <w:p>
            <w:pPr>
              <w:spacing w:after="0"/>
              <w:rPr>
                <w:sz w:val="20"/>
                <w:szCs w:val="20"/>
                <w:color w:val="auto"/>
              </w:rPr>
            </w:pPr>
            <w:r>
              <w:rPr>
                <w:rFonts w:ascii="Arial" w:cs="Arial" w:eastAsia="Arial" w:hAnsi="Arial"/>
                <w:sz w:val="16"/>
                <w:szCs w:val="16"/>
                <w:i w:val="1"/>
                <w:iCs w:val="1"/>
                <w:color w:val="auto"/>
              </w:rPr>
              <w:t>Period</w:t>
            </w:r>
          </w:p>
        </w:tc>
        <w:tc>
          <w:tcPr>
            <w:tcW w:w="1580" w:type="dxa"/>
            <w:vAlign w:val="bottom"/>
          </w:tcPr>
          <w:p>
            <w:pPr>
              <w:jc w:val="right"/>
              <w:spacing w:after="0" w:line="162" w:lineRule="exact"/>
              <w:rPr>
                <w:sz w:val="20"/>
                <w:szCs w:val="20"/>
                <w:color w:val="auto"/>
              </w:rPr>
            </w:pPr>
            <w:r>
              <w:rPr>
                <w:rFonts w:ascii="Arial" w:cs="Arial" w:eastAsia="Arial" w:hAnsi="Arial"/>
                <w:sz w:val="16"/>
                <w:szCs w:val="16"/>
                <w:i w:val="1"/>
                <w:iCs w:val="1"/>
                <w:color w:val="auto"/>
              </w:rPr>
              <w:t>Shares</w:t>
            </w:r>
          </w:p>
        </w:tc>
        <w:tc>
          <w:tcPr>
            <w:tcW w:w="1080" w:type="dxa"/>
            <w:vAlign w:val="bottom"/>
            <w:gridSpan w:val="2"/>
          </w:tcPr>
          <w:p>
            <w:pPr>
              <w:jc w:val="right"/>
              <w:ind w:right="99"/>
              <w:spacing w:after="0" w:line="162" w:lineRule="exact"/>
              <w:rPr>
                <w:sz w:val="20"/>
                <w:szCs w:val="20"/>
                <w:color w:val="auto"/>
              </w:rPr>
            </w:pPr>
            <w:r>
              <w:rPr>
                <w:rFonts w:ascii="Arial" w:cs="Arial" w:eastAsia="Arial" w:hAnsi="Arial"/>
                <w:sz w:val="16"/>
                <w:szCs w:val="16"/>
                <w:i w:val="1"/>
                <w:iCs w:val="1"/>
                <w:color w:val="auto"/>
              </w:rPr>
              <w:t>Price Paid</w:t>
            </w:r>
          </w:p>
        </w:tc>
        <w:tc>
          <w:tcPr>
            <w:tcW w:w="2120" w:type="dxa"/>
            <w:vAlign w:val="bottom"/>
          </w:tcPr>
          <w:p>
            <w:pPr>
              <w:jc w:val="right"/>
              <w:ind w:right="59"/>
              <w:spacing w:after="0" w:line="162" w:lineRule="exact"/>
              <w:rPr>
                <w:sz w:val="20"/>
                <w:szCs w:val="20"/>
                <w:color w:val="auto"/>
              </w:rPr>
            </w:pPr>
            <w:r>
              <w:rPr>
                <w:rFonts w:ascii="Arial" w:cs="Arial" w:eastAsia="Arial" w:hAnsi="Arial"/>
                <w:sz w:val="16"/>
                <w:szCs w:val="16"/>
                <w:i w:val="1"/>
                <w:iCs w:val="1"/>
                <w:color w:val="auto"/>
              </w:rPr>
              <w:t>Publicly Announced Plan</w:t>
            </w:r>
          </w:p>
        </w:tc>
        <w:tc>
          <w:tcPr>
            <w:tcW w:w="2000" w:type="dxa"/>
            <w:vAlign w:val="bottom"/>
          </w:tcPr>
          <w:p>
            <w:pPr>
              <w:jc w:val="right"/>
              <w:spacing w:after="0" w:line="162" w:lineRule="exact"/>
              <w:rPr>
                <w:sz w:val="20"/>
                <w:szCs w:val="20"/>
                <w:color w:val="auto"/>
              </w:rPr>
            </w:pPr>
            <w:r>
              <w:rPr>
                <w:rFonts w:ascii="Arial" w:cs="Arial" w:eastAsia="Arial" w:hAnsi="Arial"/>
                <w:sz w:val="16"/>
                <w:szCs w:val="16"/>
                <w:i w:val="1"/>
                <w:iCs w:val="1"/>
                <w:color w:val="auto"/>
              </w:rPr>
              <w:t>Purchased Under Current</w:t>
            </w:r>
          </w:p>
        </w:tc>
        <w:tc>
          <w:tcPr>
            <w:tcW w:w="0" w:type="dxa"/>
            <w:vAlign w:val="bottom"/>
          </w:tcPr>
          <w:p>
            <w:pPr>
              <w:spacing w:after="0"/>
              <w:rPr>
                <w:sz w:val="1"/>
                <w:szCs w:val="1"/>
                <w:color w:val="auto"/>
              </w:rPr>
            </w:pPr>
          </w:p>
        </w:tc>
      </w:tr>
      <w:tr>
        <w:trPr>
          <w:trHeight w:val="196"/>
        </w:trPr>
        <w:tc>
          <w:tcPr>
            <w:tcW w:w="2040" w:type="dxa"/>
            <w:vAlign w:val="bottom"/>
            <w:tcBorders>
              <w:bottom w:val="single" w:sz="8" w:color="7F7F7F"/>
            </w:tcBorders>
            <w:vMerge w:val="continue"/>
          </w:tcPr>
          <w:p>
            <w:pPr>
              <w:spacing w:after="0"/>
              <w:rPr>
                <w:sz w:val="17"/>
                <w:szCs w:val="17"/>
                <w:color w:val="auto"/>
              </w:rPr>
            </w:pPr>
          </w:p>
        </w:tc>
        <w:tc>
          <w:tcPr>
            <w:tcW w:w="158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Purchased [a]</w:t>
            </w:r>
          </w:p>
        </w:tc>
        <w:tc>
          <w:tcPr>
            <w:tcW w:w="180" w:type="dxa"/>
            <w:vAlign w:val="bottom"/>
            <w:tcBorders>
              <w:bottom w:val="single" w:sz="8" w:color="7F7F7F"/>
            </w:tcBorders>
          </w:tcPr>
          <w:p>
            <w:pPr>
              <w:spacing w:after="0"/>
              <w:rPr>
                <w:sz w:val="17"/>
                <w:szCs w:val="17"/>
                <w:color w:val="auto"/>
              </w:rPr>
            </w:pPr>
          </w:p>
        </w:tc>
        <w:tc>
          <w:tcPr>
            <w:tcW w:w="900" w:type="dxa"/>
            <w:vAlign w:val="bottom"/>
            <w:tcBorders>
              <w:bottom w:val="single" w:sz="8" w:color="7F7F7F"/>
            </w:tcBorders>
          </w:tcPr>
          <w:p>
            <w:pPr>
              <w:jc w:val="right"/>
              <w:ind w:right="99"/>
              <w:spacing w:after="0"/>
              <w:rPr>
                <w:sz w:val="20"/>
                <w:szCs w:val="20"/>
                <w:color w:val="auto"/>
              </w:rPr>
            </w:pPr>
            <w:r>
              <w:rPr>
                <w:rFonts w:ascii="Arial" w:cs="Arial" w:eastAsia="Arial" w:hAnsi="Arial"/>
                <w:sz w:val="16"/>
                <w:szCs w:val="16"/>
                <w:i w:val="1"/>
                <w:iCs w:val="1"/>
                <w:color w:val="auto"/>
                <w:w w:val="97"/>
              </w:rPr>
              <w:t>Per Share</w:t>
            </w:r>
          </w:p>
        </w:tc>
        <w:tc>
          <w:tcPr>
            <w:tcW w:w="2120" w:type="dxa"/>
            <w:vAlign w:val="bottom"/>
            <w:tcBorders>
              <w:bottom w:val="single" w:sz="8" w:color="7F7F7F"/>
            </w:tcBorders>
          </w:tcPr>
          <w:p>
            <w:pPr>
              <w:jc w:val="right"/>
              <w:ind w:right="59"/>
              <w:spacing w:after="0"/>
              <w:rPr>
                <w:sz w:val="20"/>
                <w:szCs w:val="20"/>
                <w:color w:val="auto"/>
              </w:rPr>
            </w:pPr>
            <w:r>
              <w:rPr>
                <w:rFonts w:ascii="Arial" w:cs="Arial" w:eastAsia="Arial" w:hAnsi="Arial"/>
                <w:sz w:val="16"/>
                <w:szCs w:val="16"/>
                <w:i w:val="1"/>
                <w:iCs w:val="1"/>
                <w:color w:val="auto"/>
              </w:rPr>
              <w:t>or Program [b]</w:t>
            </w:r>
          </w:p>
        </w:tc>
        <w:tc>
          <w:tcPr>
            <w:tcW w:w="200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Authority [b]</w:t>
            </w: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spacing w:after="0"/>
              <w:rPr>
                <w:sz w:val="20"/>
                <w:szCs w:val="20"/>
                <w:color w:val="auto"/>
              </w:rPr>
            </w:pPr>
            <w:r>
              <w:rPr>
                <w:rFonts w:ascii="Arial" w:cs="Arial" w:eastAsia="Arial" w:hAnsi="Arial"/>
                <w:sz w:val="16"/>
                <w:szCs w:val="16"/>
                <w:color w:val="auto"/>
              </w:rPr>
              <w:t>Jul. 1 through Jul. 31</w:t>
            </w: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3,033,053</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106.34</w:t>
            </w:r>
          </w:p>
        </w:tc>
        <w:tc>
          <w:tcPr>
            <w:tcW w:w="21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3,031,855</w:t>
            </w: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101,648,562</w:t>
            </w:r>
          </w:p>
        </w:tc>
        <w:tc>
          <w:tcPr>
            <w:tcW w:w="0" w:type="dxa"/>
            <w:vAlign w:val="bottom"/>
          </w:tcPr>
          <w:p>
            <w:pPr>
              <w:spacing w:after="0"/>
              <w:rPr>
                <w:sz w:val="1"/>
                <w:szCs w:val="1"/>
                <w:color w:val="auto"/>
              </w:rPr>
            </w:pPr>
          </w:p>
        </w:tc>
      </w:tr>
      <w:tr>
        <w:trPr>
          <w:trHeight w:val="213"/>
        </w:trPr>
        <w:tc>
          <w:tcPr>
            <w:tcW w:w="2040" w:type="dxa"/>
            <w:vAlign w:val="bottom"/>
          </w:tcPr>
          <w:p>
            <w:pPr>
              <w:spacing w:after="0"/>
              <w:rPr>
                <w:sz w:val="20"/>
                <w:szCs w:val="20"/>
                <w:color w:val="auto"/>
              </w:rPr>
            </w:pPr>
            <w:r>
              <w:rPr>
                <w:rFonts w:ascii="Arial" w:cs="Arial" w:eastAsia="Arial" w:hAnsi="Arial"/>
                <w:sz w:val="16"/>
                <w:szCs w:val="16"/>
                <w:color w:val="auto"/>
              </w:rPr>
              <w:t>Aug. 1 through Aug. 31</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5,285,956</w:t>
            </w:r>
          </w:p>
        </w:tc>
        <w:tc>
          <w:tcPr>
            <w:tcW w:w="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104.10</w:t>
            </w:r>
          </w:p>
        </w:tc>
        <w:tc>
          <w:tcPr>
            <w:tcW w:w="2120" w:type="dxa"/>
            <w:vAlign w:val="bottom"/>
          </w:tcPr>
          <w:p>
            <w:pPr>
              <w:jc w:val="right"/>
              <w:ind w:right="99"/>
              <w:spacing w:after="0"/>
              <w:rPr>
                <w:sz w:val="20"/>
                <w:szCs w:val="20"/>
                <w:color w:val="auto"/>
              </w:rPr>
            </w:pPr>
            <w:r>
              <w:rPr>
                <w:rFonts w:ascii="Arial" w:cs="Arial" w:eastAsia="Arial" w:hAnsi="Arial"/>
                <w:sz w:val="16"/>
                <w:szCs w:val="16"/>
                <w:color w:val="auto"/>
              </w:rPr>
              <w:t>5,285,900</w:t>
            </w:r>
          </w:p>
        </w:tc>
        <w:tc>
          <w:tcPr>
            <w:tcW w:w="2000" w:type="dxa"/>
            <w:vAlign w:val="bottom"/>
          </w:tcPr>
          <w:p>
            <w:pPr>
              <w:jc w:val="right"/>
              <w:spacing w:after="0"/>
              <w:rPr>
                <w:sz w:val="20"/>
                <w:szCs w:val="20"/>
                <w:color w:val="auto"/>
              </w:rPr>
            </w:pPr>
            <w:r>
              <w:rPr>
                <w:rFonts w:ascii="Arial" w:cs="Arial" w:eastAsia="Arial" w:hAnsi="Arial"/>
                <w:sz w:val="16"/>
                <w:szCs w:val="16"/>
                <w:color w:val="auto"/>
              </w:rPr>
              <w:t>96,362,662</w:t>
            </w:r>
          </w:p>
        </w:tc>
        <w:tc>
          <w:tcPr>
            <w:tcW w:w="0" w:type="dxa"/>
            <w:vAlign w:val="bottom"/>
          </w:tcPr>
          <w:p>
            <w:pPr>
              <w:spacing w:after="0"/>
              <w:rPr>
                <w:sz w:val="1"/>
                <w:szCs w:val="1"/>
                <w:color w:val="auto"/>
              </w:rPr>
            </w:pPr>
          </w:p>
        </w:tc>
      </w:tr>
      <w:tr>
        <w:trPr>
          <w:trHeight w:val="213"/>
        </w:trPr>
        <w:tc>
          <w:tcPr>
            <w:tcW w:w="204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Sep. 1 through Sep. 30</w:t>
            </w:r>
          </w:p>
        </w:tc>
        <w:tc>
          <w:tcPr>
            <w:tcW w:w="1580" w:type="dxa"/>
            <w:vAlign w:val="bottom"/>
            <w:tcBorders>
              <w:bottom w:val="single" w:sz="8" w:color="7F7F7F"/>
            </w:tcBorders>
            <w:shd w:val="clear" w:color="auto" w:fill="CCEEFF"/>
          </w:tcPr>
          <w:p>
            <w:pPr>
              <w:jc w:val="right"/>
              <w:ind w:right="39"/>
              <w:spacing w:after="0"/>
              <w:rPr>
                <w:sz w:val="20"/>
                <w:szCs w:val="20"/>
                <w:color w:val="auto"/>
              </w:rPr>
            </w:pPr>
            <w:r>
              <w:rPr>
                <w:rFonts w:ascii="Arial" w:cs="Arial" w:eastAsia="Arial" w:hAnsi="Arial"/>
                <w:sz w:val="16"/>
                <w:szCs w:val="16"/>
                <w:color w:val="auto"/>
              </w:rPr>
              <w:t>3,491,195</w:t>
            </w:r>
          </w:p>
        </w:tc>
        <w:tc>
          <w:tcPr>
            <w:tcW w:w="180" w:type="dxa"/>
            <w:vAlign w:val="bottom"/>
            <w:tcBorders>
              <w:bottom w:val="single" w:sz="8" w:color="7F7F7F"/>
            </w:tcBorders>
            <w:shd w:val="clear" w:color="auto" w:fill="CCEEFF"/>
          </w:tcPr>
          <w:p>
            <w:pPr>
              <w:spacing w:after="0"/>
              <w:rPr>
                <w:sz w:val="18"/>
                <w:szCs w:val="18"/>
                <w:color w:val="auto"/>
              </w:rPr>
            </w:pPr>
          </w:p>
        </w:tc>
        <w:tc>
          <w:tcPr>
            <w:tcW w:w="900" w:type="dxa"/>
            <w:vAlign w:val="bottom"/>
            <w:tcBorders>
              <w:bottom w:val="single" w:sz="8" w:color="7F7F7F"/>
            </w:tcBorders>
            <w:shd w:val="clear" w:color="auto" w:fill="CCEEFF"/>
          </w:tcPr>
          <w:p>
            <w:pPr>
              <w:jc w:val="center"/>
              <w:spacing w:after="0"/>
              <w:rPr>
                <w:sz w:val="20"/>
                <w:szCs w:val="20"/>
                <w:color w:val="auto"/>
              </w:rPr>
            </w:pPr>
            <w:r>
              <w:rPr>
                <w:rFonts w:ascii="Arial" w:cs="Arial" w:eastAsia="Arial" w:hAnsi="Arial"/>
                <w:sz w:val="16"/>
                <w:szCs w:val="16"/>
                <w:color w:val="auto"/>
              </w:rPr>
              <w:t>110.93</w:t>
            </w:r>
          </w:p>
        </w:tc>
        <w:tc>
          <w:tcPr>
            <w:tcW w:w="2120" w:type="dxa"/>
            <w:vAlign w:val="bottom"/>
            <w:tcBorders>
              <w:bottom w:val="single" w:sz="8" w:color="7F7F7F"/>
            </w:tcBorders>
            <w:shd w:val="clear" w:color="auto" w:fill="CCEEFF"/>
          </w:tcPr>
          <w:p>
            <w:pPr>
              <w:jc w:val="right"/>
              <w:ind w:right="99"/>
              <w:spacing w:after="0"/>
              <w:rPr>
                <w:sz w:val="20"/>
                <w:szCs w:val="20"/>
                <w:color w:val="auto"/>
              </w:rPr>
            </w:pPr>
            <w:r>
              <w:rPr>
                <w:rFonts w:ascii="Arial" w:cs="Arial" w:eastAsia="Arial" w:hAnsi="Arial"/>
                <w:sz w:val="16"/>
                <w:szCs w:val="16"/>
                <w:color w:val="auto"/>
              </w:rPr>
              <w:t>3,484,000</w:t>
            </w:r>
          </w:p>
        </w:tc>
        <w:tc>
          <w:tcPr>
            <w:tcW w:w="20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92,878,662</w:t>
            </w:r>
          </w:p>
        </w:tc>
        <w:tc>
          <w:tcPr>
            <w:tcW w:w="0" w:type="dxa"/>
            <w:vAlign w:val="bottom"/>
          </w:tcPr>
          <w:p>
            <w:pPr>
              <w:spacing w:after="0"/>
              <w:rPr>
                <w:sz w:val="1"/>
                <w:szCs w:val="1"/>
                <w:color w:val="auto"/>
              </w:rPr>
            </w:pPr>
          </w:p>
        </w:tc>
      </w:tr>
      <w:tr>
        <w:trPr>
          <w:trHeight w:val="237"/>
        </w:trPr>
        <w:tc>
          <w:tcPr>
            <w:tcW w:w="2040" w:type="dxa"/>
            <w:vAlign w:val="bottom"/>
          </w:tcPr>
          <w:p>
            <w:pPr>
              <w:spacing w:after="0"/>
              <w:rPr>
                <w:sz w:val="20"/>
                <w:szCs w:val="20"/>
                <w:color w:val="auto"/>
              </w:rPr>
            </w:pPr>
            <w:r>
              <w:rPr>
                <w:rFonts w:ascii="Arial" w:cs="Arial" w:eastAsia="Arial" w:hAnsi="Arial"/>
                <w:sz w:val="16"/>
                <w:szCs w:val="16"/>
                <w:color w:val="auto"/>
              </w:rPr>
              <w:t>Total</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11,810,204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center"/>
              <w:spacing w:after="0"/>
              <w:rPr>
                <w:sz w:val="20"/>
                <w:szCs w:val="20"/>
                <w:color w:val="auto"/>
              </w:rPr>
            </w:pPr>
            <w:r>
              <w:rPr>
                <w:rFonts w:ascii="Arial" w:cs="Arial" w:eastAsia="Arial" w:hAnsi="Arial"/>
                <w:sz w:val="16"/>
                <w:szCs w:val="16"/>
                <w:color w:val="auto"/>
              </w:rPr>
              <w:t>106.69</w:t>
            </w:r>
          </w:p>
        </w:tc>
        <w:tc>
          <w:tcPr>
            <w:tcW w:w="2120" w:type="dxa"/>
            <w:vAlign w:val="bottom"/>
          </w:tcPr>
          <w:p>
            <w:pPr>
              <w:jc w:val="right"/>
              <w:ind w:right="99"/>
              <w:spacing w:after="0"/>
              <w:rPr>
                <w:sz w:val="20"/>
                <w:szCs w:val="20"/>
                <w:color w:val="auto"/>
              </w:rPr>
            </w:pPr>
            <w:r>
              <w:rPr>
                <w:rFonts w:ascii="Arial" w:cs="Arial" w:eastAsia="Arial" w:hAnsi="Arial"/>
                <w:sz w:val="16"/>
                <w:szCs w:val="16"/>
                <w:color w:val="auto"/>
              </w:rPr>
              <w:t>11,801,755</w:t>
            </w:r>
          </w:p>
        </w:tc>
        <w:tc>
          <w:tcPr>
            <w:tcW w:w="200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81"/>
        </w:trPr>
        <w:tc>
          <w:tcPr>
            <w:tcW w:w="2040" w:type="dxa"/>
            <w:vAlign w:val="bottom"/>
            <w:tcBorders>
              <w:bottom w:val="single" w:sz="8" w:color="7F7F7F"/>
            </w:tcBorders>
          </w:tcPr>
          <w:p>
            <w:pPr>
              <w:spacing w:after="0"/>
              <w:rPr>
                <w:sz w:val="7"/>
                <w:szCs w:val="7"/>
                <w:color w:val="auto"/>
              </w:rPr>
            </w:pPr>
          </w:p>
        </w:tc>
        <w:tc>
          <w:tcPr>
            <w:tcW w:w="1580" w:type="dxa"/>
            <w:vAlign w:val="bottom"/>
            <w:tcBorders>
              <w:bottom w:val="single" w:sz="8" w:color="7F7F7F"/>
            </w:tcBorders>
          </w:tcPr>
          <w:p>
            <w:pPr>
              <w:spacing w:after="0"/>
              <w:rPr>
                <w:sz w:val="7"/>
                <w:szCs w:val="7"/>
                <w:color w:val="auto"/>
              </w:rPr>
            </w:pPr>
          </w:p>
        </w:tc>
        <w:tc>
          <w:tcPr>
            <w:tcW w:w="180" w:type="dxa"/>
            <w:vAlign w:val="bottom"/>
            <w:tcBorders>
              <w:bottom w:val="single" w:sz="8" w:color="7F7F7F"/>
            </w:tcBorders>
          </w:tcPr>
          <w:p>
            <w:pPr>
              <w:spacing w:after="0"/>
              <w:rPr>
                <w:sz w:val="7"/>
                <w:szCs w:val="7"/>
                <w:color w:val="auto"/>
              </w:rPr>
            </w:pPr>
          </w:p>
        </w:tc>
        <w:tc>
          <w:tcPr>
            <w:tcW w:w="900" w:type="dxa"/>
            <w:vAlign w:val="bottom"/>
            <w:tcBorders>
              <w:bottom w:val="single" w:sz="8" w:color="7F7F7F"/>
            </w:tcBorders>
          </w:tcPr>
          <w:p>
            <w:pPr>
              <w:spacing w:after="0"/>
              <w:rPr>
                <w:sz w:val="7"/>
                <w:szCs w:val="7"/>
                <w:color w:val="auto"/>
              </w:rPr>
            </w:pPr>
          </w:p>
        </w:tc>
        <w:tc>
          <w:tcPr>
            <w:tcW w:w="2120" w:type="dxa"/>
            <w:vAlign w:val="bottom"/>
            <w:tcBorders>
              <w:bottom w:val="single" w:sz="8" w:color="7F7F7F"/>
            </w:tcBorders>
          </w:tcPr>
          <w:p>
            <w:pPr>
              <w:spacing w:after="0"/>
              <w:rPr>
                <w:sz w:val="7"/>
                <w:szCs w:val="7"/>
                <w:color w:val="auto"/>
              </w:rPr>
            </w:pPr>
          </w:p>
        </w:tc>
        <w:tc>
          <w:tcPr>
            <w:tcW w:w="2000" w:type="dxa"/>
            <w:vAlign w:val="bottom"/>
            <w:tcBorders>
              <w:bottom w:val="single" w:sz="8" w:color="7F7F7F"/>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ind w:left="420" w:right="99" w:hanging="315"/>
        <w:spacing w:after="0" w:line="226" w:lineRule="auto"/>
        <w:tabs>
          <w:tab w:leader="none" w:pos="420"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Total number of shares purchased during the quarter includes 8,449 shares delivered or attested to UPC by employees to pay stock option exercise prices, satisfy excess tax withholding obligations for stock option exercises or vesting of retention units, and pay withholding obligations for vesting of retention shares.</w:t>
      </w:r>
    </w:p>
    <w:p>
      <w:pPr>
        <w:spacing w:after="0" w:line="85" w:lineRule="exact"/>
        <w:rPr>
          <w:rFonts w:ascii="Arial" w:cs="Arial" w:eastAsia="Arial" w:hAnsi="Arial"/>
          <w:sz w:val="14"/>
          <w:szCs w:val="14"/>
          <w:i w:val="1"/>
          <w:iCs w:val="1"/>
          <w:color w:val="auto"/>
        </w:rPr>
      </w:pPr>
    </w:p>
    <w:p>
      <w:pPr>
        <w:jc w:val="both"/>
        <w:ind w:left="420" w:right="99" w:hanging="315"/>
        <w:spacing w:after="0" w:line="226" w:lineRule="auto"/>
        <w:tabs>
          <w:tab w:leader="none" w:pos="420"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Effective January 1, 2017, our Board of Directors authorized the repurchase of up to 120 million shares of our common stock by December 31, 2020, replacing our previous repurchase program. These repurchases may be made on the open market or through other transactions. Our management has sole discretion with respect to determining the timing and amount of these transactions.</w:t>
      </w:r>
    </w:p>
    <w:p>
      <w:pPr>
        <w:spacing w:after="0" w:line="112" w:lineRule="exact"/>
        <w:rPr>
          <w:sz w:val="20"/>
          <w:szCs w:val="20"/>
          <w:color w:val="auto"/>
        </w:rPr>
      </w:pPr>
    </w:p>
    <w:p>
      <w:pPr>
        <w:jc w:val="both"/>
        <w:ind w:left="100" w:right="99"/>
        <w:spacing w:after="0" w:line="221" w:lineRule="auto"/>
        <w:rPr>
          <w:sz w:val="20"/>
          <w:szCs w:val="20"/>
          <w:color w:val="auto"/>
        </w:rPr>
      </w:pPr>
      <w:r>
        <w:rPr>
          <w:rFonts w:ascii="Arial" w:cs="Arial" w:eastAsia="Arial" w:hAnsi="Arial"/>
          <w:sz w:val="18"/>
          <w:szCs w:val="18"/>
          <w:b w:val="1"/>
          <w:bCs w:val="1"/>
          <w:color w:val="auto"/>
        </w:rPr>
        <w:t xml:space="preserve">Dividend Restrictions </w:t>
      </w:r>
      <w:r>
        <w:rPr>
          <w:rFonts w:ascii="Arial" w:cs="Arial" w:eastAsia="Arial" w:hAnsi="Arial"/>
          <w:sz w:val="18"/>
          <w:szCs w:val="18"/>
          <w:color w:val="auto"/>
        </w:rPr>
        <w:t>– Our revolving credit facility includes a debt-to-net worth covenant (discussed in Note</w:t>
      </w:r>
      <w:r>
        <w:rPr>
          <w:rFonts w:ascii="Arial" w:cs="Arial" w:eastAsia="Arial" w:hAnsi="Arial"/>
          <w:sz w:val="18"/>
          <w:szCs w:val="18"/>
          <w:b w:val="1"/>
          <w:bCs w:val="1"/>
          <w:color w:val="auto"/>
        </w:rPr>
        <w:t xml:space="preserve"> </w:t>
      </w:r>
      <w:r>
        <w:rPr>
          <w:rFonts w:ascii="Arial" w:cs="Arial" w:eastAsia="Arial" w:hAnsi="Arial"/>
          <w:sz w:val="18"/>
          <w:szCs w:val="18"/>
          <w:color w:val="auto"/>
        </w:rPr>
        <w:t>15 of the Condensed Consolidated Financial Statements) that, under certain circumstances, restricts the payment of cash dividends to our shareholders. The amount of retained earnings available for dividends was $10.7 billion and $12.4 billion at September 30, 2017, and December 31, 2016, respectively.</w:t>
      </w:r>
    </w:p>
    <w:p>
      <w:pPr>
        <w:spacing w:after="0" w:line="11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6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None.</w:t>
      </w:r>
    </w:p>
    <w:p>
      <w:pPr>
        <w:spacing w:after="0" w:line="12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4. Mine Safety Disclosures</w:t>
      </w:r>
    </w:p>
    <w:p>
      <w:pPr>
        <w:spacing w:after="0" w:line="16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12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5. Other Information</w:t>
      </w:r>
    </w:p>
    <w:p>
      <w:pPr>
        <w:spacing w:after="0" w:line="16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45085</wp:posOffset>
            </wp:positionV>
            <wp:extent cx="5642610" cy="514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7" w:name="page38"/>
    <w:bookmarkEnd w:id="37"/>
    <w:p>
      <w:pPr>
        <w:ind w:left="10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6. Exhibits</w:t>
      </w:r>
    </w:p>
    <w:p>
      <w:pPr>
        <w:spacing w:after="0" w:line="365"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color w:val="auto"/>
                <w:w w:val="98"/>
              </w:rPr>
              <w:t>Exhibit No.</w:t>
            </w:r>
          </w:p>
        </w:tc>
        <w:tc>
          <w:tcPr>
            <w:tcW w:w="1080" w:type="dxa"/>
            <w:vAlign w:val="bottom"/>
          </w:tcPr>
          <w:p>
            <w:pPr>
              <w:spacing w:after="0"/>
              <w:rPr>
                <w:sz w:val="17"/>
                <w:szCs w:val="17"/>
                <w:color w:val="auto"/>
              </w:rPr>
            </w:pPr>
          </w:p>
        </w:tc>
        <w:tc>
          <w:tcPr>
            <w:tcW w:w="6980" w:type="dxa"/>
            <w:vAlign w:val="bottom"/>
            <w:gridSpan w:val="26"/>
          </w:tcPr>
          <w:p>
            <w:pPr>
              <w:spacing w:after="0"/>
              <w:rPr>
                <w:sz w:val="20"/>
                <w:szCs w:val="20"/>
                <w:color w:val="auto"/>
              </w:rPr>
            </w:pPr>
            <w:r>
              <w:rPr>
                <w:rFonts w:ascii="Arial" w:cs="Arial" w:eastAsia="Arial" w:hAnsi="Arial"/>
                <w:sz w:val="18"/>
                <w:szCs w:val="18"/>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20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9"/>
              </w:rPr>
              <w:t>Filed with this Statement</w:t>
            </w:r>
          </w:p>
        </w:tc>
        <w:tc>
          <w:tcPr>
            <w:tcW w:w="6940" w:type="dxa"/>
            <w:vAlign w:val="bottom"/>
            <w:gridSpan w:val="25"/>
          </w:tcPr>
          <w:p>
            <w:pPr>
              <w:spacing w:after="0"/>
              <w:rPr>
                <w:sz w:val="24"/>
                <w:szCs w:val="24"/>
                <w:color w:val="auto"/>
              </w:rPr>
            </w:pP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w:t>
            </w:r>
          </w:p>
        </w:tc>
        <w:tc>
          <w:tcPr>
            <w:tcW w:w="1080" w:type="dxa"/>
            <w:vAlign w:val="bottom"/>
          </w:tcPr>
          <w:p>
            <w:pPr>
              <w:spacing w:after="0"/>
              <w:rPr>
                <w:sz w:val="24"/>
                <w:szCs w:val="24"/>
                <w:color w:val="auto"/>
              </w:rPr>
            </w:pPr>
          </w:p>
        </w:tc>
        <w:tc>
          <w:tcPr>
            <w:tcW w:w="6980" w:type="dxa"/>
            <w:vAlign w:val="bottom"/>
            <w:gridSpan w:val="26"/>
          </w:tcPr>
          <w:p>
            <w:pPr>
              <w:spacing w:after="0"/>
              <w:rPr>
                <w:rFonts w:ascii="Arial" w:cs="Arial" w:eastAsia="Arial" w:hAnsi="Arial"/>
                <w:sz w:val="18"/>
                <w:szCs w:val="18"/>
                <w:color w:val="auto"/>
              </w:rPr>
            </w:pPr>
            <w:hyperlink w:anchor="page40">
              <w:r>
                <w:rPr>
                  <w:rFonts w:ascii="Arial" w:cs="Arial" w:eastAsia="Arial" w:hAnsi="Arial"/>
                  <w:sz w:val="18"/>
                  <w:szCs w:val="18"/>
                  <w:color w:val="auto"/>
                </w:rPr>
                <w:t>Supplemental Pension Plan (409A Non-Grandfathered Component) for Officers and</w:t>
              </w:r>
            </w:hyperlink>
          </w:p>
        </w:tc>
      </w:tr>
      <w:tr>
        <w:trPr>
          <w:trHeight w:val="156"/>
        </w:trPr>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760" w:type="dxa"/>
            <w:vAlign w:val="bottom"/>
            <w:tcBorders>
              <w:top w:val="single" w:sz="8" w:color="auto"/>
              <w:bottom w:val="single" w:sz="8" w:color="auto"/>
            </w:tcBorders>
            <w:gridSpan w:val="15"/>
          </w:tcPr>
          <w:p>
            <w:pPr>
              <w:spacing w:after="0" w:line="156" w:lineRule="exact"/>
              <w:rPr>
                <w:rFonts w:ascii="Arial" w:cs="Arial" w:eastAsia="Arial" w:hAnsi="Arial"/>
                <w:sz w:val="18"/>
                <w:szCs w:val="18"/>
                <w:color w:val="auto"/>
              </w:rPr>
            </w:pPr>
            <w:hyperlink w:anchor="page40">
              <w:r>
                <w:rPr>
                  <w:rFonts w:ascii="Arial" w:cs="Arial" w:eastAsia="Arial" w:hAnsi="Arial"/>
                  <w:sz w:val="18"/>
                  <w:szCs w:val="18"/>
                  <w:color w:val="auto"/>
                </w:rPr>
                <w:t>Managers of Union Pacific Corporation and Affiliates, as amended and restated in its</w:t>
              </w:r>
            </w:hyperlink>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860" w:type="dxa"/>
            <w:vAlign w:val="bottom"/>
            <w:gridSpan w:val="20"/>
          </w:tcPr>
          <w:p>
            <w:pPr>
              <w:spacing w:after="0" w:line="156" w:lineRule="exact"/>
              <w:rPr>
                <w:rFonts w:ascii="Arial" w:cs="Arial" w:eastAsia="Arial" w:hAnsi="Arial"/>
                <w:sz w:val="18"/>
                <w:szCs w:val="18"/>
                <w:color w:val="auto"/>
              </w:rPr>
            </w:pPr>
            <w:hyperlink w:anchor="page40">
              <w:r>
                <w:rPr>
                  <w:rFonts w:ascii="Arial" w:cs="Arial" w:eastAsia="Arial" w:hAnsi="Arial"/>
                  <w:sz w:val="18"/>
                  <w:szCs w:val="18"/>
                  <w:color w:val="auto"/>
                </w:rPr>
                <w:t>entirety effective as of January 1, 1989, including all amendments adopted through</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840" w:type="dxa"/>
            <w:vAlign w:val="bottom"/>
            <w:tcBorders>
              <w:top w:val="single" w:sz="8" w:color="auto"/>
            </w:tcBorders>
            <w:gridSpan w:val="19"/>
          </w:tcPr>
          <w:p>
            <w:pPr>
              <w:spacing w:after="0" w:line="156" w:lineRule="exact"/>
              <w:rPr>
                <w:rFonts w:ascii="Arial" w:cs="Arial" w:eastAsia="Arial" w:hAnsi="Arial"/>
                <w:sz w:val="18"/>
                <w:szCs w:val="18"/>
                <w:color w:val="auto"/>
              </w:rPr>
            </w:pPr>
            <w:hyperlink w:anchor="page40">
              <w:r>
                <w:rPr>
                  <w:rFonts w:ascii="Arial" w:cs="Arial" w:eastAsia="Arial" w:hAnsi="Arial"/>
                  <w:sz w:val="18"/>
                  <w:szCs w:val="18"/>
                  <w:color w:val="auto"/>
                </w:rPr>
                <w:t>September 30, 2017.</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12(a)</w:t>
            </w:r>
          </w:p>
        </w:tc>
        <w:tc>
          <w:tcPr>
            <w:tcW w:w="1080" w:type="dxa"/>
            <w:vAlign w:val="bottom"/>
          </w:tcPr>
          <w:p>
            <w:pPr>
              <w:spacing w:after="0"/>
              <w:rPr>
                <w:sz w:val="24"/>
                <w:szCs w:val="24"/>
                <w:color w:val="auto"/>
              </w:rPr>
            </w:pPr>
          </w:p>
        </w:tc>
        <w:tc>
          <w:tcPr>
            <w:tcW w:w="6980" w:type="dxa"/>
            <w:vAlign w:val="bottom"/>
            <w:gridSpan w:val="26"/>
          </w:tcPr>
          <w:p>
            <w:pPr>
              <w:spacing w:after="0"/>
              <w:rPr>
                <w:rFonts w:ascii="Arial" w:cs="Arial" w:eastAsia="Arial" w:hAnsi="Arial"/>
                <w:sz w:val="18"/>
                <w:szCs w:val="18"/>
                <w:color w:val="auto"/>
              </w:rPr>
            </w:pPr>
            <w:hyperlink w:anchor="page72">
              <w:r>
                <w:rPr>
                  <w:rFonts w:ascii="Arial" w:cs="Arial" w:eastAsia="Arial" w:hAnsi="Arial"/>
                  <w:sz w:val="18"/>
                  <w:szCs w:val="18"/>
                  <w:color w:val="auto"/>
                </w:rPr>
                <w:t>Ratio of Earnings to Fixed Charges for the Three Months Ended September 30,</w:t>
              </w:r>
            </w:hyperlink>
          </w:p>
        </w:tc>
      </w:tr>
      <w:tr>
        <w:trPr>
          <w:trHeight w:val="156"/>
        </w:trPr>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Borders>
              <w:top w:val="single" w:sz="8" w:color="auto"/>
              <w:bottom w:val="single" w:sz="8" w:color="auto"/>
            </w:tcBorders>
            <w:gridSpan w:val="5"/>
          </w:tcPr>
          <w:p>
            <w:pPr>
              <w:spacing w:after="0" w:line="156" w:lineRule="exact"/>
              <w:rPr>
                <w:rFonts w:ascii="Arial" w:cs="Arial" w:eastAsia="Arial" w:hAnsi="Arial"/>
                <w:sz w:val="18"/>
                <w:szCs w:val="18"/>
                <w:color w:val="auto"/>
                <w:w w:val="99"/>
              </w:rPr>
            </w:pPr>
            <w:hyperlink w:anchor="page72">
              <w:r>
                <w:rPr>
                  <w:rFonts w:ascii="Arial" w:cs="Arial" w:eastAsia="Arial" w:hAnsi="Arial"/>
                  <w:sz w:val="18"/>
                  <w:szCs w:val="18"/>
                  <w:color w:val="auto"/>
                  <w:w w:val="99"/>
                </w:rPr>
                <w:t>2017 and 2016.</w:t>
              </w:r>
            </w:hyperlink>
          </w:p>
        </w:tc>
        <w:tc>
          <w:tcPr>
            <w:tcW w:w="5520" w:type="dxa"/>
            <w:vAlign w:val="bottom"/>
            <w:tcBorders>
              <w:top w:val="single" w:sz="8" w:color="auto"/>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12(b)</w:t>
            </w:r>
          </w:p>
        </w:tc>
        <w:tc>
          <w:tcPr>
            <w:tcW w:w="1080" w:type="dxa"/>
            <w:vAlign w:val="bottom"/>
          </w:tcPr>
          <w:p>
            <w:pPr>
              <w:spacing w:after="0"/>
              <w:rPr>
                <w:sz w:val="24"/>
                <w:szCs w:val="24"/>
                <w:color w:val="auto"/>
              </w:rPr>
            </w:pPr>
          </w:p>
        </w:tc>
        <w:tc>
          <w:tcPr>
            <w:tcW w:w="6980" w:type="dxa"/>
            <w:vAlign w:val="bottom"/>
            <w:gridSpan w:val="26"/>
          </w:tcPr>
          <w:p>
            <w:pPr>
              <w:spacing w:after="0"/>
              <w:rPr>
                <w:rFonts w:ascii="Arial" w:cs="Arial" w:eastAsia="Arial" w:hAnsi="Arial"/>
                <w:sz w:val="18"/>
                <w:szCs w:val="18"/>
                <w:color w:val="auto"/>
              </w:rPr>
            </w:pPr>
            <w:hyperlink w:anchor="page73">
              <w:r>
                <w:rPr>
                  <w:rFonts w:ascii="Arial" w:cs="Arial" w:eastAsia="Arial" w:hAnsi="Arial"/>
                  <w:sz w:val="18"/>
                  <w:szCs w:val="18"/>
                  <w:color w:val="auto"/>
                </w:rPr>
                <w:t>Ratio of Earnings to Fixed Charges for the Nine Months Ended September 30, 2017</w:t>
              </w:r>
            </w:hyperlink>
          </w:p>
        </w:tc>
      </w:tr>
      <w:tr>
        <w:trPr>
          <w:trHeight w:val="156"/>
        </w:trPr>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740" w:type="dxa"/>
            <w:vAlign w:val="bottom"/>
            <w:tcBorders>
              <w:top w:val="single" w:sz="8" w:color="auto"/>
            </w:tcBorders>
            <w:gridSpan w:val="14"/>
          </w:tcPr>
          <w:p>
            <w:pPr>
              <w:spacing w:after="0" w:line="156" w:lineRule="exact"/>
              <w:rPr>
                <w:rFonts w:ascii="Arial" w:cs="Arial" w:eastAsia="Arial" w:hAnsi="Arial"/>
                <w:sz w:val="18"/>
                <w:szCs w:val="18"/>
                <w:color w:val="auto"/>
              </w:rPr>
            </w:pPr>
            <w:hyperlink w:anchor="page73">
              <w:r>
                <w:rPr>
                  <w:rFonts w:ascii="Arial" w:cs="Arial" w:eastAsia="Arial" w:hAnsi="Arial"/>
                  <w:sz w:val="18"/>
                  <w:szCs w:val="18"/>
                  <w:color w:val="auto"/>
                </w:rPr>
                <w:t>and 2016.</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31(a)</w:t>
            </w:r>
          </w:p>
        </w:tc>
        <w:tc>
          <w:tcPr>
            <w:tcW w:w="1080" w:type="dxa"/>
            <w:vAlign w:val="bottom"/>
          </w:tcPr>
          <w:p>
            <w:pPr>
              <w:spacing w:after="0"/>
              <w:rPr>
                <w:sz w:val="24"/>
                <w:szCs w:val="24"/>
                <w:color w:val="auto"/>
              </w:rPr>
            </w:pPr>
          </w:p>
        </w:tc>
        <w:tc>
          <w:tcPr>
            <w:tcW w:w="6980" w:type="dxa"/>
            <w:vAlign w:val="bottom"/>
            <w:gridSpan w:val="26"/>
          </w:tcPr>
          <w:p>
            <w:pPr>
              <w:spacing w:after="0"/>
              <w:rPr>
                <w:rFonts w:ascii="Arial" w:cs="Arial" w:eastAsia="Arial" w:hAnsi="Arial"/>
                <w:sz w:val="18"/>
                <w:szCs w:val="18"/>
                <w:color w:val="auto"/>
              </w:rPr>
            </w:pPr>
            <w:hyperlink w:anchor="page74">
              <w:r>
                <w:rPr>
                  <w:rFonts w:ascii="Arial" w:cs="Arial" w:eastAsia="Arial" w:hAnsi="Arial"/>
                  <w:sz w:val="18"/>
                  <w:szCs w:val="18"/>
                  <w:color w:val="auto"/>
                </w:rPr>
                <w:t>Certifications Pursuant to Rule 13a-14(a), of the Exchange Act, as Adopted pursuant</w:t>
              </w:r>
            </w:hyperlink>
          </w:p>
        </w:tc>
      </w:tr>
      <w:tr>
        <w:trPr>
          <w:trHeight w:val="156"/>
        </w:trPr>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920" w:type="dxa"/>
            <w:vAlign w:val="bottom"/>
            <w:tcBorders>
              <w:top w:val="single" w:sz="8" w:color="auto"/>
            </w:tcBorders>
            <w:gridSpan w:val="23"/>
          </w:tcPr>
          <w:p>
            <w:pPr>
              <w:spacing w:after="0" w:line="156" w:lineRule="exact"/>
              <w:rPr>
                <w:rFonts w:ascii="Arial" w:cs="Arial" w:eastAsia="Arial" w:hAnsi="Arial"/>
                <w:sz w:val="18"/>
                <w:szCs w:val="18"/>
                <w:color w:val="auto"/>
              </w:rPr>
            </w:pPr>
            <w:hyperlink w:anchor="page74">
              <w:r>
                <w:rPr>
                  <w:rFonts w:ascii="Arial" w:cs="Arial" w:eastAsia="Arial" w:hAnsi="Arial"/>
                  <w:sz w:val="18"/>
                  <w:szCs w:val="18"/>
                  <w:color w:val="auto"/>
                </w:rPr>
                <w:t>to Section 302 of the Sarbanes-Oxley Act of 2002 – Lance M. Fritz.</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960" w:type="dxa"/>
            <w:vAlign w:val="bottom"/>
            <w:gridSpan w:val="5"/>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31(b)</w:t>
            </w:r>
          </w:p>
        </w:tc>
        <w:tc>
          <w:tcPr>
            <w:tcW w:w="1080" w:type="dxa"/>
            <w:vAlign w:val="bottom"/>
          </w:tcPr>
          <w:p>
            <w:pPr>
              <w:spacing w:after="0"/>
              <w:rPr>
                <w:sz w:val="24"/>
                <w:szCs w:val="24"/>
                <w:color w:val="auto"/>
              </w:rPr>
            </w:pPr>
          </w:p>
        </w:tc>
        <w:tc>
          <w:tcPr>
            <w:tcW w:w="6980" w:type="dxa"/>
            <w:vAlign w:val="bottom"/>
            <w:gridSpan w:val="26"/>
          </w:tcPr>
          <w:p>
            <w:pPr>
              <w:spacing w:after="0"/>
              <w:rPr>
                <w:rFonts w:ascii="Arial" w:cs="Arial" w:eastAsia="Arial" w:hAnsi="Arial"/>
                <w:sz w:val="18"/>
                <w:szCs w:val="18"/>
                <w:color w:val="auto"/>
              </w:rPr>
            </w:pPr>
            <w:hyperlink w:anchor="page75">
              <w:r>
                <w:rPr>
                  <w:rFonts w:ascii="Arial" w:cs="Arial" w:eastAsia="Arial" w:hAnsi="Arial"/>
                  <w:sz w:val="18"/>
                  <w:szCs w:val="18"/>
                  <w:color w:val="auto"/>
                </w:rPr>
                <w:t>Certifications Pursuant to Rule 13a-14(a), of the Exchange Act, as Adopted pursuant</w:t>
              </w:r>
            </w:hyperlink>
          </w:p>
        </w:tc>
      </w:tr>
      <w:tr>
        <w:trPr>
          <w:trHeight w:val="156"/>
        </w:trPr>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760" w:type="dxa"/>
            <w:vAlign w:val="bottom"/>
            <w:tcBorders>
              <w:top w:val="single" w:sz="8" w:color="auto"/>
              <w:bottom w:val="single" w:sz="8" w:color="auto"/>
            </w:tcBorders>
            <w:gridSpan w:val="11"/>
          </w:tcPr>
          <w:p>
            <w:pPr>
              <w:spacing w:after="0" w:line="156" w:lineRule="exact"/>
              <w:rPr>
                <w:rFonts w:ascii="Arial" w:cs="Arial" w:eastAsia="Arial" w:hAnsi="Arial"/>
                <w:sz w:val="18"/>
                <w:szCs w:val="18"/>
                <w:color w:val="auto"/>
                <w:w w:val="99"/>
              </w:rPr>
            </w:pPr>
            <w:hyperlink w:anchor="page75">
              <w:r>
                <w:rPr>
                  <w:rFonts w:ascii="Arial" w:cs="Arial" w:eastAsia="Arial" w:hAnsi="Arial"/>
                  <w:sz w:val="18"/>
                  <w:szCs w:val="18"/>
                  <w:color w:val="auto"/>
                  <w:w w:val="99"/>
                </w:rPr>
                <w:t>to Section 302 of the Sarbanes-Oxley Act of 2002 - Robert M. Knight, Jr.</w:t>
              </w:r>
            </w:hyperlink>
          </w:p>
        </w:tc>
        <w:tc>
          <w:tcPr>
            <w:tcW w:w="1160" w:type="dxa"/>
            <w:vAlign w:val="bottom"/>
            <w:tcBorders>
              <w:top w:val="single" w:sz="8" w:color="auto"/>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32</w:t>
            </w:r>
          </w:p>
        </w:tc>
        <w:tc>
          <w:tcPr>
            <w:tcW w:w="1080" w:type="dxa"/>
            <w:vAlign w:val="bottom"/>
          </w:tcPr>
          <w:p>
            <w:pPr>
              <w:spacing w:after="0"/>
              <w:rPr>
                <w:sz w:val="24"/>
                <w:szCs w:val="24"/>
                <w:color w:val="auto"/>
              </w:rPr>
            </w:pPr>
          </w:p>
        </w:tc>
        <w:tc>
          <w:tcPr>
            <w:tcW w:w="6980" w:type="dxa"/>
            <w:vAlign w:val="bottom"/>
            <w:gridSpan w:val="26"/>
          </w:tcPr>
          <w:p>
            <w:pPr>
              <w:spacing w:after="0"/>
              <w:rPr>
                <w:rFonts w:ascii="Arial" w:cs="Arial" w:eastAsia="Arial" w:hAnsi="Arial"/>
                <w:sz w:val="18"/>
                <w:szCs w:val="18"/>
                <w:color w:val="auto"/>
              </w:rPr>
            </w:pPr>
            <w:hyperlink w:anchor="page76">
              <w:r>
                <w:rPr>
                  <w:rFonts w:ascii="Arial" w:cs="Arial" w:eastAsia="Arial" w:hAnsi="Arial"/>
                  <w:sz w:val="18"/>
                  <w:szCs w:val="18"/>
                  <w:color w:val="auto"/>
                </w:rPr>
                <w:t>Certifications Pursuant to 18 U.S.C. Section 1350, as Adopted pursuant to Section</w:t>
              </w:r>
            </w:hyperlink>
          </w:p>
        </w:tc>
      </w:tr>
      <w:tr>
        <w:trPr>
          <w:trHeight w:val="156"/>
        </w:trPr>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800" w:type="dxa"/>
            <w:vAlign w:val="bottom"/>
            <w:tcBorders>
              <w:top w:val="single" w:sz="8" w:color="auto"/>
            </w:tcBorders>
            <w:gridSpan w:val="17"/>
          </w:tcPr>
          <w:p>
            <w:pPr>
              <w:spacing w:after="0" w:line="156" w:lineRule="exact"/>
              <w:rPr>
                <w:rFonts w:ascii="Arial" w:cs="Arial" w:eastAsia="Arial" w:hAnsi="Arial"/>
                <w:sz w:val="18"/>
                <w:szCs w:val="18"/>
                <w:color w:val="auto"/>
              </w:rPr>
            </w:pPr>
            <w:hyperlink w:anchor="page76">
              <w:r>
                <w:rPr>
                  <w:rFonts w:ascii="Arial" w:cs="Arial" w:eastAsia="Arial" w:hAnsi="Arial"/>
                  <w:sz w:val="18"/>
                  <w:szCs w:val="18"/>
                  <w:color w:val="auto"/>
                </w:rPr>
                <w:t>906 of the Sarbanes-Oxley Act of 2002 – Lance M. Fritz and Robert M. Knight, Jr.</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960" w:type="dxa"/>
            <w:vAlign w:val="bottom"/>
            <w:gridSpan w:val="5"/>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80" w:type="dxa"/>
            <w:vAlign w:val="bottom"/>
            <w:gridSpan w:val="2"/>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0"/>
        </w:trPr>
        <w:tc>
          <w:tcPr>
            <w:tcW w:w="880" w:type="dxa"/>
            <w:vAlign w:val="bottom"/>
          </w:tcPr>
          <w:p>
            <w:pPr>
              <w:spacing w:after="0"/>
              <w:rPr>
                <w:sz w:val="20"/>
                <w:szCs w:val="20"/>
                <w:color w:val="auto"/>
              </w:rPr>
            </w:pPr>
            <w:r>
              <w:rPr>
                <w:rFonts w:ascii="Arial" w:cs="Arial" w:eastAsia="Arial" w:hAnsi="Arial"/>
                <w:sz w:val="18"/>
                <w:szCs w:val="18"/>
                <w:color w:val="auto"/>
              </w:rPr>
              <w:t>101</w:t>
            </w:r>
          </w:p>
        </w:tc>
        <w:tc>
          <w:tcPr>
            <w:tcW w:w="1080" w:type="dxa"/>
            <w:vAlign w:val="bottom"/>
          </w:tcPr>
          <w:p>
            <w:pPr>
              <w:spacing w:after="0"/>
              <w:rPr>
                <w:sz w:val="24"/>
                <w:szCs w:val="24"/>
                <w:color w:val="auto"/>
              </w:rPr>
            </w:pPr>
          </w:p>
        </w:tc>
        <w:tc>
          <w:tcPr>
            <w:tcW w:w="6980" w:type="dxa"/>
            <w:vAlign w:val="bottom"/>
            <w:gridSpan w:val="26"/>
          </w:tcPr>
          <w:p>
            <w:pPr>
              <w:spacing w:after="0"/>
              <w:rPr>
                <w:sz w:val="20"/>
                <w:szCs w:val="20"/>
                <w:color w:val="auto"/>
              </w:rPr>
            </w:pPr>
            <w:r>
              <w:rPr>
                <w:rFonts w:ascii="Arial" w:cs="Arial" w:eastAsia="Arial" w:hAnsi="Arial"/>
                <w:sz w:val="18"/>
                <w:szCs w:val="18"/>
                <w:color w:val="auto"/>
              </w:rPr>
              <w:t>eXtensible  Business  Reporting  Language  (XBRL)  documents  submitted</w:t>
            </w:r>
          </w:p>
        </w:tc>
      </w:tr>
      <w:tr>
        <w:trPr>
          <w:trHeight w:val="176"/>
        </w:trPr>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980" w:type="dxa"/>
            <w:vAlign w:val="bottom"/>
            <w:gridSpan w:val="26"/>
          </w:tcPr>
          <w:p>
            <w:pPr>
              <w:spacing w:after="0" w:line="176" w:lineRule="exact"/>
              <w:rPr>
                <w:sz w:val="20"/>
                <w:szCs w:val="20"/>
                <w:color w:val="auto"/>
              </w:rPr>
            </w:pPr>
            <w:r>
              <w:rPr>
                <w:rFonts w:ascii="Arial" w:cs="Arial" w:eastAsia="Arial" w:hAnsi="Arial"/>
                <w:sz w:val="18"/>
                <w:szCs w:val="18"/>
                <w:color w:val="auto"/>
              </w:rPr>
              <w:t>electronically: 101.INS (XBRL Instance Document), 101.SCH (XBRL Taxonomy</w:t>
            </w:r>
          </w:p>
        </w:tc>
      </w:tr>
      <w:tr>
        <w:trPr>
          <w:trHeight w:val="176"/>
        </w:trPr>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980" w:type="dxa"/>
            <w:vAlign w:val="bottom"/>
            <w:gridSpan w:val="26"/>
          </w:tcPr>
          <w:p>
            <w:pPr>
              <w:spacing w:after="0" w:line="176" w:lineRule="exact"/>
              <w:rPr>
                <w:sz w:val="20"/>
                <w:szCs w:val="20"/>
                <w:color w:val="auto"/>
              </w:rPr>
            </w:pPr>
            <w:r>
              <w:rPr>
                <w:rFonts w:ascii="Arial" w:cs="Arial" w:eastAsia="Arial" w:hAnsi="Arial"/>
                <w:sz w:val="18"/>
                <w:szCs w:val="18"/>
                <w:color w:val="auto"/>
              </w:rPr>
              <w:t>Extension Schema Document), 101.CAL (XBRL Calculation Linkbase Document),</w:t>
            </w:r>
          </w:p>
        </w:tc>
      </w:tr>
      <w:tr>
        <w:trPr>
          <w:trHeight w:val="176"/>
        </w:trPr>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980" w:type="dxa"/>
            <w:vAlign w:val="bottom"/>
            <w:gridSpan w:val="26"/>
          </w:tcPr>
          <w:p>
            <w:pPr>
              <w:spacing w:after="0" w:line="176" w:lineRule="exact"/>
              <w:rPr>
                <w:sz w:val="20"/>
                <w:szCs w:val="20"/>
                <w:color w:val="auto"/>
              </w:rPr>
            </w:pPr>
            <w:r>
              <w:rPr>
                <w:rFonts w:ascii="Arial" w:cs="Arial" w:eastAsia="Arial" w:hAnsi="Arial"/>
                <w:sz w:val="18"/>
                <w:szCs w:val="18"/>
                <w:color w:val="auto"/>
              </w:rPr>
              <w:t>101.LAB (XBRL Taxonomy Label Linkbase Document), 101.DEF (XBRL Taxonomy</w:t>
            </w:r>
          </w:p>
        </w:tc>
      </w:tr>
      <w:tr>
        <w:trPr>
          <w:trHeight w:val="176"/>
        </w:trPr>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980" w:type="dxa"/>
            <w:vAlign w:val="bottom"/>
            <w:gridSpan w:val="26"/>
          </w:tcPr>
          <w:p>
            <w:pPr>
              <w:spacing w:after="0" w:line="176" w:lineRule="exact"/>
              <w:rPr>
                <w:sz w:val="20"/>
                <w:szCs w:val="20"/>
                <w:color w:val="auto"/>
              </w:rPr>
            </w:pPr>
            <w:r>
              <w:rPr>
                <w:rFonts w:ascii="Arial" w:cs="Arial" w:eastAsia="Arial" w:hAnsi="Arial"/>
                <w:sz w:val="18"/>
                <w:szCs w:val="18"/>
                <w:color w:val="auto"/>
              </w:rPr>
              <w:t>Definition  Linkbase  Document)  and  101.PRE  (XBRL  Taxonomy  Presentation</w:t>
            </w:r>
          </w:p>
        </w:tc>
      </w:tr>
      <w:tr>
        <w:trPr>
          <w:trHeight w:val="176"/>
        </w:trPr>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980" w:type="dxa"/>
            <w:vAlign w:val="bottom"/>
            <w:gridSpan w:val="26"/>
          </w:tcPr>
          <w:p>
            <w:pPr>
              <w:spacing w:after="0" w:line="176" w:lineRule="exact"/>
              <w:rPr>
                <w:sz w:val="20"/>
                <w:szCs w:val="20"/>
                <w:color w:val="auto"/>
              </w:rPr>
            </w:pPr>
            <w:r>
              <w:rPr>
                <w:rFonts w:ascii="Arial" w:cs="Arial" w:eastAsia="Arial" w:hAnsi="Arial"/>
                <w:sz w:val="18"/>
                <w:szCs w:val="18"/>
                <w:color w:val="auto"/>
              </w:rPr>
              <w:t>Linkbase Document). The following financial and related information from Union</w:t>
            </w:r>
          </w:p>
        </w:tc>
      </w:tr>
      <w:tr>
        <w:trPr>
          <w:trHeight w:val="176"/>
        </w:trPr>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980" w:type="dxa"/>
            <w:vAlign w:val="bottom"/>
            <w:gridSpan w:val="26"/>
          </w:tcPr>
          <w:p>
            <w:pPr>
              <w:spacing w:after="0" w:line="176" w:lineRule="exact"/>
              <w:rPr>
                <w:sz w:val="20"/>
                <w:szCs w:val="20"/>
                <w:color w:val="auto"/>
              </w:rPr>
            </w:pPr>
            <w:r>
              <w:rPr>
                <w:rFonts w:ascii="Arial" w:cs="Arial" w:eastAsia="Arial" w:hAnsi="Arial"/>
                <w:sz w:val="18"/>
                <w:szCs w:val="18"/>
                <w:color w:val="auto"/>
              </w:rPr>
              <w:t>Pacific  Corporation’s  Quarterly  Report  on  Form  10-Q  for  the  period  ended</w:t>
            </w:r>
          </w:p>
        </w:tc>
      </w:tr>
      <w:tr>
        <w:trPr>
          <w:trHeight w:val="176"/>
        </w:trPr>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980" w:type="dxa"/>
            <w:vAlign w:val="bottom"/>
            <w:gridSpan w:val="26"/>
          </w:tcPr>
          <w:p>
            <w:pPr>
              <w:spacing w:after="0" w:line="176" w:lineRule="exact"/>
              <w:rPr>
                <w:sz w:val="20"/>
                <w:szCs w:val="20"/>
                <w:color w:val="auto"/>
              </w:rPr>
            </w:pPr>
            <w:r>
              <w:rPr>
                <w:rFonts w:ascii="Arial" w:cs="Arial" w:eastAsia="Arial" w:hAnsi="Arial"/>
                <w:sz w:val="18"/>
                <w:szCs w:val="18"/>
                <w:color w:val="auto"/>
              </w:rPr>
              <w:t>September 30, 2017 (filed with the SEC on October 26, 2017), is formatted in XBRL</w:t>
            </w:r>
          </w:p>
        </w:tc>
      </w:tr>
      <w:tr>
        <w:trPr>
          <w:trHeight w:val="176"/>
        </w:trPr>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980" w:type="dxa"/>
            <w:vAlign w:val="bottom"/>
            <w:gridSpan w:val="26"/>
          </w:tcPr>
          <w:p>
            <w:pPr>
              <w:spacing w:after="0" w:line="176" w:lineRule="exact"/>
              <w:rPr>
                <w:sz w:val="20"/>
                <w:szCs w:val="20"/>
                <w:color w:val="auto"/>
              </w:rPr>
            </w:pPr>
            <w:r>
              <w:rPr>
                <w:rFonts w:ascii="Arial" w:cs="Arial" w:eastAsia="Arial" w:hAnsi="Arial"/>
                <w:sz w:val="18"/>
                <w:szCs w:val="18"/>
                <w:color w:val="auto"/>
              </w:rPr>
              <w:t>and submitted electronically herewith: (i) Condensed Consolidated Statements of</w:t>
            </w:r>
          </w:p>
        </w:tc>
      </w:tr>
      <w:tr>
        <w:trPr>
          <w:trHeight w:val="176"/>
        </w:trPr>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980" w:type="dxa"/>
            <w:vAlign w:val="bottom"/>
            <w:gridSpan w:val="26"/>
          </w:tcPr>
          <w:p>
            <w:pPr>
              <w:spacing w:after="0" w:line="176" w:lineRule="exact"/>
              <w:rPr>
                <w:sz w:val="20"/>
                <w:szCs w:val="20"/>
                <w:color w:val="auto"/>
              </w:rPr>
            </w:pPr>
            <w:r>
              <w:rPr>
                <w:rFonts w:ascii="Arial" w:cs="Arial" w:eastAsia="Arial" w:hAnsi="Arial"/>
                <w:sz w:val="18"/>
                <w:szCs w:val="18"/>
                <w:color w:val="auto"/>
              </w:rPr>
              <w:t>Income for the periods ended September 30, 2017 and 2016, (ii) Condensed</w:t>
            </w:r>
          </w:p>
        </w:tc>
      </w:tr>
      <w:tr>
        <w:trPr>
          <w:trHeight w:val="176"/>
        </w:trPr>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980" w:type="dxa"/>
            <w:vAlign w:val="bottom"/>
            <w:gridSpan w:val="26"/>
          </w:tcPr>
          <w:p>
            <w:pPr>
              <w:spacing w:after="0" w:line="176" w:lineRule="exact"/>
              <w:rPr>
                <w:sz w:val="20"/>
                <w:szCs w:val="20"/>
                <w:color w:val="auto"/>
              </w:rPr>
            </w:pPr>
            <w:r>
              <w:rPr>
                <w:rFonts w:ascii="Arial" w:cs="Arial" w:eastAsia="Arial" w:hAnsi="Arial"/>
                <w:sz w:val="18"/>
                <w:szCs w:val="18"/>
                <w:color w:val="auto"/>
              </w:rPr>
              <w:t>Consolidated  Statements  of  Comprehensive  Income  for  the  periods  ended</w:t>
            </w:r>
          </w:p>
        </w:tc>
      </w:tr>
      <w:tr>
        <w:trPr>
          <w:trHeight w:val="176"/>
        </w:trPr>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980" w:type="dxa"/>
            <w:vAlign w:val="bottom"/>
            <w:gridSpan w:val="26"/>
          </w:tcPr>
          <w:p>
            <w:pPr>
              <w:spacing w:after="0" w:line="176" w:lineRule="exact"/>
              <w:rPr>
                <w:sz w:val="20"/>
                <w:szCs w:val="20"/>
                <w:color w:val="auto"/>
              </w:rPr>
            </w:pPr>
            <w:r>
              <w:rPr>
                <w:rFonts w:ascii="Arial" w:cs="Arial" w:eastAsia="Arial" w:hAnsi="Arial"/>
                <w:sz w:val="18"/>
                <w:szCs w:val="18"/>
                <w:color w:val="auto"/>
              </w:rPr>
              <w:t>September  30,  2017  and  2016,  (iii)  Condensed  Consolidated  Statements  of</w:t>
            </w:r>
          </w:p>
        </w:tc>
      </w:tr>
      <w:tr>
        <w:trPr>
          <w:trHeight w:val="176"/>
        </w:trPr>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980" w:type="dxa"/>
            <w:vAlign w:val="bottom"/>
            <w:gridSpan w:val="26"/>
          </w:tcPr>
          <w:p>
            <w:pPr>
              <w:spacing w:after="0" w:line="176" w:lineRule="exact"/>
              <w:rPr>
                <w:sz w:val="20"/>
                <w:szCs w:val="20"/>
                <w:color w:val="auto"/>
              </w:rPr>
            </w:pPr>
            <w:r>
              <w:rPr>
                <w:rFonts w:ascii="Arial" w:cs="Arial" w:eastAsia="Arial" w:hAnsi="Arial"/>
                <w:sz w:val="18"/>
                <w:szCs w:val="18"/>
                <w:color w:val="auto"/>
              </w:rPr>
              <w:t>Financial Position at September 30, 2017 and December 31, 2016, (iv) Condensed</w:t>
            </w:r>
          </w:p>
        </w:tc>
      </w:tr>
      <w:tr>
        <w:trPr>
          <w:trHeight w:val="176"/>
        </w:trPr>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980" w:type="dxa"/>
            <w:vAlign w:val="bottom"/>
            <w:gridSpan w:val="26"/>
          </w:tcPr>
          <w:p>
            <w:pPr>
              <w:spacing w:after="0" w:line="176" w:lineRule="exact"/>
              <w:rPr>
                <w:sz w:val="20"/>
                <w:szCs w:val="20"/>
                <w:color w:val="auto"/>
              </w:rPr>
            </w:pPr>
            <w:r>
              <w:rPr>
                <w:rFonts w:ascii="Arial" w:cs="Arial" w:eastAsia="Arial" w:hAnsi="Arial"/>
                <w:sz w:val="18"/>
                <w:szCs w:val="18"/>
                <w:color w:val="auto"/>
              </w:rPr>
              <w:t>Consolidated Statements of Cash Flows for the periods ended September 30, 2017</w:t>
            </w:r>
          </w:p>
        </w:tc>
      </w:tr>
      <w:tr>
        <w:trPr>
          <w:trHeight w:val="176"/>
        </w:trPr>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980" w:type="dxa"/>
            <w:vAlign w:val="bottom"/>
            <w:gridSpan w:val="26"/>
          </w:tcPr>
          <w:p>
            <w:pPr>
              <w:spacing w:after="0" w:line="176" w:lineRule="exact"/>
              <w:rPr>
                <w:sz w:val="20"/>
                <w:szCs w:val="20"/>
                <w:color w:val="auto"/>
              </w:rPr>
            </w:pPr>
            <w:r>
              <w:rPr>
                <w:rFonts w:ascii="Arial" w:cs="Arial" w:eastAsia="Arial" w:hAnsi="Arial"/>
                <w:sz w:val="18"/>
                <w:szCs w:val="18"/>
                <w:color w:val="auto"/>
              </w:rPr>
              <w:t>and  2016,  (v)  Condensed  Consolidated  Statements  of  Changes  in  Common</w:t>
            </w:r>
          </w:p>
        </w:tc>
      </w:tr>
      <w:tr>
        <w:trPr>
          <w:trHeight w:val="176"/>
        </w:trPr>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980" w:type="dxa"/>
            <w:vAlign w:val="bottom"/>
            <w:gridSpan w:val="26"/>
          </w:tcPr>
          <w:p>
            <w:pPr>
              <w:spacing w:after="0" w:line="176" w:lineRule="exact"/>
              <w:rPr>
                <w:sz w:val="20"/>
                <w:szCs w:val="20"/>
                <w:color w:val="auto"/>
              </w:rPr>
            </w:pPr>
            <w:r>
              <w:rPr>
                <w:rFonts w:ascii="Arial" w:cs="Arial" w:eastAsia="Arial" w:hAnsi="Arial"/>
                <w:sz w:val="18"/>
                <w:szCs w:val="18"/>
                <w:color w:val="auto"/>
              </w:rPr>
              <w:t>Shareholders’ Equity for the periods ended September 30, 2017 and 2016, and (vi)</w:t>
            </w:r>
          </w:p>
        </w:tc>
      </w:tr>
      <w:tr>
        <w:trPr>
          <w:trHeight w:val="217"/>
        </w:trPr>
        <w:tc>
          <w:tcPr>
            <w:tcW w:w="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980" w:type="dxa"/>
            <w:vAlign w:val="bottom"/>
            <w:gridSpan w:val="26"/>
          </w:tcPr>
          <w:p>
            <w:pPr>
              <w:spacing w:after="0"/>
              <w:rPr>
                <w:sz w:val="20"/>
                <w:szCs w:val="20"/>
                <w:color w:val="auto"/>
              </w:rPr>
            </w:pPr>
            <w:r>
              <w:rPr>
                <w:rFonts w:ascii="Arial" w:cs="Arial" w:eastAsia="Arial" w:hAnsi="Arial"/>
                <w:sz w:val="18"/>
                <w:szCs w:val="18"/>
                <w:color w:val="auto"/>
              </w:rPr>
              <w:t>the Notes to the Condensed Consolidated Financial Statements.</w:t>
            </w:r>
          </w:p>
        </w:tc>
      </w:tr>
      <w:tr>
        <w:trPr>
          <w:trHeight w:val="311"/>
        </w:trPr>
        <w:tc>
          <w:tcPr>
            <w:tcW w:w="21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9"/>
              </w:rPr>
              <w:t>Incorporated by Reference</w:t>
            </w:r>
          </w:p>
        </w:tc>
        <w:tc>
          <w:tcPr>
            <w:tcW w:w="6800" w:type="dxa"/>
            <w:vAlign w:val="bottom"/>
            <w:gridSpan w:val="24"/>
          </w:tcPr>
          <w:p>
            <w:pPr>
              <w:spacing w:after="0"/>
              <w:rPr>
                <w:sz w:val="24"/>
                <w:szCs w:val="24"/>
                <w:color w:val="auto"/>
              </w:rPr>
            </w:pP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3(a)</w:t>
            </w:r>
          </w:p>
        </w:tc>
        <w:tc>
          <w:tcPr>
            <w:tcW w:w="1080" w:type="dxa"/>
            <w:vAlign w:val="bottom"/>
          </w:tcPr>
          <w:p>
            <w:pPr>
              <w:spacing w:after="0"/>
              <w:rPr>
                <w:sz w:val="24"/>
                <w:szCs w:val="24"/>
                <w:color w:val="auto"/>
              </w:rPr>
            </w:pPr>
          </w:p>
        </w:tc>
        <w:tc>
          <w:tcPr>
            <w:tcW w:w="6980" w:type="dxa"/>
            <w:vAlign w:val="bottom"/>
            <w:gridSpan w:val="26"/>
          </w:tcPr>
          <w:p>
            <w:pPr>
              <w:spacing w:after="0"/>
              <w:rPr>
                <w:rFonts w:ascii="Arial" w:cs="Arial" w:eastAsia="Arial" w:hAnsi="Arial"/>
                <w:sz w:val="18"/>
                <w:szCs w:val="18"/>
                <w:color w:val="auto"/>
              </w:rPr>
            </w:pPr>
            <w:hyperlink r:id="rId54">
              <w:r>
                <w:rPr>
                  <w:rFonts w:ascii="Arial" w:cs="Arial" w:eastAsia="Arial" w:hAnsi="Arial"/>
                  <w:sz w:val="18"/>
                  <w:szCs w:val="18"/>
                  <w:color w:val="auto"/>
                </w:rPr>
                <w:t>Restated Articles of Incorporation of UPC, as amended and restated through June</w:t>
              </w:r>
            </w:hyperlink>
          </w:p>
        </w:tc>
      </w:tr>
      <w:tr>
        <w:trPr>
          <w:trHeight w:val="156"/>
        </w:trPr>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960" w:type="dxa"/>
            <w:vAlign w:val="bottom"/>
            <w:tcBorders>
              <w:top w:val="single" w:sz="8" w:color="auto"/>
            </w:tcBorders>
            <w:gridSpan w:val="25"/>
          </w:tcPr>
          <w:p>
            <w:pPr>
              <w:spacing w:after="0" w:line="156" w:lineRule="exact"/>
              <w:rPr>
                <w:rFonts w:ascii="Arial" w:cs="Arial" w:eastAsia="Arial" w:hAnsi="Arial"/>
                <w:sz w:val="18"/>
                <w:szCs w:val="18"/>
                <w:color w:val="auto"/>
              </w:rPr>
            </w:pPr>
            <w:hyperlink r:id="rId54">
              <w:r>
                <w:rPr>
                  <w:rFonts w:ascii="Arial" w:cs="Arial" w:eastAsia="Arial" w:hAnsi="Arial"/>
                  <w:sz w:val="18"/>
                  <w:szCs w:val="18"/>
                  <w:color w:val="auto"/>
                </w:rPr>
                <w:t>27, 2011, and as further amended May 15, 2014, are incorporated herein by</w:t>
              </w:r>
            </w:hyperlink>
          </w:p>
        </w:tc>
        <w:tc>
          <w:tcPr>
            <w:tcW w:w="20" w:type="dxa"/>
            <w:vAlign w:val="bottom"/>
          </w:tcPr>
          <w:p>
            <w:pPr>
              <w:spacing w:after="0"/>
              <w:rPr>
                <w:sz w:val="13"/>
                <w:szCs w:val="13"/>
                <w:color w:val="auto"/>
              </w:rPr>
            </w:pPr>
          </w:p>
        </w:tc>
      </w:tr>
      <w:tr>
        <w:trPr>
          <w:trHeight w:val="156"/>
        </w:trPr>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820" w:type="dxa"/>
            <w:vAlign w:val="bottom"/>
            <w:tcBorders>
              <w:top w:val="single" w:sz="8" w:color="auto"/>
              <w:bottom w:val="single" w:sz="8" w:color="auto"/>
            </w:tcBorders>
            <w:gridSpan w:val="18"/>
          </w:tcPr>
          <w:p>
            <w:pPr>
              <w:spacing w:after="0" w:line="156" w:lineRule="exact"/>
              <w:rPr>
                <w:rFonts w:ascii="Arial" w:cs="Arial" w:eastAsia="Arial" w:hAnsi="Arial"/>
                <w:sz w:val="18"/>
                <w:szCs w:val="18"/>
                <w:color w:val="auto"/>
              </w:rPr>
            </w:pPr>
            <w:hyperlink r:id="rId54">
              <w:r>
                <w:rPr>
                  <w:rFonts w:ascii="Arial" w:cs="Arial" w:eastAsia="Arial" w:hAnsi="Arial"/>
                  <w:sz w:val="18"/>
                  <w:szCs w:val="18"/>
                  <w:color w:val="auto"/>
                </w:rPr>
                <w:t>reference to Exhibit 3(a) to the Corporation’s Quarterly Report on Form 10-Q for the</w:t>
              </w:r>
            </w:hyperlink>
          </w:p>
        </w:tc>
        <w:tc>
          <w:tcPr>
            <w:tcW w:w="60" w:type="dxa"/>
            <w:vAlign w:val="bottom"/>
            <w:tcBorders>
              <w:bottom w:val="single" w:sz="8" w:color="auto"/>
            </w:tcBorders>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880" w:type="dxa"/>
            <w:vAlign w:val="bottom"/>
            <w:gridSpan w:val="21"/>
          </w:tcPr>
          <w:p>
            <w:pPr>
              <w:spacing w:after="0" w:line="156" w:lineRule="exact"/>
              <w:rPr>
                <w:rFonts w:ascii="Arial" w:cs="Arial" w:eastAsia="Arial" w:hAnsi="Arial"/>
                <w:sz w:val="18"/>
                <w:szCs w:val="18"/>
                <w:color w:val="auto"/>
              </w:rPr>
            </w:pPr>
            <w:hyperlink r:id="rId54">
              <w:r>
                <w:rPr>
                  <w:rFonts w:ascii="Arial" w:cs="Arial" w:eastAsia="Arial" w:hAnsi="Arial"/>
                  <w:sz w:val="18"/>
                  <w:szCs w:val="18"/>
                  <w:color w:val="auto"/>
                </w:rPr>
                <w:t>quarter ended June 30, 2014.</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140" w:type="dxa"/>
            <w:vAlign w:val="bottom"/>
            <w:gridSpan w:val="7"/>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3(b)</w:t>
            </w:r>
          </w:p>
        </w:tc>
        <w:tc>
          <w:tcPr>
            <w:tcW w:w="1080" w:type="dxa"/>
            <w:vAlign w:val="bottom"/>
          </w:tcPr>
          <w:p>
            <w:pPr>
              <w:spacing w:after="0"/>
              <w:rPr>
                <w:sz w:val="24"/>
                <w:szCs w:val="24"/>
                <w:color w:val="auto"/>
              </w:rPr>
            </w:pPr>
          </w:p>
        </w:tc>
        <w:tc>
          <w:tcPr>
            <w:tcW w:w="6980" w:type="dxa"/>
            <w:vAlign w:val="bottom"/>
            <w:gridSpan w:val="26"/>
          </w:tcPr>
          <w:p>
            <w:pPr>
              <w:spacing w:after="0"/>
              <w:rPr>
                <w:rFonts w:ascii="Arial" w:cs="Arial" w:eastAsia="Arial" w:hAnsi="Arial"/>
                <w:sz w:val="18"/>
                <w:szCs w:val="18"/>
                <w:color w:val="auto"/>
              </w:rPr>
            </w:pPr>
            <w:hyperlink r:id="rId55">
              <w:r>
                <w:rPr>
                  <w:rFonts w:ascii="Arial" w:cs="Arial" w:eastAsia="Arial" w:hAnsi="Arial"/>
                  <w:sz w:val="18"/>
                  <w:szCs w:val="18"/>
                  <w:color w:val="auto"/>
                </w:rPr>
                <w:t>By-Laws of UPC, as amended, effective November 19, 2015, are incorporated</w:t>
              </w:r>
            </w:hyperlink>
          </w:p>
        </w:tc>
      </w:tr>
      <w:tr>
        <w:trPr>
          <w:trHeight w:val="156"/>
        </w:trPr>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900" w:type="dxa"/>
            <w:vAlign w:val="bottom"/>
            <w:tcBorders>
              <w:top w:val="single" w:sz="8" w:color="auto"/>
            </w:tcBorders>
            <w:gridSpan w:val="22"/>
          </w:tcPr>
          <w:p>
            <w:pPr>
              <w:spacing w:after="0" w:line="156" w:lineRule="exact"/>
              <w:rPr>
                <w:rFonts w:ascii="Arial" w:cs="Arial" w:eastAsia="Arial" w:hAnsi="Arial"/>
                <w:sz w:val="18"/>
                <w:szCs w:val="18"/>
                <w:color w:val="auto"/>
              </w:rPr>
            </w:pPr>
            <w:hyperlink r:id="rId55">
              <w:r>
                <w:rPr>
                  <w:rFonts w:ascii="Arial" w:cs="Arial" w:eastAsia="Arial" w:hAnsi="Arial"/>
                  <w:sz w:val="18"/>
                  <w:szCs w:val="18"/>
                  <w:color w:val="auto"/>
                </w:rPr>
                <w:t>herein by reference to Exhibit 3.2 to the Corporation’s Current Report on Form 8-K</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140" w:type="dxa"/>
            <w:vAlign w:val="bottom"/>
            <w:tcBorders>
              <w:top w:val="single" w:sz="8" w:color="auto"/>
              <w:bottom w:val="single" w:sz="8" w:color="auto"/>
            </w:tcBorders>
            <w:gridSpan w:val="7"/>
          </w:tcPr>
          <w:p>
            <w:pPr>
              <w:spacing w:after="0" w:line="156" w:lineRule="exact"/>
              <w:rPr>
                <w:rFonts w:ascii="Arial" w:cs="Arial" w:eastAsia="Arial" w:hAnsi="Arial"/>
                <w:sz w:val="18"/>
                <w:szCs w:val="18"/>
                <w:color w:val="auto"/>
                <w:w w:val="99"/>
              </w:rPr>
            </w:pPr>
            <w:hyperlink r:id="rId55">
              <w:r>
                <w:rPr>
                  <w:rFonts w:ascii="Arial" w:cs="Arial" w:eastAsia="Arial" w:hAnsi="Arial"/>
                  <w:sz w:val="18"/>
                  <w:szCs w:val="18"/>
                  <w:color w:val="auto"/>
                  <w:w w:val="99"/>
                </w:rPr>
                <w:t>dated November 19, 2015.</w:t>
              </w:r>
            </w:hyperlink>
          </w:p>
        </w:tc>
        <w:tc>
          <w:tcPr>
            <w:tcW w:w="4580" w:type="dxa"/>
            <w:vAlign w:val="bottom"/>
            <w:tcBorders>
              <w:top w:val="single" w:sz="8" w:color="auto"/>
            </w:tcBorders>
            <w:gridSpan w:val="6"/>
          </w:tcPr>
          <w:p>
            <w:pPr>
              <w:spacing w:after="0"/>
              <w:rPr>
                <w:sz w:val="13"/>
                <w:szCs w:val="13"/>
                <w:color w:val="auto"/>
              </w:rPr>
            </w:pPr>
          </w:p>
        </w:tc>
        <w:tc>
          <w:tcPr>
            <w:tcW w:w="220" w:type="dxa"/>
            <w:vAlign w:val="bottom"/>
            <w:gridSpan w:val="11"/>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4(a)</w:t>
            </w:r>
          </w:p>
        </w:tc>
        <w:tc>
          <w:tcPr>
            <w:tcW w:w="1080" w:type="dxa"/>
            <w:vAlign w:val="bottom"/>
          </w:tcPr>
          <w:p>
            <w:pPr>
              <w:spacing w:after="0"/>
              <w:rPr>
                <w:sz w:val="24"/>
                <w:szCs w:val="24"/>
                <w:color w:val="auto"/>
              </w:rPr>
            </w:pPr>
          </w:p>
        </w:tc>
        <w:tc>
          <w:tcPr>
            <w:tcW w:w="6980" w:type="dxa"/>
            <w:vAlign w:val="bottom"/>
            <w:gridSpan w:val="26"/>
          </w:tcPr>
          <w:p>
            <w:pPr>
              <w:spacing w:after="0"/>
              <w:rPr>
                <w:rFonts w:ascii="Arial" w:cs="Arial" w:eastAsia="Arial" w:hAnsi="Arial"/>
                <w:sz w:val="18"/>
                <w:szCs w:val="18"/>
                <w:color w:val="auto"/>
              </w:rPr>
            </w:pPr>
            <w:hyperlink r:id="rId56">
              <w:r>
                <w:rPr>
                  <w:rFonts w:ascii="Arial" w:cs="Arial" w:eastAsia="Arial" w:hAnsi="Arial"/>
                  <w:sz w:val="18"/>
                  <w:szCs w:val="18"/>
                  <w:color w:val="auto"/>
                </w:rPr>
                <w:t>Form of 3.600% Note due 2037 is incorporated by reference to Exhibit 4.1 to the</w:t>
              </w:r>
            </w:hyperlink>
          </w:p>
        </w:tc>
      </w:tr>
      <w:tr>
        <w:trPr>
          <w:trHeight w:val="156"/>
        </w:trPr>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600" w:type="dxa"/>
            <w:vAlign w:val="bottom"/>
            <w:tcBorders>
              <w:top w:val="single" w:sz="8" w:color="auto"/>
              <w:bottom w:val="single" w:sz="8" w:color="auto"/>
            </w:tcBorders>
            <w:gridSpan w:val="10"/>
          </w:tcPr>
          <w:p>
            <w:pPr>
              <w:spacing w:after="0" w:line="156" w:lineRule="exact"/>
              <w:rPr>
                <w:rFonts w:ascii="Arial" w:cs="Arial" w:eastAsia="Arial" w:hAnsi="Arial"/>
                <w:sz w:val="18"/>
                <w:szCs w:val="18"/>
                <w:color w:val="auto"/>
                <w:w w:val="99"/>
              </w:rPr>
            </w:pPr>
            <w:hyperlink r:id="rId56">
              <w:r>
                <w:rPr>
                  <w:rFonts w:ascii="Arial" w:cs="Arial" w:eastAsia="Arial" w:hAnsi="Arial"/>
                  <w:sz w:val="18"/>
                  <w:szCs w:val="18"/>
                  <w:color w:val="auto"/>
                  <w:w w:val="99"/>
                </w:rPr>
                <w:t>Corporation’s Current Report on Form 8-K dated September 19, 2017.</w:t>
              </w:r>
            </w:hyperlink>
          </w:p>
        </w:tc>
        <w:tc>
          <w:tcPr>
            <w:tcW w:w="1340" w:type="dxa"/>
            <w:vAlign w:val="bottom"/>
            <w:tcBorders>
              <w:top w:val="single" w:sz="8" w:color="auto"/>
            </w:tcBorders>
            <w:gridSpan w:val="1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4(b)</w:t>
            </w:r>
          </w:p>
        </w:tc>
        <w:tc>
          <w:tcPr>
            <w:tcW w:w="1080" w:type="dxa"/>
            <w:vAlign w:val="bottom"/>
          </w:tcPr>
          <w:p>
            <w:pPr>
              <w:spacing w:after="0"/>
              <w:rPr>
                <w:sz w:val="24"/>
                <w:szCs w:val="24"/>
                <w:color w:val="auto"/>
              </w:rPr>
            </w:pPr>
          </w:p>
        </w:tc>
        <w:tc>
          <w:tcPr>
            <w:tcW w:w="6980" w:type="dxa"/>
            <w:vAlign w:val="bottom"/>
            <w:gridSpan w:val="26"/>
          </w:tcPr>
          <w:p>
            <w:pPr>
              <w:spacing w:after="0"/>
              <w:rPr>
                <w:rFonts w:ascii="Arial" w:cs="Arial" w:eastAsia="Arial" w:hAnsi="Arial"/>
                <w:sz w:val="18"/>
                <w:szCs w:val="18"/>
                <w:color w:val="auto"/>
              </w:rPr>
            </w:pPr>
            <w:hyperlink r:id="rId57">
              <w:r>
                <w:rPr>
                  <w:rFonts w:ascii="Arial" w:cs="Arial" w:eastAsia="Arial" w:hAnsi="Arial"/>
                  <w:sz w:val="18"/>
                  <w:szCs w:val="18"/>
                  <w:color w:val="auto"/>
                </w:rPr>
                <w:t>Form of 4.100% Note due 2067 is incorporated by reference to Exhibit 4.2 to the</w:t>
              </w:r>
            </w:hyperlink>
          </w:p>
        </w:tc>
      </w:tr>
      <w:tr>
        <w:trPr>
          <w:trHeight w:val="156"/>
        </w:trPr>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940" w:type="dxa"/>
            <w:vAlign w:val="bottom"/>
            <w:tcBorders>
              <w:top w:val="single" w:sz="8" w:color="auto"/>
            </w:tcBorders>
            <w:gridSpan w:val="24"/>
          </w:tcPr>
          <w:p>
            <w:pPr>
              <w:spacing w:after="0" w:line="156" w:lineRule="exact"/>
              <w:rPr>
                <w:rFonts w:ascii="Arial" w:cs="Arial" w:eastAsia="Arial" w:hAnsi="Arial"/>
                <w:sz w:val="18"/>
                <w:szCs w:val="18"/>
                <w:color w:val="auto"/>
              </w:rPr>
            </w:pPr>
            <w:hyperlink r:id="rId57">
              <w:r>
                <w:rPr>
                  <w:rFonts w:ascii="Arial" w:cs="Arial" w:eastAsia="Arial" w:hAnsi="Arial"/>
                  <w:sz w:val="18"/>
                  <w:szCs w:val="18"/>
                  <w:color w:val="auto"/>
                </w:rPr>
                <w:t>Corporation’s Current Report on Form 8-K dated September 19, 2017.</w:t>
              </w:r>
            </w:hyperlink>
          </w:p>
        </w:tc>
        <w:tc>
          <w:tcPr>
            <w:tcW w:w="40" w:type="dxa"/>
            <w:vAlign w:val="bottom"/>
            <w:gridSpan w:val="2"/>
          </w:tcPr>
          <w:p>
            <w:pPr>
              <w:spacing w:after="0"/>
              <w:rPr>
                <w:sz w:val="13"/>
                <w:szCs w:val="13"/>
                <w:color w:val="auto"/>
              </w:rPr>
            </w:pPr>
          </w:p>
        </w:tc>
      </w:tr>
      <w:tr>
        <w:trPr>
          <w:trHeight w:val="763"/>
        </w:trPr>
        <w:tc>
          <w:tcPr>
            <w:tcW w:w="880" w:type="dxa"/>
            <w:vAlign w:val="bottom"/>
          </w:tcPr>
          <w:p>
            <w:pPr>
              <w:spacing w:after="0"/>
              <w:rPr>
                <w:sz w:val="24"/>
                <w:szCs w:val="24"/>
                <w:color w:val="auto"/>
              </w:rPr>
            </w:pPr>
          </w:p>
        </w:tc>
        <w:tc>
          <w:tcPr>
            <w:tcW w:w="1120" w:type="dxa"/>
            <w:vAlign w:val="bottom"/>
            <w:gridSpan w:val="2"/>
          </w:tcPr>
          <w:p>
            <w:pPr>
              <w:spacing w:after="0"/>
              <w:rPr>
                <w:sz w:val="24"/>
                <w:szCs w:val="24"/>
                <w:color w:val="auto"/>
              </w:rPr>
            </w:pPr>
          </w:p>
        </w:tc>
        <w:tc>
          <w:tcPr>
            <w:tcW w:w="5300" w:type="dxa"/>
            <w:vAlign w:val="bottom"/>
            <w:tcBorders>
              <w:top w:val="single" w:sz="8" w:color="auto"/>
            </w:tcBorders>
            <w:gridSpan w:val="8"/>
          </w:tcPr>
          <w:p>
            <w:pPr>
              <w:jc w:val="right"/>
              <w:ind w:right="2780"/>
              <w:spacing w:after="0"/>
              <w:rPr>
                <w:sz w:val="20"/>
                <w:szCs w:val="20"/>
                <w:color w:val="auto"/>
              </w:rPr>
            </w:pPr>
            <w:r>
              <w:rPr>
                <w:rFonts w:ascii="Arial" w:cs="Arial" w:eastAsia="Arial" w:hAnsi="Arial"/>
                <w:sz w:val="18"/>
                <w:szCs w:val="18"/>
                <w:color w:val="auto"/>
              </w:rPr>
              <w:t>38</w:t>
            </w:r>
          </w:p>
        </w:tc>
        <w:tc>
          <w:tcPr>
            <w:tcW w:w="2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1"/>
        </w:trPr>
        <w:tc>
          <w:tcPr>
            <w:tcW w:w="88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30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r>
        <w:trPr>
          <w:trHeight w:val="20"/>
        </w:trPr>
        <w:tc>
          <w:tcPr>
            <w:tcW w:w="88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302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8" w:name="page39"/>
    <w:bookmarkEnd w:id="38"/>
    <w:p>
      <w:pPr>
        <w:ind w:left="10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6" w:lineRule="exact"/>
        <w:rPr>
          <w:sz w:val="20"/>
          <w:szCs w:val="20"/>
          <w:color w:val="auto"/>
        </w:rPr>
      </w:pPr>
    </w:p>
    <w:p>
      <w:pPr>
        <w:ind w:left="100" w:right="99"/>
        <w:spacing w:after="0" w:line="22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Dated: October 26, 2017</w:t>
      </w:r>
    </w:p>
    <w:p>
      <w:pPr>
        <w:spacing w:after="0" w:line="144" w:lineRule="exact"/>
        <w:rPr>
          <w:sz w:val="20"/>
          <w:szCs w:val="20"/>
          <w:color w:val="auto"/>
        </w:rPr>
      </w:pPr>
    </w:p>
    <w:p>
      <w:pPr>
        <w:jc w:val="right"/>
        <w:ind w:right="99"/>
        <w:spacing w:after="0"/>
        <w:rPr>
          <w:sz w:val="20"/>
          <w:szCs w:val="20"/>
          <w:color w:val="auto"/>
        </w:rPr>
      </w:pPr>
      <w:r>
        <w:rPr>
          <w:rFonts w:ascii="Arial" w:cs="Arial" w:eastAsia="Arial" w:hAnsi="Arial"/>
          <w:sz w:val="18"/>
          <w:szCs w:val="18"/>
          <w:color w:val="auto"/>
        </w:rPr>
        <w:t>UNION PACIFIC CORPORATION (Registrant)</w:t>
      </w:r>
    </w:p>
    <w:p>
      <w:pPr>
        <w:spacing w:after="0" w:line="140" w:lineRule="exact"/>
        <w:rPr>
          <w:sz w:val="20"/>
          <w:szCs w:val="20"/>
          <w:color w:val="auto"/>
        </w:rPr>
      </w:pPr>
    </w:p>
    <w:p>
      <w:pPr>
        <w:ind w:left="100"/>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M. Knight, Jr.</w:t>
      </w:r>
    </w:p>
    <w:p>
      <w:pPr>
        <w:ind w:left="620"/>
        <w:spacing w:after="0" w:line="203" w:lineRule="auto"/>
        <w:rPr>
          <w:sz w:val="20"/>
          <w:szCs w:val="20"/>
          <w:color w:val="auto"/>
        </w:rPr>
      </w:pPr>
      <w:r>
        <w:rPr>
          <w:rFonts w:ascii="Arial" w:cs="Arial" w:eastAsia="Arial" w:hAnsi="Arial"/>
          <w:sz w:val="18"/>
          <w:szCs w:val="18"/>
          <w:color w:val="auto"/>
        </w:rPr>
        <w:t>Robert M. Knight,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wp:posOffset>
            </wp:positionH>
            <wp:positionV relativeFrom="paragraph">
              <wp:posOffset>-109855</wp:posOffset>
            </wp:positionV>
            <wp:extent cx="247840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ind w:left="620"/>
        <w:spacing w:after="0" w:line="204" w:lineRule="auto"/>
        <w:rPr>
          <w:sz w:val="20"/>
          <w:szCs w:val="20"/>
          <w:color w:val="auto"/>
        </w:rPr>
      </w:pPr>
      <w:r>
        <w:rPr>
          <w:rFonts w:ascii="Arial" w:cs="Arial" w:eastAsia="Arial" w:hAnsi="Arial"/>
          <w:sz w:val="18"/>
          <w:szCs w:val="18"/>
          <w:color w:val="auto"/>
        </w:rPr>
        <w:t>Executive Vice President and</w:t>
      </w:r>
    </w:p>
    <w:p>
      <w:pPr>
        <w:ind w:left="620"/>
        <w:spacing w:after="0" w:line="203"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(Principal Financial Officer)</w:t>
      </w:r>
    </w:p>
    <w:p>
      <w:pPr>
        <w:spacing w:after="0" w:line="126" w:lineRule="exact"/>
        <w:rPr>
          <w:sz w:val="20"/>
          <w:szCs w:val="20"/>
          <w:color w:val="auto"/>
        </w:rPr>
      </w:pPr>
    </w:p>
    <w:p>
      <w:pPr>
        <w:ind w:left="100"/>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Todd M. Rynaski</w:t>
      </w:r>
    </w:p>
    <w:p>
      <w:pPr>
        <w:ind w:left="620"/>
        <w:spacing w:after="0" w:line="203" w:lineRule="auto"/>
        <w:rPr>
          <w:sz w:val="20"/>
          <w:szCs w:val="20"/>
          <w:color w:val="auto"/>
        </w:rPr>
      </w:pPr>
      <w:r>
        <w:rPr>
          <w:rFonts w:ascii="Arial" w:cs="Arial" w:eastAsia="Arial" w:hAnsi="Arial"/>
          <w:sz w:val="18"/>
          <w:szCs w:val="18"/>
          <w:color w:val="auto"/>
        </w:rPr>
        <w:t>Todd M. Rynaski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wp:posOffset>
            </wp:positionH>
            <wp:positionV relativeFrom="paragraph">
              <wp:posOffset>-109855</wp:posOffset>
            </wp:positionV>
            <wp:extent cx="247840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ind w:left="620"/>
        <w:spacing w:after="0" w:line="204" w:lineRule="auto"/>
        <w:rPr>
          <w:sz w:val="20"/>
          <w:szCs w:val="20"/>
          <w:color w:val="auto"/>
        </w:rPr>
      </w:pPr>
      <w:r>
        <w:rPr>
          <w:rFonts w:ascii="Arial" w:cs="Arial" w:eastAsia="Arial" w:hAnsi="Arial"/>
          <w:sz w:val="18"/>
          <w:szCs w:val="18"/>
          <w:color w:val="auto"/>
        </w:rPr>
        <w:t>Vice President and Controller</w:t>
      </w:r>
    </w:p>
    <w:p>
      <w:pPr>
        <w:ind w:left="62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45085</wp:posOffset>
            </wp:positionV>
            <wp:extent cx="5642610" cy="514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9" w:name="page40"/>
    <w:bookmarkEnd w:id="39"/>
    <w:p>
      <w:pPr>
        <w:jc w:val="center"/>
        <w:spacing w:after="0"/>
        <w:rPr>
          <w:sz w:val="20"/>
          <w:szCs w:val="20"/>
          <w:color w:val="auto"/>
        </w:rPr>
      </w:pPr>
      <w:r>
        <w:rPr>
          <w:rFonts w:ascii="Arial" w:cs="Arial" w:eastAsia="Arial" w:hAnsi="Arial"/>
          <w:sz w:val="22"/>
          <w:szCs w:val="22"/>
          <w:b w:val="1"/>
          <w:bCs w:val="1"/>
          <w:color w:val="auto"/>
        </w:rPr>
        <w:t>SUPPLEMENTAL PENSION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(409A NON-GRANDFATHERED COMPONENT)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Officers and Managers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Union Pacific Corporation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Affiliates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amended and restated in its entirety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effective as of January 1, 1989, including all amendments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adopted through 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855980</wp:posOffset>
            </wp:positionV>
            <wp:extent cx="5642610" cy="514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0" w:name="page41"/>
    <w:bookmarkEnd w:id="40"/>
    <w:tbl>
      <w:tblPr>
        <w:tblLayout w:type="fixed"/>
        <w:tblInd w:w="100" w:type="dxa"/>
        <w:tblCellMar>
          <w:top w:w="0" w:type="dxa"/>
          <w:left w:w="0" w:type="dxa"/>
          <w:bottom w:w="0" w:type="dxa"/>
          <w:right w:w="0" w:type="dxa"/>
        </w:tblCellMar>
      </w:tblPr>
      <w:tr>
        <w:trPr>
          <w:trHeight w:val="253"/>
        </w:trPr>
        <w:tc>
          <w:tcPr>
            <w:tcW w:w="20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740" w:type="dxa"/>
            <w:vAlign w:val="bottom"/>
            <w:gridSpan w:val="2"/>
          </w:tcPr>
          <w:p>
            <w:pPr>
              <w:spacing w:after="0"/>
              <w:rPr>
                <w:sz w:val="20"/>
                <w:szCs w:val="20"/>
                <w:color w:val="auto"/>
              </w:rPr>
            </w:pPr>
            <w:r>
              <w:rPr>
                <w:rFonts w:ascii="Arial" w:cs="Arial" w:eastAsia="Arial" w:hAnsi="Arial"/>
                <w:sz w:val="22"/>
                <w:szCs w:val="22"/>
                <w:b w:val="1"/>
                <w:bCs w:val="1"/>
                <w:color w:val="auto"/>
              </w:rPr>
              <w:t>TABLE OF CONTENTS</w:t>
            </w: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517"/>
        </w:trPr>
        <w:tc>
          <w:tcPr>
            <w:tcW w:w="20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320" w:type="dxa"/>
            <w:vAlign w:val="bottom"/>
            <w:tcBorders>
              <w:top w:val="single" w:sz="8" w:color="auto"/>
            </w:tcBorders>
          </w:tcPr>
          <w:p>
            <w:pPr>
              <w:spacing w:after="0"/>
              <w:rPr>
                <w:sz w:val="24"/>
                <w:szCs w:val="24"/>
                <w:color w:val="auto"/>
              </w:rPr>
            </w:pPr>
          </w:p>
        </w:tc>
        <w:tc>
          <w:tcPr>
            <w:tcW w:w="2420" w:type="dxa"/>
            <w:vAlign w:val="bottom"/>
          </w:tcPr>
          <w:p>
            <w:pPr>
              <w:spacing w:after="0"/>
              <w:rPr>
                <w:sz w:val="24"/>
                <w:szCs w:val="2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22"/>
                <w:szCs w:val="22"/>
                <w:b w:val="1"/>
                <w:bCs w:val="1"/>
                <w:color w:val="auto"/>
              </w:rPr>
              <w:t>PAGE</w:t>
            </w:r>
          </w:p>
        </w:tc>
      </w:tr>
      <w:tr>
        <w:trPr>
          <w:trHeight w:val="513"/>
        </w:trPr>
        <w:tc>
          <w:tcPr>
            <w:tcW w:w="2020" w:type="dxa"/>
            <w:vAlign w:val="bottom"/>
          </w:tcPr>
          <w:p>
            <w:pPr>
              <w:spacing w:after="0"/>
              <w:rPr>
                <w:sz w:val="20"/>
                <w:szCs w:val="20"/>
                <w:color w:val="auto"/>
              </w:rPr>
            </w:pPr>
            <w:r>
              <w:rPr>
                <w:rFonts w:ascii="Arial" w:cs="Arial" w:eastAsia="Arial" w:hAnsi="Arial"/>
                <w:sz w:val="22"/>
                <w:szCs w:val="22"/>
                <w:color w:val="auto"/>
              </w:rPr>
              <w:t>ARTICLE ONE</w:t>
            </w:r>
          </w:p>
        </w:tc>
        <w:tc>
          <w:tcPr>
            <w:tcW w:w="5980" w:type="dxa"/>
            <w:vAlign w:val="bottom"/>
            <w:gridSpan w:val="3"/>
          </w:tcPr>
          <w:p>
            <w:pPr>
              <w:ind w:left="200"/>
              <w:spacing w:after="0"/>
              <w:rPr>
                <w:sz w:val="20"/>
                <w:szCs w:val="20"/>
                <w:color w:val="auto"/>
              </w:rPr>
            </w:pPr>
            <w:r>
              <w:rPr>
                <w:rFonts w:ascii="Arial" w:cs="Arial" w:eastAsia="Arial" w:hAnsi="Arial"/>
                <w:sz w:val="22"/>
                <w:szCs w:val="22"/>
                <w:color w:val="auto"/>
              </w:rPr>
              <w:t>SCOPE OF SUPPLEMENTAL PLAN AND DEFINITIONS</w:t>
            </w: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rPr>
              <w:t>1</w:t>
            </w:r>
          </w:p>
        </w:tc>
      </w:tr>
      <w:tr>
        <w:trPr>
          <w:trHeight w:val="513"/>
        </w:trPr>
        <w:tc>
          <w:tcPr>
            <w:tcW w:w="2020" w:type="dxa"/>
            <w:vAlign w:val="bottom"/>
          </w:tcPr>
          <w:p>
            <w:pPr>
              <w:spacing w:after="0"/>
              <w:rPr>
                <w:sz w:val="20"/>
                <w:szCs w:val="20"/>
                <w:color w:val="auto"/>
              </w:rPr>
            </w:pPr>
            <w:r>
              <w:rPr>
                <w:rFonts w:ascii="Arial" w:cs="Arial" w:eastAsia="Arial" w:hAnsi="Arial"/>
                <w:sz w:val="22"/>
                <w:szCs w:val="22"/>
                <w:color w:val="auto"/>
              </w:rPr>
              <w:t>ARTICLE TWO</w:t>
            </w:r>
          </w:p>
        </w:tc>
        <w:tc>
          <w:tcPr>
            <w:tcW w:w="5980" w:type="dxa"/>
            <w:vAlign w:val="bottom"/>
            <w:gridSpan w:val="3"/>
          </w:tcPr>
          <w:p>
            <w:pPr>
              <w:ind w:left="200"/>
              <w:spacing w:after="0"/>
              <w:rPr>
                <w:sz w:val="20"/>
                <w:szCs w:val="20"/>
                <w:color w:val="auto"/>
              </w:rPr>
            </w:pPr>
            <w:r>
              <w:rPr>
                <w:rFonts w:ascii="Arial" w:cs="Arial" w:eastAsia="Arial" w:hAnsi="Arial"/>
                <w:sz w:val="22"/>
                <w:szCs w:val="22"/>
                <w:color w:val="auto"/>
              </w:rPr>
              <w:t>AMOUNT AND PAYMENT OF PENSION</w:t>
            </w: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rPr>
              <w:t>7</w:t>
            </w:r>
          </w:p>
        </w:tc>
      </w:tr>
      <w:tr>
        <w:trPr>
          <w:trHeight w:val="513"/>
        </w:trPr>
        <w:tc>
          <w:tcPr>
            <w:tcW w:w="2020" w:type="dxa"/>
            <w:vAlign w:val="bottom"/>
          </w:tcPr>
          <w:p>
            <w:pPr>
              <w:spacing w:after="0"/>
              <w:rPr>
                <w:sz w:val="20"/>
                <w:szCs w:val="20"/>
                <w:color w:val="auto"/>
              </w:rPr>
            </w:pPr>
            <w:r>
              <w:rPr>
                <w:rFonts w:ascii="Arial" w:cs="Arial" w:eastAsia="Arial" w:hAnsi="Arial"/>
                <w:sz w:val="22"/>
                <w:szCs w:val="22"/>
                <w:color w:val="auto"/>
              </w:rPr>
              <w:t>ARTICLE THREE</w:t>
            </w:r>
          </w:p>
        </w:tc>
        <w:tc>
          <w:tcPr>
            <w:tcW w:w="5980" w:type="dxa"/>
            <w:vAlign w:val="bottom"/>
            <w:gridSpan w:val="3"/>
          </w:tcPr>
          <w:p>
            <w:pPr>
              <w:ind w:left="200"/>
              <w:spacing w:after="0"/>
              <w:rPr>
                <w:sz w:val="20"/>
                <w:szCs w:val="20"/>
                <w:color w:val="auto"/>
              </w:rPr>
            </w:pPr>
            <w:r>
              <w:rPr>
                <w:rFonts w:ascii="Arial" w:cs="Arial" w:eastAsia="Arial" w:hAnsi="Arial"/>
                <w:sz w:val="22"/>
                <w:szCs w:val="22"/>
                <w:color w:val="auto"/>
              </w:rPr>
              <w:t>MANNER OF PAYMENT</w:t>
            </w: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rPr>
              <w:t>14</w:t>
            </w:r>
          </w:p>
        </w:tc>
      </w:tr>
      <w:tr>
        <w:trPr>
          <w:trHeight w:val="513"/>
        </w:trPr>
        <w:tc>
          <w:tcPr>
            <w:tcW w:w="2020" w:type="dxa"/>
            <w:vAlign w:val="bottom"/>
          </w:tcPr>
          <w:p>
            <w:pPr>
              <w:spacing w:after="0"/>
              <w:rPr>
                <w:sz w:val="20"/>
                <w:szCs w:val="20"/>
                <w:color w:val="auto"/>
              </w:rPr>
            </w:pPr>
            <w:r>
              <w:rPr>
                <w:rFonts w:ascii="Arial" w:cs="Arial" w:eastAsia="Arial" w:hAnsi="Arial"/>
                <w:sz w:val="22"/>
                <w:szCs w:val="22"/>
                <w:color w:val="auto"/>
              </w:rPr>
              <w:t>ARTICLE FOUR</w:t>
            </w:r>
          </w:p>
        </w:tc>
        <w:tc>
          <w:tcPr>
            <w:tcW w:w="5980" w:type="dxa"/>
            <w:vAlign w:val="bottom"/>
            <w:gridSpan w:val="3"/>
          </w:tcPr>
          <w:p>
            <w:pPr>
              <w:ind w:left="200"/>
              <w:spacing w:after="0"/>
              <w:rPr>
                <w:sz w:val="20"/>
                <w:szCs w:val="20"/>
                <w:color w:val="auto"/>
              </w:rPr>
            </w:pPr>
            <w:r>
              <w:rPr>
                <w:rFonts w:ascii="Arial" w:cs="Arial" w:eastAsia="Arial" w:hAnsi="Arial"/>
                <w:sz w:val="22"/>
                <w:szCs w:val="22"/>
                <w:color w:val="auto"/>
              </w:rPr>
              <w:t>VESTINGS</w:t>
            </w: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rPr>
              <w:t>16</w:t>
            </w:r>
          </w:p>
        </w:tc>
      </w:tr>
      <w:tr>
        <w:trPr>
          <w:trHeight w:val="513"/>
        </w:trPr>
        <w:tc>
          <w:tcPr>
            <w:tcW w:w="2020" w:type="dxa"/>
            <w:vAlign w:val="bottom"/>
          </w:tcPr>
          <w:p>
            <w:pPr>
              <w:spacing w:after="0"/>
              <w:rPr>
                <w:sz w:val="20"/>
                <w:szCs w:val="20"/>
                <w:color w:val="auto"/>
              </w:rPr>
            </w:pPr>
            <w:r>
              <w:rPr>
                <w:rFonts w:ascii="Arial" w:cs="Arial" w:eastAsia="Arial" w:hAnsi="Arial"/>
                <w:sz w:val="22"/>
                <w:szCs w:val="22"/>
                <w:color w:val="auto"/>
              </w:rPr>
              <w:t>ARTICLE FIVE</w:t>
            </w:r>
          </w:p>
        </w:tc>
        <w:tc>
          <w:tcPr>
            <w:tcW w:w="5980" w:type="dxa"/>
            <w:vAlign w:val="bottom"/>
            <w:gridSpan w:val="3"/>
          </w:tcPr>
          <w:p>
            <w:pPr>
              <w:ind w:left="200"/>
              <w:spacing w:after="0"/>
              <w:rPr>
                <w:sz w:val="20"/>
                <w:szCs w:val="20"/>
                <w:color w:val="auto"/>
              </w:rPr>
            </w:pPr>
            <w:r>
              <w:rPr>
                <w:rFonts w:ascii="Arial" w:cs="Arial" w:eastAsia="Arial" w:hAnsi="Arial"/>
                <w:sz w:val="22"/>
                <w:szCs w:val="22"/>
                <w:color w:val="auto"/>
              </w:rPr>
              <w:t>CERTAIN EMPLOYEE TRANSFERS</w:t>
            </w: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rPr>
              <w:t>18</w:t>
            </w:r>
          </w:p>
        </w:tc>
      </w:tr>
      <w:tr>
        <w:trPr>
          <w:trHeight w:val="513"/>
        </w:trPr>
        <w:tc>
          <w:tcPr>
            <w:tcW w:w="2020" w:type="dxa"/>
            <w:vAlign w:val="bottom"/>
          </w:tcPr>
          <w:p>
            <w:pPr>
              <w:spacing w:after="0"/>
              <w:rPr>
                <w:sz w:val="20"/>
                <w:szCs w:val="20"/>
                <w:color w:val="auto"/>
              </w:rPr>
            </w:pPr>
            <w:r>
              <w:rPr>
                <w:rFonts w:ascii="Arial" w:cs="Arial" w:eastAsia="Arial" w:hAnsi="Arial"/>
                <w:sz w:val="22"/>
                <w:szCs w:val="22"/>
                <w:color w:val="auto"/>
              </w:rPr>
              <w:t>ARTICLE SIX</w:t>
            </w:r>
          </w:p>
        </w:tc>
        <w:tc>
          <w:tcPr>
            <w:tcW w:w="5980" w:type="dxa"/>
            <w:vAlign w:val="bottom"/>
            <w:gridSpan w:val="3"/>
          </w:tcPr>
          <w:p>
            <w:pPr>
              <w:ind w:left="200"/>
              <w:spacing w:after="0"/>
              <w:rPr>
                <w:sz w:val="20"/>
                <w:szCs w:val="20"/>
                <w:color w:val="auto"/>
              </w:rPr>
            </w:pPr>
            <w:r>
              <w:rPr>
                <w:rFonts w:ascii="Arial" w:cs="Arial" w:eastAsia="Arial" w:hAnsi="Arial"/>
                <w:sz w:val="22"/>
                <w:szCs w:val="22"/>
                <w:color w:val="auto"/>
              </w:rPr>
              <w:t>PRE-RETIREMENT SURVIVOR’S BENEFIT</w:t>
            </w: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rPr>
              <w:t>19</w:t>
            </w:r>
          </w:p>
        </w:tc>
      </w:tr>
      <w:tr>
        <w:trPr>
          <w:trHeight w:val="513"/>
        </w:trPr>
        <w:tc>
          <w:tcPr>
            <w:tcW w:w="2020" w:type="dxa"/>
            <w:vAlign w:val="bottom"/>
          </w:tcPr>
          <w:p>
            <w:pPr>
              <w:spacing w:after="0"/>
              <w:rPr>
                <w:sz w:val="20"/>
                <w:szCs w:val="20"/>
                <w:color w:val="auto"/>
              </w:rPr>
            </w:pPr>
            <w:r>
              <w:rPr>
                <w:rFonts w:ascii="Arial" w:cs="Arial" w:eastAsia="Arial" w:hAnsi="Arial"/>
                <w:sz w:val="22"/>
                <w:szCs w:val="22"/>
                <w:color w:val="auto"/>
              </w:rPr>
              <w:t>ARTICLE SEVEN</w:t>
            </w:r>
          </w:p>
        </w:tc>
        <w:tc>
          <w:tcPr>
            <w:tcW w:w="5980" w:type="dxa"/>
            <w:vAlign w:val="bottom"/>
            <w:gridSpan w:val="3"/>
          </w:tcPr>
          <w:p>
            <w:pPr>
              <w:ind w:left="200"/>
              <w:spacing w:after="0"/>
              <w:rPr>
                <w:sz w:val="20"/>
                <w:szCs w:val="20"/>
                <w:color w:val="auto"/>
              </w:rPr>
            </w:pPr>
            <w:r>
              <w:rPr>
                <w:rFonts w:ascii="Arial" w:cs="Arial" w:eastAsia="Arial" w:hAnsi="Arial"/>
                <w:sz w:val="22"/>
                <w:szCs w:val="22"/>
                <w:color w:val="auto"/>
              </w:rPr>
              <w:t>FUNDING</w:t>
            </w: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rPr>
              <w:t>21</w:t>
            </w:r>
          </w:p>
        </w:tc>
      </w:tr>
      <w:tr>
        <w:trPr>
          <w:trHeight w:val="513"/>
        </w:trPr>
        <w:tc>
          <w:tcPr>
            <w:tcW w:w="2020" w:type="dxa"/>
            <w:vAlign w:val="bottom"/>
          </w:tcPr>
          <w:p>
            <w:pPr>
              <w:spacing w:after="0"/>
              <w:rPr>
                <w:sz w:val="20"/>
                <w:szCs w:val="20"/>
                <w:color w:val="auto"/>
              </w:rPr>
            </w:pPr>
            <w:r>
              <w:rPr>
                <w:rFonts w:ascii="Arial" w:cs="Arial" w:eastAsia="Arial" w:hAnsi="Arial"/>
                <w:sz w:val="22"/>
                <w:szCs w:val="22"/>
                <w:color w:val="auto"/>
              </w:rPr>
              <w:t>ARTICLE EIGHT</w:t>
            </w:r>
          </w:p>
        </w:tc>
        <w:tc>
          <w:tcPr>
            <w:tcW w:w="5980" w:type="dxa"/>
            <w:vAlign w:val="bottom"/>
            <w:gridSpan w:val="3"/>
          </w:tcPr>
          <w:p>
            <w:pPr>
              <w:ind w:left="200"/>
              <w:spacing w:after="0"/>
              <w:rPr>
                <w:sz w:val="20"/>
                <w:szCs w:val="20"/>
                <w:color w:val="auto"/>
              </w:rPr>
            </w:pPr>
            <w:r>
              <w:rPr>
                <w:rFonts w:ascii="Arial" w:cs="Arial" w:eastAsia="Arial" w:hAnsi="Arial"/>
                <w:sz w:val="22"/>
                <w:szCs w:val="22"/>
                <w:color w:val="auto"/>
              </w:rPr>
              <w:t>ADMINISTRATION</w:t>
            </w: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rPr>
              <w:t>22</w:t>
            </w:r>
          </w:p>
        </w:tc>
      </w:tr>
      <w:tr>
        <w:trPr>
          <w:trHeight w:val="513"/>
        </w:trPr>
        <w:tc>
          <w:tcPr>
            <w:tcW w:w="2020" w:type="dxa"/>
            <w:vAlign w:val="bottom"/>
          </w:tcPr>
          <w:p>
            <w:pPr>
              <w:spacing w:after="0"/>
              <w:rPr>
                <w:sz w:val="20"/>
                <w:szCs w:val="20"/>
                <w:color w:val="auto"/>
              </w:rPr>
            </w:pPr>
            <w:r>
              <w:rPr>
                <w:rFonts w:ascii="Arial" w:cs="Arial" w:eastAsia="Arial" w:hAnsi="Arial"/>
                <w:sz w:val="22"/>
                <w:szCs w:val="22"/>
                <w:color w:val="auto"/>
              </w:rPr>
              <w:t>ARTICLE NINE</w:t>
            </w:r>
          </w:p>
        </w:tc>
        <w:tc>
          <w:tcPr>
            <w:tcW w:w="5980" w:type="dxa"/>
            <w:vAlign w:val="bottom"/>
            <w:gridSpan w:val="3"/>
          </w:tcPr>
          <w:p>
            <w:pPr>
              <w:ind w:left="200"/>
              <w:spacing w:after="0"/>
              <w:rPr>
                <w:sz w:val="20"/>
                <w:szCs w:val="20"/>
                <w:color w:val="auto"/>
              </w:rPr>
            </w:pPr>
            <w:r>
              <w:rPr>
                <w:rFonts w:ascii="Arial" w:cs="Arial" w:eastAsia="Arial" w:hAnsi="Arial"/>
                <w:sz w:val="22"/>
                <w:szCs w:val="22"/>
                <w:color w:val="auto"/>
              </w:rPr>
              <w:t>ADMENDMENT OR TERMINATION</w:t>
            </w: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rPr>
              <w:t>24</w:t>
            </w:r>
          </w:p>
        </w:tc>
      </w:tr>
      <w:tr>
        <w:trPr>
          <w:trHeight w:val="513"/>
        </w:trPr>
        <w:tc>
          <w:tcPr>
            <w:tcW w:w="2020" w:type="dxa"/>
            <w:vAlign w:val="bottom"/>
          </w:tcPr>
          <w:p>
            <w:pPr>
              <w:spacing w:after="0"/>
              <w:rPr>
                <w:sz w:val="20"/>
                <w:szCs w:val="20"/>
                <w:color w:val="auto"/>
              </w:rPr>
            </w:pPr>
            <w:r>
              <w:rPr>
                <w:rFonts w:ascii="Arial" w:cs="Arial" w:eastAsia="Arial" w:hAnsi="Arial"/>
                <w:sz w:val="22"/>
                <w:szCs w:val="22"/>
                <w:color w:val="auto"/>
              </w:rPr>
              <w:t>ARTICLE TEN</w:t>
            </w:r>
          </w:p>
        </w:tc>
        <w:tc>
          <w:tcPr>
            <w:tcW w:w="5980" w:type="dxa"/>
            <w:vAlign w:val="bottom"/>
            <w:gridSpan w:val="3"/>
          </w:tcPr>
          <w:p>
            <w:pPr>
              <w:ind w:left="200"/>
              <w:spacing w:after="0"/>
              <w:rPr>
                <w:sz w:val="20"/>
                <w:szCs w:val="20"/>
                <w:color w:val="auto"/>
              </w:rPr>
            </w:pPr>
            <w:r>
              <w:rPr>
                <w:rFonts w:ascii="Arial" w:cs="Arial" w:eastAsia="Arial" w:hAnsi="Arial"/>
                <w:sz w:val="22"/>
                <w:szCs w:val="22"/>
                <w:color w:val="auto"/>
              </w:rPr>
              <w:t>GENERAL PROVISIONS</w:t>
            </w: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rPr>
              <w:t>25</w:t>
            </w:r>
          </w:p>
        </w:tc>
      </w:tr>
      <w:tr>
        <w:trPr>
          <w:trHeight w:val="513"/>
        </w:trPr>
        <w:tc>
          <w:tcPr>
            <w:tcW w:w="2020" w:type="dxa"/>
            <w:vAlign w:val="bottom"/>
          </w:tcPr>
          <w:p>
            <w:pPr>
              <w:spacing w:after="0"/>
              <w:rPr>
                <w:sz w:val="20"/>
                <w:szCs w:val="20"/>
                <w:color w:val="auto"/>
              </w:rPr>
            </w:pPr>
            <w:r>
              <w:rPr>
                <w:rFonts w:ascii="Arial" w:cs="Arial" w:eastAsia="Arial" w:hAnsi="Arial"/>
                <w:sz w:val="22"/>
                <w:szCs w:val="22"/>
                <w:color w:val="auto"/>
              </w:rPr>
              <w:t>ARTICLE ELEVEN</w:t>
            </w:r>
          </w:p>
        </w:tc>
        <w:tc>
          <w:tcPr>
            <w:tcW w:w="5980" w:type="dxa"/>
            <w:vAlign w:val="bottom"/>
            <w:gridSpan w:val="3"/>
          </w:tcPr>
          <w:p>
            <w:pPr>
              <w:ind w:left="200"/>
              <w:spacing w:after="0"/>
              <w:rPr>
                <w:sz w:val="20"/>
                <w:szCs w:val="20"/>
                <w:color w:val="auto"/>
              </w:rPr>
            </w:pPr>
            <w:r>
              <w:rPr>
                <w:rFonts w:ascii="Arial" w:cs="Arial" w:eastAsia="Arial" w:hAnsi="Arial"/>
                <w:sz w:val="22"/>
                <w:szCs w:val="22"/>
                <w:color w:val="auto"/>
              </w:rPr>
              <w:t>TRANSFERS TO NON-COVERED EMPLOYMENT</w:t>
            </w: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rPr>
              <w:t>28</w:t>
            </w:r>
          </w:p>
        </w:tc>
      </w:tr>
      <w:tr>
        <w:trPr>
          <w:trHeight w:val="513"/>
        </w:trPr>
        <w:tc>
          <w:tcPr>
            <w:tcW w:w="2020" w:type="dxa"/>
            <w:vAlign w:val="bottom"/>
          </w:tcPr>
          <w:p>
            <w:pPr>
              <w:spacing w:after="0"/>
              <w:rPr>
                <w:sz w:val="20"/>
                <w:szCs w:val="20"/>
                <w:color w:val="auto"/>
              </w:rPr>
            </w:pPr>
            <w:r>
              <w:rPr>
                <w:rFonts w:ascii="Arial" w:cs="Arial" w:eastAsia="Arial" w:hAnsi="Arial"/>
                <w:sz w:val="22"/>
                <w:szCs w:val="22"/>
                <w:color w:val="auto"/>
              </w:rPr>
              <w:t>ARTICLE TWELVE</w:t>
            </w:r>
          </w:p>
        </w:tc>
        <w:tc>
          <w:tcPr>
            <w:tcW w:w="5980" w:type="dxa"/>
            <w:vAlign w:val="bottom"/>
            <w:gridSpan w:val="3"/>
          </w:tcPr>
          <w:p>
            <w:pPr>
              <w:ind w:left="200"/>
              <w:spacing w:after="0"/>
              <w:rPr>
                <w:sz w:val="20"/>
                <w:szCs w:val="20"/>
                <w:color w:val="auto"/>
              </w:rPr>
            </w:pPr>
            <w:r>
              <w:rPr>
                <w:rFonts w:ascii="Arial" w:cs="Arial" w:eastAsia="Arial" w:hAnsi="Arial"/>
                <w:sz w:val="22"/>
                <w:szCs w:val="22"/>
                <w:color w:val="auto"/>
              </w:rPr>
              <w:t>CLAIMS PROCEDURE</w:t>
            </w: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rPr>
              <w:t>29</w:t>
            </w:r>
          </w:p>
        </w:tc>
      </w:tr>
      <w:tr>
        <w:trPr>
          <w:trHeight w:val="1314"/>
        </w:trPr>
        <w:tc>
          <w:tcPr>
            <w:tcW w:w="20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00" w:type="dxa"/>
            <w:vAlign w:val="bottom"/>
          </w:tcPr>
          <w:p>
            <w:pPr>
              <w:spacing w:after="0"/>
              <w:rPr>
                <w:sz w:val="24"/>
                <w:szCs w:val="24"/>
                <w:color w:val="auto"/>
              </w:rPr>
            </w:pPr>
          </w:p>
        </w:tc>
      </w:tr>
      <w:tr>
        <w:trPr>
          <w:trHeight w:val="20"/>
        </w:trPr>
        <w:tc>
          <w:tcPr>
            <w:tcW w:w="2020" w:type="dxa"/>
            <w:vAlign w:val="bottom"/>
            <w:tcBorders>
              <w:bottom w:val="single" w:sz="8" w:color="EEEEEE"/>
            </w:tcBorders>
          </w:tcPr>
          <w:p>
            <w:pPr>
              <w:spacing w:after="0" w:line="20" w:lineRule="exact"/>
              <w:rPr>
                <w:sz w:val="1"/>
                <w:szCs w:val="1"/>
                <w:color w:val="auto"/>
              </w:rPr>
            </w:pPr>
          </w:p>
        </w:tc>
        <w:tc>
          <w:tcPr>
            <w:tcW w:w="1240" w:type="dxa"/>
            <w:vAlign w:val="bottom"/>
            <w:tcBorders>
              <w:bottom w:val="single" w:sz="8" w:color="EEEEEE"/>
            </w:tcBorders>
          </w:tcPr>
          <w:p>
            <w:pPr>
              <w:spacing w:after="0" w:line="20" w:lineRule="exact"/>
              <w:rPr>
                <w:sz w:val="1"/>
                <w:szCs w:val="1"/>
                <w:color w:val="auto"/>
              </w:rPr>
            </w:pPr>
          </w:p>
        </w:tc>
        <w:tc>
          <w:tcPr>
            <w:tcW w:w="2320" w:type="dxa"/>
            <w:vAlign w:val="bottom"/>
            <w:tcBorders>
              <w:bottom w:val="single" w:sz="8" w:color="EEEEEE"/>
            </w:tcBorders>
          </w:tcPr>
          <w:p>
            <w:pPr>
              <w:spacing w:after="0" w:line="20" w:lineRule="exact"/>
              <w:rPr>
                <w:sz w:val="1"/>
                <w:szCs w:val="1"/>
                <w:color w:val="auto"/>
              </w:rPr>
            </w:pPr>
          </w:p>
        </w:tc>
        <w:tc>
          <w:tcPr>
            <w:tcW w:w="242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260"/>
          </w:cols>
          <w:pgMar w:left="1440" w:top="89" w:right="1199" w:bottom="1440" w:gutter="0" w:footer="0" w:header="0"/>
        </w:sectPr>
      </w:pPr>
    </w:p>
    <w:bookmarkStart w:id="41" w:name="page42"/>
    <w:bookmarkEnd w:id="41"/>
    <w:tbl>
      <w:tblPr>
        <w:tblLayout w:type="fixed"/>
        <w:tblInd w:w="760" w:type="dxa"/>
        <w:tblCellMar>
          <w:top w:w="0" w:type="dxa"/>
          <w:left w:w="0" w:type="dxa"/>
          <w:bottom w:w="0" w:type="dxa"/>
          <w:right w:w="0" w:type="dxa"/>
        </w:tblCellMar>
      </w:tblPr>
      <w:tr>
        <w:trPr>
          <w:trHeight w:val="281"/>
        </w:trPr>
        <w:tc>
          <w:tcPr>
            <w:tcW w:w="900" w:type="dxa"/>
            <w:vAlign w:val="bottom"/>
          </w:tcPr>
          <w:p>
            <w:pPr>
              <w:spacing w:after="0"/>
              <w:rPr>
                <w:sz w:val="24"/>
                <w:szCs w:val="24"/>
                <w:color w:val="auto"/>
              </w:rPr>
            </w:pPr>
          </w:p>
        </w:tc>
        <w:tc>
          <w:tcPr>
            <w:tcW w:w="7260" w:type="dxa"/>
            <w:vAlign w:val="bottom"/>
          </w:tcPr>
          <w:p>
            <w:pPr>
              <w:ind w:left="2080"/>
              <w:spacing w:after="0"/>
              <w:rPr>
                <w:sz w:val="20"/>
                <w:szCs w:val="20"/>
                <w:color w:val="auto"/>
              </w:rPr>
            </w:pPr>
            <w:r>
              <w:rPr>
                <w:rFonts w:ascii="Arial" w:cs="Arial" w:eastAsia="Arial" w:hAnsi="Arial"/>
                <w:sz w:val="22"/>
                <w:szCs w:val="22"/>
                <w:b w:val="1"/>
                <w:bCs w:val="1"/>
                <w:u w:val="single" w:color="auto"/>
                <w:color w:val="auto"/>
              </w:rPr>
              <w:t>ARTICLE ONE</w:t>
            </w:r>
          </w:p>
        </w:tc>
      </w:tr>
      <w:tr>
        <w:trPr>
          <w:trHeight w:val="432"/>
        </w:trPr>
        <w:tc>
          <w:tcPr>
            <w:tcW w:w="900" w:type="dxa"/>
            <w:vAlign w:val="bottom"/>
          </w:tcPr>
          <w:p>
            <w:pPr>
              <w:spacing w:after="0"/>
              <w:rPr>
                <w:sz w:val="24"/>
                <w:szCs w:val="24"/>
                <w:color w:val="auto"/>
              </w:rPr>
            </w:pPr>
          </w:p>
        </w:tc>
        <w:tc>
          <w:tcPr>
            <w:tcW w:w="7260" w:type="dxa"/>
            <w:vAlign w:val="bottom"/>
          </w:tcPr>
          <w:p>
            <w:pPr>
              <w:ind w:left="840"/>
              <w:spacing w:after="0"/>
              <w:rPr>
                <w:sz w:val="20"/>
                <w:szCs w:val="20"/>
                <w:color w:val="auto"/>
              </w:rPr>
            </w:pPr>
            <w:r>
              <w:rPr>
                <w:rFonts w:ascii="Arial" w:cs="Arial" w:eastAsia="Arial" w:hAnsi="Arial"/>
                <w:sz w:val="22"/>
                <w:szCs w:val="22"/>
                <w:b w:val="1"/>
                <w:bCs w:val="1"/>
                <w:u w:val="single" w:color="auto"/>
                <w:color w:val="auto"/>
              </w:rPr>
              <w:t>Scope of Supplemental Plan and Definitions</w:t>
            </w:r>
          </w:p>
        </w:tc>
      </w:tr>
      <w:tr>
        <w:trPr>
          <w:trHeight w:val="324"/>
        </w:trPr>
        <w:tc>
          <w:tcPr>
            <w:tcW w:w="900" w:type="dxa"/>
            <w:vAlign w:val="bottom"/>
          </w:tcPr>
          <w:p>
            <w:pPr>
              <w:jc w:val="right"/>
              <w:ind w:right="532"/>
              <w:spacing w:after="0"/>
              <w:rPr>
                <w:sz w:val="20"/>
                <w:szCs w:val="20"/>
                <w:color w:val="auto"/>
              </w:rPr>
            </w:pPr>
            <w:r>
              <w:rPr>
                <w:rFonts w:ascii="Arial" w:cs="Arial" w:eastAsia="Arial" w:hAnsi="Arial"/>
                <w:sz w:val="22"/>
                <w:szCs w:val="22"/>
                <w:color w:val="auto"/>
                <w:w w:val="78"/>
              </w:rPr>
              <w:t>1.1</w:t>
            </w:r>
          </w:p>
        </w:tc>
        <w:tc>
          <w:tcPr>
            <w:tcW w:w="7260" w:type="dxa"/>
            <w:vAlign w:val="bottom"/>
          </w:tcPr>
          <w:p>
            <w:pPr>
              <w:ind w:left="640"/>
              <w:spacing w:after="0"/>
              <w:rPr>
                <w:sz w:val="20"/>
                <w:szCs w:val="20"/>
                <w:color w:val="auto"/>
              </w:rPr>
            </w:pPr>
            <w:r>
              <w:rPr>
                <w:rFonts w:ascii="Arial" w:cs="Arial" w:eastAsia="Arial" w:hAnsi="Arial"/>
                <w:sz w:val="22"/>
                <w:szCs w:val="22"/>
                <w:u w:val="single" w:color="auto"/>
                <w:color w:val="auto"/>
              </w:rPr>
              <w:t>Introduction</w:t>
            </w:r>
            <w:r>
              <w:rPr>
                <w:rFonts w:ascii="Arial" w:cs="Arial" w:eastAsia="Arial" w:hAnsi="Arial"/>
                <w:sz w:val="22"/>
                <w:szCs w:val="22"/>
                <w:color w:val="auto"/>
              </w:rPr>
              <w:t>.  This  “Supplemental  Plan  (409A  Non-Grandfathered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3329305</wp:posOffset>
            </wp:positionH>
            <wp:positionV relativeFrom="paragraph">
              <wp:posOffset>-511810</wp:posOffset>
            </wp:positionV>
            <wp:extent cx="342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jc w:val="both"/>
        <w:ind w:left="100" w:right="99"/>
        <w:spacing w:after="0" w:line="271" w:lineRule="auto"/>
        <w:rPr>
          <w:sz w:val="20"/>
          <w:szCs w:val="20"/>
          <w:color w:val="auto"/>
        </w:rPr>
      </w:pPr>
      <w:r>
        <w:rPr>
          <w:rFonts w:ascii="Arial" w:cs="Arial" w:eastAsia="Arial" w:hAnsi="Arial"/>
          <w:sz w:val="19"/>
          <w:szCs w:val="19"/>
          <w:color w:val="auto"/>
        </w:rPr>
        <w:t>Component),” amended through January 1, 2009, since amended and now further amended effective September 30, 2017, and as it may hereafter be amended from time to time, establishes the rights to specified benefits for certain officers and managers or highly compensated employees who retire or otherwise terminate their Employment on or after January 1, 2005. The rights of any such individual who retired or otherwise terminated Employment prior to January 1, 2005 shall be subject to the terms of the Supplemental Plan as in effect at the date of retirement or termination, except to the extent otherwise provided herein. This Supplemental Plan is intended to be a non-qualified supplemental retirement plan which is unfunded and maintained primarily for the purpose of providing deferred compensation for a select group of management or highly compensated employees of the Company, pursuant to sections 201, 301 and 401 of the Employee Retirement Income Security Act of 1974, as amended (“ERISA”) and, as such, to be exempt from the provisions of Parts 2, 3 and 4 of Subtitle B of Title I of ERISA.</w:t>
      </w:r>
    </w:p>
    <w:p>
      <w:pPr>
        <w:spacing w:after="0" w:line="200" w:lineRule="exact"/>
        <w:rPr>
          <w:sz w:val="20"/>
          <w:szCs w:val="20"/>
          <w:color w:val="auto"/>
        </w:rPr>
      </w:pPr>
    </w:p>
    <w:p>
      <w:pPr>
        <w:spacing w:after="0" w:line="201" w:lineRule="exact"/>
        <w:rPr>
          <w:sz w:val="20"/>
          <w:szCs w:val="20"/>
          <w:color w:val="auto"/>
        </w:rPr>
      </w:pPr>
    </w:p>
    <w:p>
      <w:pPr>
        <w:jc w:val="both"/>
        <w:ind w:left="100" w:right="99" w:firstLine="648"/>
        <w:spacing w:after="0" w:line="247" w:lineRule="exact"/>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Applicability</w:t>
      </w:r>
      <w:r>
        <w:rPr>
          <w:rFonts w:ascii="Arial" w:cs="Arial" w:eastAsia="Arial" w:hAnsi="Arial"/>
          <w:sz w:val="19"/>
          <w:szCs w:val="19"/>
          <w:color w:val="auto"/>
        </w:rPr>
        <w:t>. The Supplemental Plan was bifurcated into two components, effective January 1, 2009. One such component, known as the “Supplemental Pension Plan (409A Grandfathered Component) for Officers and Managers of Union Pacific Corporation, effective January 1, 1989,” is applicable solely to those benefits that were both accrued and fully vested as of December 31, 2004 in accordance with the terms of the Supplemental Plan as in effect on December 31, 2004, which terms were not materially modified after October 3, 2004. With respect to all other amounts accrued under the Supplemental Plan, the rights of the Participant shall be governed by the terms of this Supplemental Plan (409A Non</w:t>
      </w:r>
      <w:r>
        <w:rPr>
          <w:rFonts w:ascii="MS PGothic" w:cs="MS PGothic" w:eastAsia="MS PGothic" w:hAnsi="MS PGothic"/>
          <w:sz w:val="19"/>
          <w:szCs w:val="19"/>
          <w:color w:val="auto"/>
        </w:rPr>
        <w:t>‑</w:t>
      </w:r>
      <w:r>
        <w:rPr>
          <w:rFonts w:ascii="Arial" w:cs="Arial" w:eastAsia="Arial" w:hAnsi="Arial"/>
          <w:sz w:val="19"/>
          <w:szCs w:val="19"/>
          <w:color w:val="auto"/>
        </w:rPr>
        <w:t>Grandfathered Component).</w:t>
      </w:r>
    </w:p>
    <w:p>
      <w:pPr>
        <w:spacing w:after="0" w:line="187" w:lineRule="exact"/>
        <w:rPr>
          <w:sz w:val="20"/>
          <w:szCs w:val="20"/>
          <w:color w:val="auto"/>
        </w:rPr>
      </w:pPr>
    </w:p>
    <w:p>
      <w:pPr>
        <w:jc w:val="both"/>
        <w:ind w:left="100" w:right="99" w:firstLine="648"/>
        <w:spacing w:after="0" w:line="253" w:lineRule="exact"/>
        <w:rPr>
          <w:sz w:val="20"/>
          <w:szCs w:val="20"/>
          <w:color w:val="auto"/>
        </w:rPr>
      </w:pPr>
      <w:r>
        <w:rPr>
          <w:rFonts w:ascii="Arial" w:cs="Arial" w:eastAsia="Arial" w:hAnsi="Arial"/>
          <w:sz w:val="22"/>
          <w:szCs w:val="22"/>
          <w:color w:val="auto"/>
        </w:rPr>
        <w:t xml:space="preserve">1.3 </w:t>
      </w:r>
      <w:r>
        <w:rPr>
          <w:rFonts w:ascii="Arial" w:cs="Arial" w:eastAsia="Arial" w:hAnsi="Arial"/>
          <w:sz w:val="22"/>
          <w:szCs w:val="22"/>
          <w:u w:val="single" w:color="auto"/>
          <w:color w:val="auto"/>
        </w:rPr>
        <w:t>Definitions</w:t>
      </w:r>
      <w:r>
        <w:rPr>
          <w:rFonts w:ascii="Arial" w:cs="Arial" w:eastAsia="Arial" w:hAnsi="Arial"/>
          <w:sz w:val="22"/>
          <w:szCs w:val="22"/>
          <w:color w:val="auto"/>
        </w:rPr>
        <w:t>. As used in this Supplemental Plan (409A Non</w:t>
      </w:r>
      <w:r>
        <w:rPr>
          <w:rFonts w:ascii="MS PGothic" w:cs="MS PGothic" w:eastAsia="MS PGothic" w:hAnsi="MS PGothic"/>
          <w:sz w:val="22"/>
          <w:szCs w:val="22"/>
          <w:color w:val="auto"/>
        </w:rPr>
        <w:t>‑</w:t>
      </w:r>
      <w:r>
        <w:rPr>
          <w:rFonts w:ascii="Arial" w:cs="Arial" w:eastAsia="Arial" w:hAnsi="Arial"/>
          <w:sz w:val="22"/>
          <w:szCs w:val="22"/>
          <w:color w:val="auto"/>
        </w:rPr>
        <w:t>Grandfathered Component), the following terms have the meanings set forth below, unless a different meaning is plainly required by the context:</w:t>
      </w:r>
    </w:p>
    <w:p>
      <w:pPr>
        <w:spacing w:after="0" w:line="186" w:lineRule="exact"/>
        <w:rPr>
          <w:sz w:val="20"/>
          <w:szCs w:val="20"/>
          <w:color w:val="auto"/>
        </w:rPr>
      </w:pPr>
    </w:p>
    <w:p>
      <w:pPr>
        <w:jc w:val="both"/>
        <w:ind w:left="100" w:right="99" w:firstLine="1301"/>
        <w:spacing w:after="0" w:line="251" w:lineRule="exact"/>
        <w:tabs>
          <w:tab w:leader="none" w:pos="2095" w:val="left"/>
        </w:tabs>
        <w:numPr>
          <w:ilvl w:val="0"/>
          <w:numId w:val="15"/>
        </w:numPr>
        <w:rPr>
          <w:rFonts w:ascii="Arial" w:cs="Arial" w:eastAsia="Arial" w:hAnsi="Arial"/>
          <w:sz w:val="22"/>
          <w:szCs w:val="22"/>
          <w:color w:val="auto"/>
        </w:rPr>
      </w:pPr>
      <w:r>
        <w:rPr>
          <w:rFonts w:ascii="Arial" w:cs="Arial" w:eastAsia="Arial" w:hAnsi="Arial"/>
          <w:sz w:val="22"/>
          <w:szCs w:val="22"/>
          <w:color w:val="auto"/>
        </w:rPr>
        <w:t>“Additional Disability Pay Benefit” means the benefit provided for in Section 2.4(b). The Additional Disability Pay Benefit is intended to constitute “disability pay” that is exempt from the requirements of Section 409A of the Code, as described in Section 1.409A</w:t>
      </w:r>
      <w:r>
        <w:rPr>
          <w:rFonts w:ascii="MS PGothic" w:cs="MS PGothic" w:eastAsia="MS PGothic" w:hAnsi="MS PGothic"/>
          <w:sz w:val="22"/>
          <w:szCs w:val="22"/>
          <w:color w:val="auto"/>
        </w:rPr>
        <w:t>‑</w:t>
      </w:r>
      <w:r>
        <w:rPr>
          <w:rFonts w:ascii="Arial" w:cs="Arial" w:eastAsia="Arial" w:hAnsi="Arial"/>
          <w:sz w:val="22"/>
          <w:szCs w:val="22"/>
          <w:color w:val="auto"/>
        </w:rPr>
        <w:t>1(a)(5) of the Treasury Regulations.</w:t>
      </w:r>
    </w:p>
    <w:p>
      <w:pPr>
        <w:spacing w:after="0" w:line="185" w:lineRule="exact"/>
        <w:rPr>
          <w:rFonts w:ascii="Arial" w:cs="Arial" w:eastAsia="Arial" w:hAnsi="Arial"/>
          <w:sz w:val="22"/>
          <w:szCs w:val="22"/>
          <w:color w:val="auto"/>
        </w:rPr>
      </w:pPr>
    </w:p>
    <w:p>
      <w:pPr>
        <w:jc w:val="both"/>
        <w:ind w:left="100" w:right="99" w:firstLine="1301"/>
        <w:spacing w:after="0" w:line="234" w:lineRule="auto"/>
        <w:tabs>
          <w:tab w:leader="none" w:pos="2108" w:val="left"/>
        </w:tabs>
        <w:numPr>
          <w:ilvl w:val="0"/>
          <w:numId w:val="15"/>
        </w:numPr>
        <w:rPr>
          <w:rFonts w:ascii="Arial" w:cs="Arial" w:eastAsia="Arial" w:hAnsi="Arial"/>
          <w:sz w:val="22"/>
          <w:szCs w:val="22"/>
          <w:color w:val="auto"/>
        </w:rPr>
      </w:pPr>
      <w:r>
        <w:rPr>
          <w:rFonts w:ascii="Arial" w:cs="Arial" w:eastAsia="Arial" w:hAnsi="Arial"/>
          <w:sz w:val="22"/>
          <w:szCs w:val="22"/>
          <w:color w:val="auto"/>
        </w:rPr>
        <w:t>“Administrator” shall have, on and after February 1, 2013, the same meaning as “Named Fiduciary-Plan Administration” as such term is defined in the Pension Plan for Salaried Employees of Union Pacific Corporation and Affiliates. Prior to February 1, 2013, “Administrator” means the Senior Vice President-Human Resources of Union Pacific or, if there is no such Senior Vice President - Human Resources, such person or persons appointed by the Board of Directors of Union Pacific or, in the absence of any such appointment, Union Pacific, who shall administer this Supplemental Plan.</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42" w:name="page43"/>
    <w:bookmarkEnd w:id="42"/>
    <w:p>
      <w:pPr>
        <w:jc w:val="both"/>
        <w:ind w:left="100" w:right="99" w:firstLine="1301"/>
        <w:spacing w:after="0"/>
        <w:tabs>
          <w:tab w:leader="none" w:pos="2122" w:val="left"/>
        </w:tabs>
        <w:numPr>
          <w:ilvl w:val="0"/>
          <w:numId w:val="16"/>
        </w:numPr>
        <w:rPr>
          <w:rFonts w:ascii="Arial" w:cs="Arial" w:eastAsia="Arial" w:hAnsi="Arial"/>
          <w:sz w:val="22"/>
          <w:szCs w:val="22"/>
          <w:color w:val="auto"/>
        </w:rPr>
      </w:pPr>
      <w:r>
        <w:rPr>
          <w:rFonts w:ascii="Arial" w:cs="Arial" w:eastAsia="Arial" w:hAnsi="Arial"/>
          <w:sz w:val="22"/>
          <w:szCs w:val="22"/>
          <w:color w:val="auto"/>
        </w:rPr>
        <w:t>“Change in Control” means a “Change in Control” as defined in the Union Pacific Corporation Key Employee Continuity Plan adopted November 16, 2000, as may be amended from time to time.</w:t>
      </w:r>
    </w:p>
    <w:p>
      <w:pPr>
        <w:spacing w:after="0" w:line="186" w:lineRule="exact"/>
        <w:rPr>
          <w:rFonts w:ascii="Arial" w:cs="Arial" w:eastAsia="Arial" w:hAnsi="Arial"/>
          <w:sz w:val="22"/>
          <w:szCs w:val="22"/>
          <w:color w:val="auto"/>
        </w:rPr>
      </w:pPr>
    </w:p>
    <w:p>
      <w:pPr>
        <w:jc w:val="both"/>
        <w:ind w:left="100" w:right="99" w:firstLine="1301"/>
        <w:spacing w:after="0" w:line="244" w:lineRule="auto"/>
        <w:tabs>
          <w:tab w:leader="none" w:pos="2162" w:val="left"/>
        </w:tabs>
        <w:numPr>
          <w:ilvl w:val="0"/>
          <w:numId w:val="16"/>
        </w:numPr>
        <w:rPr>
          <w:rFonts w:ascii="Arial" w:cs="Arial" w:eastAsia="Arial" w:hAnsi="Arial"/>
          <w:sz w:val="21"/>
          <w:szCs w:val="21"/>
          <w:color w:val="auto"/>
        </w:rPr>
      </w:pPr>
      <w:r>
        <w:rPr>
          <w:rFonts w:ascii="Arial" w:cs="Arial" w:eastAsia="Arial" w:hAnsi="Arial"/>
          <w:sz w:val="21"/>
          <w:szCs w:val="21"/>
          <w:color w:val="auto"/>
        </w:rPr>
        <w:t>“Company” means Union Pacific and any Affiliated Company which is included in the Supplemental Plan by written action of (i) its board of directors and (ii) either the Board of Directors of Union Pacific or the Administrator acting on behalf of the Board of Directors of Union Pacific; provided, however, that if an Affiliated Company (other than an Affiliated Company that would remain such if the phrase “100 percent” were substituted for the phrase “at least 80 percent” in section 1563(a)(1) of the Code, which is then incorporated by reference in sections 414(b) and (c) of the Code) is included in the Supplemental Plan by virtue of action by the Administrator, unless the Board of Directors of Union Pacific ratifies such action not later than its first regularly scheduled meeting held subsequent to the taking of such action by the Administrator, such Affiliated Company shall cease to be so included as of the close of business on the last day of the month in which such meeting occurs and no employee of such Affiliated Company shall accrue a benefit under the Supplemental Plan.</w:t>
      </w:r>
    </w:p>
    <w:p>
      <w:pPr>
        <w:spacing w:after="0" w:line="187" w:lineRule="exact"/>
        <w:rPr>
          <w:rFonts w:ascii="Arial" w:cs="Arial" w:eastAsia="Arial" w:hAnsi="Arial"/>
          <w:sz w:val="21"/>
          <w:szCs w:val="21"/>
          <w:color w:val="auto"/>
        </w:rPr>
      </w:pPr>
    </w:p>
    <w:p>
      <w:pPr>
        <w:jc w:val="both"/>
        <w:ind w:left="100" w:right="99" w:firstLine="1301"/>
        <w:spacing w:after="0" w:line="246" w:lineRule="exact"/>
        <w:tabs>
          <w:tab w:leader="none" w:pos="2190" w:val="left"/>
        </w:tabs>
        <w:numPr>
          <w:ilvl w:val="0"/>
          <w:numId w:val="16"/>
        </w:numPr>
        <w:rPr>
          <w:rFonts w:ascii="Arial" w:cs="Arial" w:eastAsia="Arial" w:hAnsi="Arial"/>
          <w:sz w:val="21"/>
          <w:szCs w:val="21"/>
          <w:color w:val="auto"/>
        </w:rPr>
      </w:pPr>
      <w:r>
        <w:rPr>
          <w:rFonts w:ascii="Arial" w:cs="Arial" w:eastAsia="Arial" w:hAnsi="Arial"/>
          <w:sz w:val="21"/>
          <w:szCs w:val="21"/>
          <w:color w:val="auto"/>
        </w:rPr>
        <w:t>“Early Supplemental Pension Retirement Date” means the date of a Participant’s Separation from Service after he becomes vested in his Supplemental Plan (409A Non</w:t>
      </w:r>
      <w:r>
        <w:rPr>
          <w:rFonts w:ascii="MS PGothic" w:cs="MS PGothic" w:eastAsia="MS PGothic" w:hAnsi="MS PGothic"/>
          <w:sz w:val="21"/>
          <w:szCs w:val="21"/>
          <w:color w:val="auto"/>
        </w:rPr>
        <w:t>‑</w:t>
      </w:r>
      <w:r>
        <w:rPr>
          <w:rFonts w:ascii="Arial" w:cs="Arial" w:eastAsia="Arial" w:hAnsi="Arial"/>
          <w:sz w:val="21"/>
          <w:szCs w:val="21"/>
          <w:color w:val="auto"/>
        </w:rPr>
        <w:t>Grandfathered Component) benefit under Section 4.2, before his Normal Retirement Date, and after either attaining age 55 and completing 10 years of Vesting Service or attaining age 65, determined after taking into account (i) additional service credited under Section 1.3(s) and/or (ii) additional years of age, not exceeding five (5), as may be approved by the Chief Executive Officer of Union Pacific prior to the Participant’s Separation from Service or as may be credited to the Participant pursuant to Section 2.7, Section 2.8 or Section 2.10; provided, however that such date does not qualify as an Early Retirement Date under the terms of the Pension Plan. Notwithstanding the foregoing, any additional years of age awarded under this Section 1.3(e) shall affect only a Participant’s eligibility for an Early Supplemental Pension, and not the actual commencement date of such benefit.</w:t>
      </w:r>
    </w:p>
    <w:p>
      <w:pPr>
        <w:spacing w:after="0" w:line="187" w:lineRule="exact"/>
        <w:rPr>
          <w:rFonts w:ascii="Arial" w:cs="Arial" w:eastAsia="Arial" w:hAnsi="Arial"/>
          <w:sz w:val="21"/>
          <w:szCs w:val="21"/>
          <w:color w:val="auto"/>
        </w:rPr>
      </w:pPr>
    </w:p>
    <w:p>
      <w:pPr>
        <w:ind w:left="2120" w:hanging="719"/>
        <w:spacing w:after="0"/>
        <w:tabs>
          <w:tab w:leader="none" w:pos="2120" w:val="left"/>
        </w:tabs>
        <w:numPr>
          <w:ilvl w:val="0"/>
          <w:numId w:val="16"/>
        </w:numPr>
        <w:rPr>
          <w:rFonts w:ascii="Arial" w:cs="Arial" w:eastAsia="Arial" w:hAnsi="Arial"/>
          <w:sz w:val="19"/>
          <w:szCs w:val="19"/>
          <w:color w:val="auto"/>
        </w:rPr>
      </w:pPr>
      <w:r>
        <w:rPr>
          <w:rFonts w:ascii="Arial" w:cs="Arial" w:eastAsia="Arial" w:hAnsi="Arial"/>
          <w:sz w:val="19"/>
          <w:szCs w:val="19"/>
          <w:color w:val="auto"/>
        </w:rPr>
        <w:t>“Early Supplemental Pension” means the pension provided for in Section 2.2.</w:t>
      </w:r>
    </w:p>
    <w:p>
      <w:pPr>
        <w:spacing w:after="0" w:line="240" w:lineRule="exact"/>
        <w:rPr>
          <w:rFonts w:ascii="Arial" w:cs="Arial" w:eastAsia="Arial" w:hAnsi="Arial"/>
          <w:sz w:val="19"/>
          <w:szCs w:val="19"/>
          <w:color w:val="auto"/>
        </w:rPr>
      </w:pPr>
    </w:p>
    <w:p>
      <w:pPr>
        <w:jc w:val="both"/>
        <w:ind w:left="100" w:right="99" w:firstLine="1301"/>
        <w:spacing w:after="0" w:line="251" w:lineRule="exact"/>
        <w:tabs>
          <w:tab w:leader="none" w:pos="2121" w:val="left"/>
        </w:tabs>
        <w:numPr>
          <w:ilvl w:val="0"/>
          <w:numId w:val="16"/>
        </w:numPr>
        <w:rPr>
          <w:rFonts w:ascii="Arial" w:cs="Arial" w:eastAsia="Arial" w:hAnsi="Arial"/>
          <w:sz w:val="22"/>
          <w:szCs w:val="22"/>
          <w:color w:val="auto"/>
        </w:rPr>
      </w:pPr>
      <w:r>
        <w:rPr>
          <w:rFonts w:ascii="Arial" w:cs="Arial" w:eastAsia="Arial" w:hAnsi="Arial"/>
          <w:sz w:val="22"/>
          <w:szCs w:val="22"/>
          <w:color w:val="auto"/>
        </w:rPr>
        <w:t>“Effective Date” means January 1, 1989, the effective date of this document; provided, however, that when a provision of this Supplemental Plan (409A Non</w:t>
      </w:r>
      <w:r>
        <w:rPr>
          <w:rFonts w:ascii="MS PGothic" w:cs="MS PGothic" w:eastAsia="MS PGothic" w:hAnsi="MS PGothic"/>
          <w:sz w:val="22"/>
          <w:szCs w:val="22"/>
          <w:color w:val="auto"/>
        </w:rPr>
        <w:t>‑</w:t>
      </w:r>
      <w:r>
        <w:rPr>
          <w:rFonts w:ascii="Arial" w:cs="Arial" w:eastAsia="Arial" w:hAnsi="Arial"/>
          <w:sz w:val="22"/>
          <w:szCs w:val="22"/>
          <w:color w:val="auto"/>
        </w:rPr>
        <w:t>Grandfathered Component) states an effective date other than January 1, 1989, such stated special effective date shall apply as to that provision.</w:t>
      </w:r>
    </w:p>
    <w:p>
      <w:pPr>
        <w:spacing w:after="0" w:line="185" w:lineRule="exact"/>
        <w:rPr>
          <w:rFonts w:ascii="Arial" w:cs="Arial" w:eastAsia="Arial" w:hAnsi="Arial"/>
          <w:sz w:val="22"/>
          <w:szCs w:val="22"/>
          <w:color w:val="auto"/>
        </w:rPr>
      </w:pPr>
    </w:p>
    <w:p>
      <w:pPr>
        <w:jc w:val="both"/>
        <w:ind w:left="100" w:right="99" w:firstLine="1301"/>
        <w:spacing w:after="0"/>
        <w:tabs>
          <w:tab w:leader="none" w:pos="2189" w:val="left"/>
        </w:tabs>
        <w:numPr>
          <w:ilvl w:val="0"/>
          <w:numId w:val="16"/>
        </w:numPr>
        <w:rPr>
          <w:rFonts w:ascii="Arial" w:cs="Arial" w:eastAsia="Arial" w:hAnsi="Arial"/>
          <w:sz w:val="22"/>
          <w:szCs w:val="22"/>
          <w:color w:val="auto"/>
        </w:rPr>
      </w:pPr>
      <w:r>
        <w:rPr>
          <w:rFonts w:ascii="Arial" w:cs="Arial" w:eastAsia="Arial" w:hAnsi="Arial"/>
          <w:sz w:val="22"/>
          <w:szCs w:val="22"/>
          <w:color w:val="auto"/>
        </w:rPr>
        <w:t>“Final Average Compensation” means Final Average Compensation as determined under Article II of the Pension Plan as of the date of the Participant’s Separation from Service.</w:t>
      </w:r>
    </w:p>
    <w:p>
      <w:pPr>
        <w:spacing w:after="0" w:line="186" w:lineRule="exact"/>
        <w:rPr>
          <w:rFonts w:ascii="Arial" w:cs="Arial" w:eastAsia="Arial" w:hAnsi="Arial"/>
          <w:sz w:val="22"/>
          <w:szCs w:val="22"/>
          <w:color w:val="auto"/>
        </w:rPr>
      </w:pPr>
    </w:p>
    <w:p>
      <w:pPr>
        <w:ind w:left="2120" w:hanging="719"/>
        <w:spacing w:after="0"/>
        <w:tabs>
          <w:tab w:leader="none" w:pos="2120" w:val="left"/>
        </w:tabs>
        <w:numPr>
          <w:ilvl w:val="0"/>
          <w:numId w:val="16"/>
        </w:numPr>
        <w:rPr>
          <w:rFonts w:ascii="Arial" w:cs="Arial" w:eastAsia="Arial" w:hAnsi="Arial"/>
          <w:sz w:val="22"/>
          <w:szCs w:val="22"/>
          <w:color w:val="auto"/>
        </w:rPr>
      </w:pPr>
      <w:r>
        <w:rPr>
          <w:rFonts w:ascii="Arial" w:cs="Arial" w:eastAsia="Arial" w:hAnsi="Arial"/>
          <w:sz w:val="22"/>
          <w:szCs w:val="22"/>
          <w:color w:val="auto"/>
        </w:rPr>
        <w:t>“Incentive Compensation” means:</w:t>
      </w:r>
    </w:p>
    <w:p>
      <w:pPr>
        <w:spacing w:after="0" w:line="206" w:lineRule="exact"/>
        <w:rPr>
          <w:rFonts w:ascii="Arial" w:cs="Arial" w:eastAsia="Arial" w:hAnsi="Arial"/>
          <w:sz w:val="22"/>
          <w:szCs w:val="22"/>
          <w:color w:val="auto"/>
        </w:rPr>
      </w:pPr>
    </w:p>
    <w:p>
      <w:pPr>
        <w:ind w:left="2780" w:hanging="731"/>
        <w:spacing w:after="0"/>
        <w:tabs>
          <w:tab w:leader="none" w:pos="2780" w:val="left"/>
        </w:tabs>
        <w:numPr>
          <w:ilvl w:val="1"/>
          <w:numId w:val="16"/>
        </w:numPr>
        <w:rPr>
          <w:rFonts w:ascii="Arial" w:cs="Arial" w:eastAsia="Arial" w:hAnsi="Arial"/>
          <w:sz w:val="19"/>
          <w:szCs w:val="19"/>
          <w:color w:val="auto"/>
        </w:rPr>
      </w:pPr>
      <w:r>
        <w:rPr>
          <w:rFonts w:ascii="Arial" w:cs="Arial" w:eastAsia="Arial" w:hAnsi="Arial"/>
          <w:sz w:val="19"/>
          <w:szCs w:val="19"/>
          <w:color w:val="auto"/>
        </w:rPr>
        <w:t>incentive compensation awarded to a Participant under the Executive</w:t>
      </w:r>
    </w:p>
    <w:p>
      <w:pPr>
        <w:spacing w:after="0" w:line="42" w:lineRule="exact"/>
        <w:rPr>
          <w:rFonts w:ascii="Arial" w:cs="Arial" w:eastAsia="Arial" w:hAnsi="Arial"/>
          <w:sz w:val="19"/>
          <w:szCs w:val="19"/>
          <w:color w:val="auto"/>
        </w:rPr>
      </w:pPr>
    </w:p>
    <w:p>
      <w:pPr>
        <w:ind w:left="100"/>
        <w:spacing w:after="0"/>
        <w:rPr>
          <w:rFonts w:ascii="Arial" w:cs="Arial" w:eastAsia="Arial" w:hAnsi="Arial"/>
          <w:sz w:val="19"/>
          <w:szCs w:val="19"/>
          <w:color w:val="auto"/>
        </w:rPr>
      </w:pPr>
      <w:r>
        <w:rPr>
          <w:rFonts w:ascii="Arial" w:cs="Arial" w:eastAsia="Arial" w:hAnsi="Arial"/>
          <w:sz w:val="22"/>
          <w:szCs w:val="22"/>
          <w:color w:val="auto"/>
        </w:rPr>
        <w:t>Incentive Plan of Union Pacific Corporation and Subsidiaries, as amended and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43" w:name="page44"/>
    <w:bookmarkEnd w:id="43"/>
    <w:p>
      <w:pPr>
        <w:ind w:left="100" w:right="99"/>
        <w:spacing w:after="0" w:line="251" w:lineRule="auto"/>
        <w:rPr>
          <w:sz w:val="20"/>
          <w:szCs w:val="20"/>
          <w:color w:val="auto"/>
        </w:rPr>
      </w:pPr>
      <w:r>
        <w:rPr>
          <w:rFonts w:ascii="Arial" w:cs="Arial" w:eastAsia="Arial" w:hAnsi="Arial"/>
          <w:sz w:val="22"/>
          <w:szCs w:val="22"/>
          <w:color w:val="auto"/>
        </w:rPr>
        <w:t>restated as of April 15, 1988 and as it may thereafter be amended from time to time, and any successor thereto (the “Executive Incentive Plan”);</w:t>
      </w:r>
    </w:p>
    <w:p>
      <w:pPr>
        <w:spacing w:after="0" w:line="173" w:lineRule="exact"/>
        <w:rPr>
          <w:sz w:val="20"/>
          <w:szCs w:val="20"/>
          <w:color w:val="auto"/>
        </w:rPr>
      </w:pPr>
    </w:p>
    <w:p>
      <w:pPr>
        <w:jc w:val="both"/>
        <w:ind w:left="100" w:right="99" w:firstLine="1949"/>
        <w:spacing w:after="0"/>
        <w:tabs>
          <w:tab w:leader="none" w:pos="2862" w:val="left"/>
        </w:tabs>
        <w:numPr>
          <w:ilvl w:val="0"/>
          <w:numId w:val="17"/>
        </w:numPr>
        <w:rPr>
          <w:rFonts w:ascii="Arial" w:cs="Arial" w:eastAsia="Arial" w:hAnsi="Arial"/>
          <w:sz w:val="22"/>
          <w:szCs w:val="22"/>
          <w:color w:val="auto"/>
        </w:rPr>
      </w:pPr>
      <w:r>
        <w:rPr>
          <w:rFonts w:ascii="Arial" w:cs="Arial" w:eastAsia="Arial" w:hAnsi="Arial"/>
          <w:sz w:val="22"/>
          <w:szCs w:val="22"/>
          <w:color w:val="auto"/>
        </w:rPr>
        <w:t>for 1999 and later years, incentive compensation foregone by a Participant for an award under the Executive Incentive Premium Exchange Program of Union Pacific Corporation and Subsidiaries;</w:t>
      </w:r>
    </w:p>
    <w:p>
      <w:pPr>
        <w:spacing w:after="0" w:line="186" w:lineRule="exact"/>
        <w:rPr>
          <w:rFonts w:ascii="Arial" w:cs="Arial" w:eastAsia="Arial" w:hAnsi="Arial"/>
          <w:sz w:val="22"/>
          <w:szCs w:val="22"/>
          <w:color w:val="auto"/>
        </w:rPr>
      </w:pPr>
    </w:p>
    <w:p>
      <w:pPr>
        <w:ind w:left="100" w:right="99" w:firstLine="1949"/>
        <w:spacing w:after="0" w:line="328" w:lineRule="auto"/>
        <w:tabs>
          <w:tab w:leader="none" w:pos="2841" w:val="left"/>
        </w:tabs>
        <w:numPr>
          <w:ilvl w:val="0"/>
          <w:numId w:val="17"/>
        </w:numPr>
        <w:rPr>
          <w:rFonts w:ascii="Arial" w:cs="Arial" w:eastAsia="Arial" w:hAnsi="Arial"/>
          <w:sz w:val="19"/>
          <w:szCs w:val="19"/>
          <w:color w:val="auto"/>
        </w:rPr>
      </w:pPr>
      <w:r>
        <w:rPr>
          <w:rFonts w:ascii="Arial" w:cs="Arial" w:eastAsia="Arial" w:hAnsi="Arial"/>
          <w:sz w:val="19"/>
          <w:szCs w:val="19"/>
          <w:color w:val="auto"/>
        </w:rPr>
        <w:t>such other incentive compensation as may be included in Incentive Compensation for a Participant at the discretion of the Board of Directors of Union Pacific; or</w:t>
      </w:r>
    </w:p>
    <w:p>
      <w:pPr>
        <w:spacing w:after="0" w:line="105" w:lineRule="exact"/>
        <w:rPr>
          <w:rFonts w:ascii="Arial" w:cs="Arial" w:eastAsia="Arial" w:hAnsi="Arial"/>
          <w:sz w:val="19"/>
          <w:szCs w:val="19"/>
          <w:color w:val="auto"/>
        </w:rPr>
      </w:pPr>
    </w:p>
    <w:p>
      <w:pPr>
        <w:jc w:val="both"/>
        <w:ind w:left="100" w:right="99" w:firstLine="1949"/>
        <w:spacing w:after="0" w:line="258" w:lineRule="auto"/>
        <w:tabs>
          <w:tab w:leader="none" w:pos="2870" w:val="left"/>
        </w:tabs>
        <w:numPr>
          <w:ilvl w:val="0"/>
          <w:numId w:val="17"/>
        </w:numPr>
        <w:rPr>
          <w:rFonts w:ascii="Arial" w:cs="Arial" w:eastAsia="Arial" w:hAnsi="Arial"/>
          <w:sz w:val="21"/>
          <w:szCs w:val="21"/>
          <w:color w:val="auto"/>
        </w:rPr>
      </w:pPr>
      <w:r>
        <w:rPr>
          <w:rFonts w:ascii="Arial" w:cs="Arial" w:eastAsia="Arial" w:hAnsi="Arial"/>
          <w:sz w:val="21"/>
          <w:szCs w:val="21"/>
          <w:color w:val="auto"/>
        </w:rPr>
        <w:t>the amount of retention stock (or retention units) awarded to a Participant by the Compensation and Benefits Committee of the Company’s Board of Directors (or any successor thereto) in lieu of a cash award under the Executive Incentive Plan,</w:t>
      </w:r>
    </w:p>
    <w:p>
      <w:pPr>
        <w:spacing w:after="0" w:line="167" w:lineRule="exact"/>
        <w:rPr>
          <w:sz w:val="20"/>
          <w:szCs w:val="20"/>
          <w:color w:val="auto"/>
        </w:rPr>
      </w:pPr>
    </w:p>
    <w:p>
      <w:pPr>
        <w:jc w:val="both"/>
        <w:ind w:left="100" w:right="99"/>
        <w:spacing w:after="0" w:line="246" w:lineRule="exact"/>
        <w:rPr>
          <w:sz w:val="20"/>
          <w:szCs w:val="20"/>
          <w:color w:val="auto"/>
        </w:rPr>
      </w:pPr>
      <w:r>
        <w:rPr>
          <w:rFonts w:ascii="Arial" w:cs="Arial" w:eastAsia="Arial" w:hAnsi="Arial"/>
          <w:sz w:val="19"/>
          <w:szCs w:val="19"/>
          <w:color w:val="auto"/>
        </w:rPr>
        <w:t>but only to the extent that such incentive compensation or retention stock (or retention units) is not taken into account in computing the Participant’s Final Average Compensation for reasons other than the annual compensation limit under section 401(a)(17) of the Code or the provisions of Alternative II-D set forth in Section 3.01(c) of the Pension Plan. Awards of Incentive Compensation shall be taken into account at the time such awards would have been paid but for the Participant’s election, to forego or defer payment under a plan of the Company or an Affiliated Company; provided, however, that for purposes of calculating a Participant’s benefit under this Supplemental Plan (409A Non</w:t>
      </w:r>
      <w:r>
        <w:rPr>
          <w:rFonts w:ascii="MS PGothic" w:cs="MS PGothic" w:eastAsia="MS PGothic" w:hAnsi="MS PGothic"/>
          <w:sz w:val="19"/>
          <w:szCs w:val="19"/>
          <w:color w:val="auto"/>
        </w:rPr>
        <w:t>‑</w:t>
      </w:r>
      <w:r>
        <w:rPr>
          <w:rFonts w:ascii="Arial" w:cs="Arial" w:eastAsia="Arial" w:hAnsi="Arial"/>
          <w:sz w:val="19"/>
          <w:szCs w:val="19"/>
          <w:color w:val="auto"/>
        </w:rPr>
        <w:t>Grandfathered Component) no more than the three highest awards of Incentive Compensation shall be counted in the Participant’s highest 36 consecutive months of Compensation determined as of the Participant’s Separation from Service taking all Incentive Compensation into account.</w:t>
      </w:r>
    </w:p>
    <w:p>
      <w:pPr>
        <w:spacing w:after="0" w:line="189" w:lineRule="exact"/>
        <w:rPr>
          <w:sz w:val="20"/>
          <w:szCs w:val="20"/>
          <w:color w:val="auto"/>
        </w:rPr>
      </w:pPr>
    </w:p>
    <w:p>
      <w:pPr>
        <w:ind w:left="2140" w:hanging="739"/>
        <w:spacing w:after="0"/>
        <w:tabs>
          <w:tab w:leader="none" w:pos="21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“Normal Supplemental Pension” means the pension provided for in Section</w:t>
      </w:r>
    </w:p>
    <w:p>
      <w:pPr>
        <w:spacing w:after="0" w:line="43" w:lineRule="exact"/>
        <w:rPr>
          <w:sz w:val="20"/>
          <w:szCs w:val="20"/>
          <w:color w:val="auto"/>
        </w:rPr>
      </w:pPr>
    </w:p>
    <w:p>
      <w:pPr>
        <w:ind w:left="100"/>
        <w:spacing w:after="0"/>
        <w:rPr>
          <w:sz w:val="20"/>
          <w:szCs w:val="20"/>
          <w:color w:val="auto"/>
        </w:rPr>
      </w:pPr>
      <w:r>
        <w:rPr>
          <w:rFonts w:ascii="Arial" w:cs="Arial" w:eastAsia="Arial" w:hAnsi="Arial"/>
          <w:sz w:val="22"/>
          <w:szCs w:val="22"/>
          <w:color w:val="auto"/>
        </w:rPr>
        <w:t>2.1.</w:t>
      </w:r>
    </w:p>
    <w:p>
      <w:pPr>
        <w:spacing w:after="0" w:line="188" w:lineRule="exact"/>
        <w:rPr>
          <w:sz w:val="20"/>
          <w:szCs w:val="20"/>
          <w:color w:val="auto"/>
        </w:rPr>
      </w:pPr>
    </w:p>
    <w:p>
      <w:pPr>
        <w:ind w:left="100" w:right="99" w:firstLine="1301"/>
        <w:spacing w:after="0" w:line="251" w:lineRule="auto"/>
        <w:tabs>
          <w:tab w:leader="none" w:pos="2121" w:val="left"/>
        </w:tabs>
        <w:numPr>
          <w:ilvl w:val="0"/>
          <w:numId w:val="19"/>
        </w:numPr>
        <w:rPr>
          <w:rFonts w:ascii="Arial" w:cs="Arial" w:eastAsia="Arial" w:hAnsi="Arial"/>
          <w:sz w:val="22"/>
          <w:szCs w:val="22"/>
          <w:color w:val="auto"/>
        </w:rPr>
      </w:pPr>
      <w:r>
        <w:rPr>
          <w:rFonts w:ascii="Arial" w:cs="Arial" w:eastAsia="Arial" w:hAnsi="Arial"/>
          <w:sz w:val="22"/>
          <w:szCs w:val="22"/>
          <w:color w:val="auto"/>
        </w:rPr>
        <w:t>“Participant” means any Employee of the Company on or after the Effective Date who is or once was a Covered Employee under the Pension Plan and:</w:t>
      </w:r>
    </w:p>
    <w:p>
      <w:pPr>
        <w:spacing w:after="0" w:line="173" w:lineRule="exact"/>
        <w:rPr>
          <w:rFonts w:ascii="Arial" w:cs="Arial" w:eastAsia="Arial" w:hAnsi="Arial"/>
          <w:sz w:val="22"/>
          <w:szCs w:val="22"/>
          <w:color w:val="auto"/>
        </w:rPr>
      </w:pPr>
    </w:p>
    <w:p>
      <w:pPr>
        <w:jc w:val="both"/>
        <w:ind w:left="100" w:right="99" w:firstLine="1949"/>
        <w:spacing w:after="0" w:line="238" w:lineRule="auto"/>
        <w:tabs>
          <w:tab w:leader="none" w:pos="2775" w:val="left"/>
        </w:tabs>
        <w:numPr>
          <w:ilvl w:val="1"/>
          <w:numId w:val="19"/>
        </w:numPr>
        <w:rPr>
          <w:rFonts w:ascii="Arial" w:cs="Arial" w:eastAsia="Arial" w:hAnsi="Arial"/>
          <w:sz w:val="22"/>
          <w:szCs w:val="22"/>
          <w:color w:val="auto"/>
        </w:rPr>
      </w:pPr>
      <w:r>
        <w:rPr>
          <w:rFonts w:ascii="Arial" w:cs="Arial" w:eastAsia="Arial" w:hAnsi="Arial"/>
          <w:sz w:val="22"/>
          <w:szCs w:val="22"/>
          <w:color w:val="auto"/>
        </w:rPr>
        <w:t>whose Total Credited Service under Section 1.3(s) includes years that are not taken into account as Credited Service under the Pension Plan (including years not taken into account due to application of the provisions of Alternative II-D set forth in Section 3.01(c) of the Pension Plan);</w:t>
      </w:r>
    </w:p>
    <w:p>
      <w:pPr>
        <w:spacing w:after="0" w:line="185" w:lineRule="exact"/>
        <w:rPr>
          <w:rFonts w:ascii="Arial" w:cs="Arial" w:eastAsia="Arial" w:hAnsi="Arial"/>
          <w:sz w:val="22"/>
          <w:szCs w:val="22"/>
          <w:color w:val="auto"/>
        </w:rPr>
      </w:pPr>
    </w:p>
    <w:p>
      <w:pPr>
        <w:ind w:left="100" w:right="99" w:firstLine="1949"/>
        <w:spacing w:after="0" w:line="328" w:lineRule="auto"/>
        <w:tabs>
          <w:tab w:leader="none" w:pos="2862" w:val="left"/>
        </w:tabs>
        <w:numPr>
          <w:ilvl w:val="1"/>
          <w:numId w:val="19"/>
        </w:numPr>
        <w:rPr>
          <w:rFonts w:ascii="Arial" w:cs="Arial" w:eastAsia="Arial" w:hAnsi="Arial"/>
          <w:sz w:val="19"/>
          <w:szCs w:val="19"/>
          <w:color w:val="auto"/>
        </w:rPr>
      </w:pPr>
      <w:r>
        <w:rPr>
          <w:rFonts w:ascii="Arial" w:cs="Arial" w:eastAsia="Arial" w:hAnsi="Arial"/>
          <w:sz w:val="19"/>
          <w:szCs w:val="19"/>
          <w:color w:val="auto"/>
        </w:rPr>
        <w:t>who has Incentive Compensation within the 120-calendar-month period immediately preceding the date on which the Participant ceases to be a Covered Employee;</w:t>
      </w:r>
    </w:p>
    <w:p>
      <w:pPr>
        <w:spacing w:after="0" w:line="105" w:lineRule="exact"/>
        <w:rPr>
          <w:rFonts w:ascii="Arial" w:cs="Arial" w:eastAsia="Arial" w:hAnsi="Arial"/>
          <w:sz w:val="19"/>
          <w:szCs w:val="19"/>
          <w:color w:val="auto"/>
        </w:rPr>
      </w:pPr>
    </w:p>
    <w:p>
      <w:pPr>
        <w:jc w:val="both"/>
        <w:ind w:left="100" w:right="99" w:firstLine="1949"/>
        <w:spacing w:after="0" w:line="252" w:lineRule="auto"/>
        <w:tabs>
          <w:tab w:leader="none" w:pos="2814" w:val="left"/>
        </w:tabs>
        <w:numPr>
          <w:ilvl w:val="1"/>
          <w:numId w:val="19"/>
        </w:numPr>
        <w:rPr>
          <w:rFonts w:ascii="Arial" w:cs="Arial" w:eastAsia="Arial" w:hAnsi="Arial"/>
          <w:sz w:val="21"/>
          <w:szCs w:val="21"/>
          <w:color w:val="auto"/>
        </w:rPr>
      </w:pPr>
      <w:r>
        <w:rPr>
          <w:rFonts w:ascii="Arial" w:cs="Arial" w:eastAsia="Arial" w:hAnsi="Arial"/>
          <w:sz w:val="21"/>
          <w:szCs w:val="21"/>
          <w:color w:val="auto"/>
        </w:rPr>
        <w:t>whose Final Average Compensation is not fully recognized under the Pension Plan due to application of the annual compensation limit under section 401(a)(17) of the Code or the provisions of Alternative II-D set forth in Section 3.01(c) of the Pension Plan, as determined as of the date of the Participant’s Separation from Service;</w:t>
      </w:r>
    </w:p>
    <w:p>
      <w:pPr>
        <w:spacing w:after="0" w:line="174" w:lineRule="exact"/>
        <w:rPr>
          <w:rFonts w:ascii="Arial" w:cs="Arial" w:eastAsia="Arial" w:hAnsi="Arial"/>
          <w:sz w:val="21"/>
          <w:szCs w:val="21"/>
          <w:color w:val="auto"/>
        </w:rPr>
      </w:pPr>
    </w:p>
    <w:p>
      <w:pPr>
        <w:ind w:left="100" w:right="99" w:firstLine="1949"/>
        <w:spacing w:after="0" w:line="251" w:lineRule="auto"/>
        <w:tabs>
          <w:tab w:leader="none" w:pos="2829" w:val="left"/>
        </w:tabs>
        <w:numPr>
          <w:ilvl w:val="1"/>
          <w:numId w:val="19"/>
        </w:numPr>
        <w:rPr>
          <w:rFonts w:ascii="Arial" w:cs="Arial" w:eastAsia="Arial" w:hAnsi="Arial"/>
          <w:sz w:val="22"/>
          <w:szCs w:val="22"/>
          <w:color w:val="auto"/>
        </w:rPr>
      </w:pPr>
      <w:r>
        <w:rPr>
          <w:rFonts w:ascii="Arial" w:cs="Arial" w:eastAsia="Arial" w:hAnsi="Arial"/>
          <w:sz w:val="22"/>
          <w:szCs w:val="22"/>
          <w:color w:val="auto"/>
        </w:rPr>
        <w:t>whose benefit under the Pension Plan is reduced as a result of the limitation described in Section 5.02 of the Pension Plan; or</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44" w:name="page45"/>
    <w:bookmarkEnd w:id="44"/>
    <w:p>
      <w:pPr>
        <w:ind w:left="2780" w:hanging="731"/>
        <w:spacing w:after="0"/>
        <w:tabs>
          <w:tab w:leader="none" w:pos="2780" w:val="left"/>
        </w:tabs>
        <w:numPr>
          <w:ilvl w:val="0"/>
          <w:numId w:val="20"/>
        </w:numPr>
        <w:rPr>
          <w:rFonts w:ascii="Arial" w:cs="Arial" w:eastAsia="Arial" w:hAnsi="Arial"/>
          <w:sz w:val="19"/>
          <w:szCs w:val="19"/>
          <w:color w:val="auto"/>
        </w:rPr>
      </w:pPr>
      <w:r>
        <w:rPr>
          <w:rFonts w:ascii="Arial" w:cs="Arial" w:eastAsia="Arial" w:hAnsi="Arial"/>
          <w:sz w:val="19"/>
          <w:szCs w:val="19"/>
          <w:color w:val="auto"/>
        </w:rPr>
        <w:t>who is credited with additional years of age as described in Section</w:t>
      </w:r>
    </w:p>
    <w:p>
      <w:pPr>
        <w:spacing w:after="0" w:line="43" w:lineRule="exact"/>
        <w:rPr>
          <w:sz w:val="20"/>
          <w:szCs w:val="20"/>
          <w:color w:val="auto"/>
        </w:rPr>
      </w:pPr>
    </w:p>
    <w:p>
      <w:pPr>
        <w:ind w:left="100"/>
        <w:spacing w:after="0"/>
        <w:rPr>
          <w:sz w:val="20"/>
          <w:szCs w:val="20"/>
          <w:color w:val="auto"/>
        </w:rPr>
      </w:pPr>
      <w:r>
        <w:rPr>
          <w:rFonts w:ascii="Arial" w:cs="Arial" w:eastAsia="Arial" w:hAnsi="Arial"/>
          <w:sz w:val="22"/>
          <w:szCs w:val="22"/>
          <w:color w:val="auto"/>
        </w:rPr>
        <w:t>1.3(e)(ii), and</w:t>
      </w:r>
    </w:p>
    <w:p>
      <w:pPr>
        <w:spacing w:after="0" w:line="175" w:lineRule="exact"/>
        <w:rPr>
          <w:sz w:val="20"/>
          <w:szCs w:val="20"/>
          <w:color w:val="auto"/>
        </w:rPr>
      </w:pPr>
    </w:p>
    <w:p>
      <w:pPr>
        <w:ind w:left="100"/>
        <w:spacing w:after="0"/>
        <w:rPr>
          <w:sz w:val="20"/>
          <w:szCs w:val="20"/>
          <w:color w:val="auto"/>
        </w:rPr>
      </w:pPr>
      <w:r>
        <w:rPr>
          <w:rFonts w:ascii="Arial" w:cs="Arial" w:eastAsia="Arial" w:hAnsi="Arial"/>
          <w:sz w:val="19"/>
          <w:szCs w:val="19"/>
          <w:color w:val="auto"/>
        </w:rPr>
        <w:t>who has been designated by the Administrator as eligible to participate in the Supplemental Plan.</w:t>
      </w:r>
    </w:p>
    <w:p>
      <w:pPr>
        <w:spacing w:after="0" w:line="227" w:lineRule="exact"/>
        <w:rPr>
          <w:sz w:val="20"/>
          <w:szCs w:val="20"/>
          <w:color w:val="auto"/>
        </w:rPr>
      </w:pPr>
    </w:p>
    <w:p>
      <w:pPr>
        <w:jc w:val="both"/>
        <w:ind w:left="100" w:right="99"/>
        <w:spacing w:after="0"/>
        <w:rPr>
          <w:sz w:val="20"/>
          <w:szCs w:val="20"/>
          <w:color w:val="auto"/>
        </w:rPr>
      </w:pPr>
      <w:r>
        <w:rPr>
          <w:rFonts w:ascii="Arial" w:cs="Arial" w:eastAsia="Arial" w:hAnsi="Arial"/>
          <w:sz w:val="22"/>
          <w:szCs w:val="22"/>
          <w:color w:val="auto"/>
        </w:rPr>
        <w:t>In the event of the death or incompetency of a Participant, the term shall mean the Participant’s personal representative or guardian for whatever amounts remain payable to the Participant under the terms of the Supplemental Plan.</w:t>
      </w:r>
    </w:p>
    <w:p>
      <w:pPr>
        <w:spacing w:after="0" w:line="186" w:lineRule="exact"/>
        <w:rPr>
          <w:sz w:val="20"/>
          <w:szCs w:val="20"/>
          <w:color w:val="auto"/>
        </w:rPr>
      </w:pPr>
    </w:p>
    <w:p>
      <w:pPr>
        <w:ind w:left="100" w:right="99" w:firstLine="1301"/>
        <w:spacing w:after="0" w:line="251" w:lineRule="auto"/>
        <w:tabs>
          <w:tab w:leader="none" w:pos="2154" w:val="left"/>
        </w:tabs>
        <w:numPr>
          <w:ilvl w:val="0"/>
          <w:numId w:val="21"/>
        </w:numPr>
        <w:rPr>
          <w:rFonts w:ascii="Arial" w:cs="Arial" w:eastAsia="Arial" w:hAnsi="Arial"/>
          <w:sz w:val="22"/>
          <w:szCs w:val="22"/>
          <w:color w:val="auto"/>
        </w:rPr>
      </w:pPr>
      <w:r>
        <w:rPr>
          <w:rFonts w:ascii="Arial" w:cs="Arial" w:eastAsia="Arial" w:hAnsi="Arial"/>
          <w:sz w:val="22"/>
          <w:szCs w:val="22"/>
          <w:color w:val="auto"/>
        </w:rPr>
        <w:t>“Pension Plan” means the Pension Plan for Salaried Employees of Union Pacific Corporation and Affiliates, as amended from time to time.</w:t>
      </w:r>
    </w:p>
    <w:p>
      <w:pPr>
        <w:spacing w:after="0" w:line="173" w:lineRule="exact"/>
        <w:rPr>
          <w:rFonts w:ascii="Arial" w:cs="Arial" w:eastAsia="Arial" w:hAnsi="Arial"/>
          <w:sz w:val="22"/>
          <w:szCs w:val="22"/>
          <w:color w:val="auto"/>
        </w:rPr>
      </w:pPr>
    </w:p>
    <w:p>
      <w:pPr>
        <w:ind w:left="2140" w:hanging="739"/>
        <w:spacing w:after="0"/>
        <w:tabs>
          <w:tab w:leader="none" w:pos="2140" w:val="left"/>
        </w:tabs>
        <w:numPr>
          <w:ilvl w:val="0"/>
          <w:numId w:val="21"/>
        </w:numPr>
        <w:rPr>
          <w:rFonts w:ascii="Arial" w:cs="Arial" w:eastAsia="Arial" w:hAnsi="Arial"/>
          <w:sz w:val="19"/>
          <w:szCs w:val="19"/>
          <w:color w:val="auto"/>
        </w:rPr>
      </w:pPr>
      <w:r>
        <w:rPr>
          <w:rFonts w:ascii="Arial" w:cs="Arial" w:eastAsia="Arial" w:hAnsi="Arial"/>
          <w:sz w:val="19"/>
          <w:szCs w:val="19"/>
          <w:color w:val="auto"/>
        </w:rPr>
        <w:t>“Postponed Supplemental Pension” means the pension provided for in Section</w:t>
      </w:r>
    </w:p>
    <w:p>
      <w:pPr>
        <w:spacing w:after="0" w:line="42" w:lineRule="exact"/>
        <w:rPr>
          <w:rFonts w:ascii="Arial" w:cs="Arial" w:eastAsia="Arial" w:hAnsi="Arial"/>
          <w:sz w:val="19"/>
          <w:szCs w:val="19"/>
          <w:color w:val="auto"/>
        </w:rPr>
      </w:pPr>
    </w:p>
    <w:p>
      <w:pPr>
        <w:ind w:left="100"/>
        <w:spacing w:after="0"/>
        <w:rPr>
          <w:rFonts w:ascii="Arial" w:cs="Arial" w:eastAsia="Arial" w:hAnsi="Arial"/>
          <w:sz w:val="19"/>
          <w:szCs w:val="19"/>
          <w:color w:val="auto"/>
        </w:rPr>
      </w:pPr>
      <w:r>
        <w:rPr>
          <w:rFonts w:ascii="Arial" w:cs="Arial" w:eastAsia="Arial" w:hAnsi="Arial"/>
          <w:sz w:val="22"/>
          <w:szCs w:val="22"/>
          <w:color w:val="auto"/>
        </w:rPr>
        <w:t>2.3.</w:t>
      </w:r>
    </w:p>
    <w:p>
      <w:pPr>
        <w:spacing w:after="0" w:line="188" w:lineRule="exact"/>
        <w:rPr>
          <w:rFonts w:ascii="Arial" w:cs="Arial" w:eastAsia="Arial" w:hAnsi="Arial"/>
          <w:sz w:val="19"/>
          <w:szCs w:val="19"/>
          <w:color w:val="auto"/>
        </w:rPr>
      </w:pPr>
    </w:p>
    <w:p>
      <w:pPr>
        <w:ind w:left="2120" w:hanging="719"/>
        <w:spacing w:after="0"/>
        <w:tabs>
          <w:tab w:leader="none" w:pos="2120" w:val="left"/>
        </w:tabs>
        <w:numPr>
          <w:ilvl w:val="0"/>
          <w:numId w:val="21"/>
        </w:numPr>
        <w:rPr>
          <w:rFonts w:ascii="Arial" w:cs="Arial" w:eastAsia="Arial" w:hAnsi="Arial"/>
          <w:sz w:val="19"/>
          <w:szCs w:val="19"/>
          <w:color w:val="auto"/>
        </w:rPr>
      </w:pPr>
      <w:r>
        <w:rPr>
          <w:rFonts w:ascii="Arial" w:cs="Arial" w:eastAsia="Arial" w:hAnsi="Arial"/>
          <w:sz w:val="19"/>
          <w:szCs w:val="19"/>
          <w:color w:val="auto"/>
        </w:rPr>
        <w:t>“Rehired Supplemental Pension” means the pension provided for in Section</w:t>
      </w:r>
    </w:p>
    <w:p>
      <w:pPr>
        <w:spacing w:after="0" w:line="42" w:lineRule="exact"/>
        <w:rPr>
          <w:rFonts w:ascii="Arial" w:cs="Arial" w:eastAsia="Arial" w:hAnsi="Arial"/>
          <w:sz w:val="19"/>
          <w:szCs w:val="19"/>
          <w:color w:val="auto"/>
        </w:rPr>
      </w:pPr>
    </w:p>
    <w:p>
      <w:pPr>
        <w:ind w:left="100"/>
        <w:spacing w:after="0"/>
        <w:rPr>
          <w:rFonts w:ascii="Arial" w:cs="Arial" w:eastAsia="Arial" w:hAnsi="Arial"/>
          <w:sz w:val="19"/>
          <w:szCs w:val="19"/>
          <w:color w:val="auto"/>
        </w:rPr>
      </w:pPr>
      <w:r>
        <w:rPr>
          <w:rFonts w:ascii="Arial" w:cs="Arial" w:eastAsia="Arial" w:hAnsi="Arial"/>
          <w:sz w:val="22"/>
          <w:szCs w:val="22"/>
          <w:color w:val="auto"/>
        </w:rPr>
        <w:t>2.5.</w:t>
      </w:r>
    </w:p>
    <w:p>
      <w:pPr>
        <w:spacing w:after="0" w:line="188" w:lineRule="exact"/>
        <w:rPr>
          <w:rFonts w:ascii="Arial" w:cs="Arial" w:eastAsia="Arial" w:hAnsi="Arial"/>
          <w:sz w:val="19"/>
          <w:szCs w:val="19"/>
          <w:color w:val="auto"/>
        </w:rPr>
      </w:pPr>
    </w:p>
    <w:p>
      <w:pPr>
        <w:jc w:val="both"/>
        <w:ind w:left="100" w:right="99" w:firstLine="1301"/>
        <w:spacing w:after="0" w:line="274" w:lineRule="auto"/>
        <w:tabs>
          <w:tab w:leader="none" w:pos="2121" w:val="left"/>
        </w:tabs>
        <w:numPr>
          <w:ilvl w:val="0"/>
          <w:numId w:val="21"/>
        </w:numPr>
        <w:rPr>
          <w:rFonts w:ascii="Arial" w:cs="Arial" w:eastAsia="Arial" w:hAnsi="Arial"/>
          <w:sz w:val="19"/>
          <w:szCs w:val="19"/>
          <w:color w:val="auto"/>
        </w:rPr>
      </w:pPr>
      <w:r>
        <w:rPr>
          <w:rFonts w:ascii="Arial" w:cs="Arial" w:eastAsia="Arial" w:hAnsi="Arial"/>
          <w:sz w:val="19"/>
          <w:szCs w:val="19"/>
          <w:color w:val="auto"/>
        </w:rPr>
        <w:t>“Separation from Service” means the date as of which the Company and the Participant reasonably anticipate that no further services would be performed, or that the level of bona fide services the Participant would perform after such date would permanently decrease to no more than twenty percent (20%) of the average level of bona fide services performed by the Participant over the immediately preceding thirty-six (36) month period. There shall be no Separation from Service during a Participant’s bona fide leave of absence so long as such leave does not exceed six (6) months or such longer period as the Participant may retain a right to reemployment with the Company under applicable statute or by contract. The term Separation from Service shall be interpreted in the same manner as a separation from service under Section 409A of the Code.</w:t>
      </w:r>
    </w:p>
    <w:p>
      <w:pPr>
        <w:spacing w:after="0" w:line="158" w:lineRule="exact"/>
        <w:rPr>
          <w:rFonts w:ascii="Arial" w:cs="Arial" w:eastAsia="Arial" w:hAnsi="Arial"/>
          <w:sz w:val="19"/>
          <w:szCs w:val="19"/>
          <w:color w:val="auto"/>
        </w:rPr>
      </w:pPr>
    </w:p>
    <w:p>
      <w:pPr>
        <w:jc w:val="both"/>
        <w:ind w:left="100" w:right="99" w:firstLine="1301"/>
        <w:spacing w:after="0" w:line="277" w:lineRule="auto"/>
        <w:tabs>
          <w:tab w:leader="none" w:pos="2121" w:val="left"/>
        </w:tabs>
        <w:numPr>
          <w:ilvl w:val="0"/>
          <w:numId w:val="21"/>
        </w:numPr>
        <w:rPr>
          <w:rFonts w:ascii="Arial" w:cs="Arial" w:eastAsia="Arial" w:hAnsi="Arial"/>
          <w:sz w:val="19"/>
          <w:szCs w:val="19"/>
          <w:color w:val="auto"/>
        </w:rPr>
      </w:pPr>
      <w:r>
        <w:rPr>
          <w:rFonts w:ascii="Arial" w:cs="Arial" w:eastAsia="Arial" w:hAnsi="Arial"/>
          <w:sz w:val="19"/>
          <w:szCs w:val="19"/>
          <w:color w:val="auto"/>
        </w:rPr>
        <w:t>“Supplemental Plan” means the Supplemental Pension Plan for Officers and Managers of Union Pacific Corporation and Affiliates, as amended and restated effective January 1, 1989, and as it may thereafter be amended from time to time. The Supplemental Plan is comprised of the following components, each of which is set forth in a separate document: (1) the Supplemental Pension Plan (409A Non-Grandfathered Component) for Officers and Managers of Union Pacific Corporation and Affiliates, and (2) the Supplemental Pension Plan (409A Grandfathered Component) for Officers and Managers of Union Pacific Corporation and Affiliates.</w:t>
      </w:r>
    </w:p>
    <w:p>
      <w:pPr>
        <w:spacing w:after="0" w:line="152" w:lineRule="exact"/>
        <w:rPr>
          <w:rFonts w:ascii="Arial" w:cs="Arial" w:eastAsia="Arial" w:hAnsi="Arial"/>
          <w:sz w:val="19"/>
          <w:szCs w:val="19"/>
          <w:color w:val="auto"/>
        </w:rPr>
      </w:pPr>
    </w:p>
    <w:p>
      <w:pPr>
        <w:ind w:left="2120" w:hanging="719"/>
        <w:spacing w:after="0"/>
        <w:tabs>
          <w:tab w:leader="none" w:pos="2120" w:val="left"/>
        </w:tabs>
        <w:numPr>
          <w:ilvl w:val="0"/>
          <w:numId w:val="21"/>
        </w:numPr>
        <w:rPr>
          <w:rFonts w:ascii="Arial" w:cs="Arial" w:eastAsia="Arial" w:hAnsi="Arial"/>
          <w:sz w:val="22"/>
          <w:szCs w:val="22"/>
          <w:color w:val="auto"/>
        </w:rPr>
      </w:pPr>
      <w:r>
        <w:rPr>
          <w:rFonts w:ascii="Arial" w:cs="Arial" w:eastAsia="Arial" w:hAnsi="Arial"/>
          <w:sz w:val="22"/>
          <w:szCs w:val="22"/>
          <w:color w:val="auto"/>
        </w:rPr>
        <w:t>“Surviving Spouse” means:</w:t>
      </w:r>
    </w:p>
    <w:p>
      <w:pPr>
        <w:spacing w:after="0" w:line="206" w:lineRule="exact"/>
        <w:rPr>
          <w:rFonts w:ascii="Arial" w:cs="Arial" w:eastAsia="Arial" w:hAnsi="Arial"/>
          <w:sz w:val="22"/>
          <w:szCs w:val="22"/>
          <w:color w:val="auto"/>
        </w:rPr>
      </w:pPr>
    </w:p>
    <w:p>
      <w:pPr>
        <w:jc w:val="both"/>
        <w:ind w:left="100" w:right="99" w:firstLine="1949"/>
        <w:spacing w:after="0" w:line="297" w:lineRule="auto"/>
        <w:tabs>
          <w:tab w:leader="none" w:pos="2856" w:val="left"/>
        </w:tabs>
        <w:numPr>
          <w:ilvl w:val="1"/>
          <w:numId w:val="21"/>
        </w:numPr>
        <w:rPr>
          <w:rFonts w:ascii="Arial" w:cs="Arial" w:eastAsia="Arial" w:hAnsi="Arial"/>
          <w:sz w:val="19"/>
          <w:szCs w:val="19"/>
          <w:color w:val="auto"/>
        </w:rPr>
      </w:pPr>
      <w:r>
        <w:rPr>
          <w:rFonts w:ascii="Arial" w:cs="Arial" w:eastAsia="Arial" w:hAnsi="Arial"/>
          <w:sz w:val="19"/>
          <w:szCs w:val="19"/>
          <w:color w:val="auto"/>
        </w:rPr>
        <w:t>where payments to the Participant have not begun under the Supplemental Plan at the time of the Participant’s death, the spouse who was legally married to the Participant continuously during the 12 months ending on the date of the Participant’s death;</w:t>
      </w:r>
    </w:p>
    <w:p>
      <w:pPr>
        <w:spacing w:after="0" w:line="134" w:lineRule="exact"/>
        <w:rPr>
          <w:rFonts w:ascii="Arial" w:cs="Arial" w:eastAsia="Arial" w:hAnsi="Arial"/>
          <w:sz w:val="19"/>
          <w:szCs w:val="19"/>
          <w:color w:val="auto"/>
        </w:rPr>
      </w:pPr>
    </w:p>
    <w:p>
      <w:pPr>
        <w:ind w:left="100" w:right="99" w:firstLine="1949"/>
        <w:spacing w:after="0" w:line="251" w:lineRule="auto"/>
        <w:tabs>
          <w:tab w:leader="none" w:pos="2795" w:val="left"/>
        </w:tabs>
        <w:numPr>
          <w:ilvl w:val="1"/>
          <w:numId w:val="21"/>
        </w:numPr>
        <w:rPr>
          <w:rFonts w:ascii="Arial" w:cs="Arial" w:eastAsia="Arial" w:hAnsi="Arial"/>
          <w:sz w:val="22"/>
          <w:szCs w:val="22"/>
          <w:color w:val="auto"/>
        </w:rPr>
      </w:pPr>
      <w:r>
        <w:rPr>
          <w:rFonts w:ascii="Arial" w:cs="Arial" w:eastAsia="Arial" w:hAnsi="Arial"/>
          <w:sz w:val="22"/>
          <w:szCs w:val="22"/>
          <w:color w:val="auto"/>
        </w:rPr>
        <w:t>where payments to the Participant have begun under the Supplemental Plan prior to the Participant’s death:</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45" w:name="page46"/>
    <w:bookmarkEnd w:id="45"/>
    <w:p>
      <w:pPr>
        <w:jc w:val="both"/>
        <w:ind w:left="100" w:right="99" w:firstLine="2598"/>
        <w:spacing w:after="0" w:line="238" w:lineRule="auto"/>
        <w:tabs>
          <w:tab w:leader="none" w:pos="3479" w:val="left"/>
        </w:tabs>
        <w:numPr>
          <w:ilvl w:val="2"/>
          <w:numId w:val="22"/>
        </w:numPr>
        <w:rPr>
          <w:rFonts w:ascii="Arial" w:cs="Arial" w:eastAsia="Arial" w:hAnsi="Arial"/>
          <w:sz w:val="22"/>
          <w:szCs w:val="22"/>
          <w:color w:val="auto"/>
        </w:rPr>
      </w:pPr>
      <w:r>
        <w:rPr>
          <w:rFonts w:ascii="Arial" w:cs="Arial" w:eastAsia="Arial" w:hAnsi="Arial"/>
          <w:sz w:val="22"/>
          <w:szCs w:val="22"/>
          <w:color w:val="auto"/>
        </w:rPr>
        <w:t>in the case of a Participant whose Supplemental Plan and Pension Plan benefit began on the same date or who is not vested in a Pension Plan benefit, the spouse who was legally married to the Participant on the date that his Supplemental Plan payments began;</w:t>
      </w:r>
    </w:p>
    <w:p>
      <w:pPr>
        <w:spacing w:after="0" w:line="185" w:lineRule="exact"/>
        <w:rPr>
          <w:rFonts w:ascii="Arial" w:cs="Arial" w:eastAsia="Arial" w:hAnsi="Arial"/>
          <w:sz w:val="22"/>
          <w:szCs w:val="22"/>
          <w:color w:val="auto"/>
        </w:rPr>
      </w:pPr>
    </w:p>
    <w:p>
      <w:pPr>
        <w:jc w:val="both"/>
        <w:ind w:left="100" w:right="99" w:firstLine="2598"/>
        <w:spacing w:after="0" w:line="297" w:lineRule="auto"/>
        <w:tabs>
          <w:tab w:leader="none" w:pos="3440" w:val="left"/>
        </w:tabs>
        <w:numPr>
          <w:ilvl w:val="2"/>
          <w:numId w:val="22"/>
        </w:numPr>
        <w:rPr>
          <w:rFonts w:ascii="Arial" w:cs="Arial" w:eastAsia="Arial" w:hAnsi="Arial"/>
          <w:sz w:val="19"/>
          <w:szCs w:val="19"/>
          <w:color w:val="auto"/>
        </w:rPr>
      </w:pPr>
      <w:r>
        <w:rPr>
          <w:rFonts w:ascii="Arial" w:cs="Arial" w:eastAsia="Arial" w:hAnsi="Arial"/>
          <w:sz w:val="19"/>
          <w:szCs w:val="19"/>
          <w:color w:val="auto"/>
        </w:rPr>
        <w:t>in the case of a Participant whose Supplemental Plan benefits began on a date earlier than the date on which his Pension Plan benefits began, the spouse who was legally married to the Participant on the date his Pension Plan benefits began; or</w:t>
      </w:r>
    </w:p>
    <w:p>
      <w:pPr>
        <w:spacing w:after="0" w:line="134" w:lineRule="exact"/>
        <w:rPr>
          <w:rFonts w:ascii="Arial" w:cs="Arial" w:eastAsia="Arial" w:hAnsi="Arial"/>
          <w:sz w:val="19"/>
          <w:szCs w:val="19"/>
          <w:color w:val="auto"/>
        </w:rPr>
      </w:pPr>
    </w:p>
    <w:p>
      <w:pPr>
        <w:jc w:val="both"/>
        <w:ind w:left="100" w:right="99" w:firstLine="2598"/>
        <w:spacing w:after="0"/>
        <w:tabs>
          <w:tab w:leader="none" w:pos="3427" w:val="left"/>
        </w:tabs>
        <w:numPr>
          <w:ilvl w:val="2"/>
          <w:numId w:val="22"/>
        </w:numPr>
        <w:rPr>
          <w:rFonts w:ascii="Arial" w:cs="Arial" w:eastAsia="Arial" w:hAnsi="Arial"/>
          <w:sz w:val="22"/>
          <w:szCs w:val="22"/>
          <w:color w:val="auto"/>
        </w:rPr>
      </w:pPr>
      <w:r>
        <w:rPr>
          <w:rFonts w:ascii="Arial" w:cs="Arial" w:eastAsia="Arial" w:hAnsi="Arial"/>
          <w:sz w:val="22"/>
          <w:szCs w:val="22"/>
          <w:color w:val="auto"/>
        </w:rPr>
        <w:t>in the case of a Participant whose Supplemental Plan benefits began but whose vested Pension Plan benefits had not started prior to this death, the spouse who was legally married to the Participant on the date of his death.</w:t>
      </w:r>
    </w:p>
    <w:p>
      <w:pPr>
        <w:spacing w:after="0" w:line="186" w:lineRule="exact"/>
        <w:rPr>
          <w:rFonts w:ascii="Arial" w:cs="Arial" w:eastAsia="Arial" w:hAnsi="Arial"/>
          <w:sz w:val="22"/>
          <w:szCs w:val="22"/>
          <w:color w:val="auto"/>
        </w:rPr>
      </w:pPr>
    </w:p>
    <w:p>
      <w:pPr>
        <w:ind w:left="2120" w:hanging="719"/>
        <w:spacing w:after="0"/>
        <w:tabs>
          <w:tab w:leader="none" w:pos="2120" w:val="left"/>
        </w:tabs>
        <w:numPr>
          <w:ilvl w:val="0"/>
          <w:numId w:val="23"/>
        </w:numPr>
        <w:rPr>
          <w:rFonts w:ascii="Arial" w:cs="Arial" w:eastAsia="Arial" w:hAnsi="Arial"/>
          <w:sz w:val="19"/>
          <w:szCs w:val="19"/>
          <w:color w:val="auto"/>
        </w:rPr>
      </w:pPr>
      <w:r>
        <w:rPr>
          <w:rFonts w:ascii="Arial" w:cs="Arial" w:eastAsia="Arial" w:hAnsi="Arial"/>
          <w:sz w:val="19"/>
          <w:szCs w:val="19"/>
          <w:color w:val="auto"/>
        </w:rPr>
        <w:t>“Surviving Spouse’s Pension” means the pension provided for in Section 2.6.</w:t>
      </w:r>
    </w:p>
    <w:p>
      <w:pPr>
        <w:spacing w:after="0" w:line="240" w:lineRule="exact"/>
        <w:rPr>
          <w:rFonts w:ascii="Arial" w:cs="Arial" w:eastAsia="Arial" w:hAnsi="Arial"/>
          <w:sz w:val="19"/>
          <w:szCs w:val="19"/>
          <w:color w:val="auto"/>
        </w:rPr>
      </w:pPr>
    </w:p>
    <w:p>
      <w:pPr>
        <w:ind w:left="2120" w:hanging="719"/>
        <w:spacing w:after="0"/>
        <w:tabs>
          <w:tab w:leader="none" w:pos="2120" w:val="left"/>
        </w:tabs>
        <w:numPr>
          <w:ilvl w:val="0"/>
          <w:numId w:val="23"/>
        </w:numPr>
        <w:rPr>
          <w:rFonts w:ascii="Arial" w:cs="Arial" w:eastAsia="Arial" w:hAnsi="Arial"/>
          <w:sz w:val="22"/>
          <w:szCs w:val="22"/>
          <w:color w:val="auto"/>
        </w:rPr>
      </w:pPr>
      <w:r>
        <w:rPr>
          <w:rFonts w:ascii="Arial" w:cs="Arial" w:eastAsia="Arial" w:hAnsi="Arial"/>
          <w:sz w:val="22"/>
          <w:szCs w:val="22"/>
          <w:color w:val="auto"/>
        </w:rPr>
        <w:t>“Total Credited Service” means:</w:t>
      </w:r>
    </w:p>
    <w:p>
      <w:pPr>
        <w:spacing w:after="0" w:line="206" w:lineRule="exact"/>
        <w:rPr>
          <w:rFonts w:ascii="Arial" w:cs="Arial" w:eastAsia="Arial" w:hAnsi="Arial"/>
          <w:sz w:val="22"/>
          <w:szCs w:val="22"/>
          <w:color w:val="auto"/>
        </w:rPr>
      </w:pPr>
    </w:p>
    <w:p>
      <w:pPr>
        <w:jc w:val="both"/>
        <w:ind w:left="100" w:right="99" w:firstLine="1949"/>
        <w:spacing w:after="0" w:line="282" w:lineRule="auto"/>
        <w:tabs>
          <w:tab w:leader="none" w:pos="2775" w:val="left"/>
        </w:tabs>
        <w:numPr>
          <w:ilvl w:val="1"/>
          <w:numId w:val="23"/>
        </w:numPr>
        <w:rPr>
          <w:rFonts w:ascii="Arial" w:cs="Arial" w:eastAsia="Arial" w:hAnsi="Arial"/>
          <w:sz w:val="19"/>
          <w:szCs w:val="19"/>
          <w:color w:val="auto"/>
        </w:rPr>
      </w:pPr>
      <w:r>
        <w:rPr>
          <w:rFonts w:ascii="Arial" w:cs="Arial" w:eastAsia="Arial" w:hAnsi="Arial"/>
          <w:sz w:val="19"/>
          <w:szCs w:val="19"/>
          <w:color w:val="auto"/>
        </w:rPr>
        <w:t>all years of Credited Service (and portions thereof) as set forth in the Article IV of the Pension Plan, including Credited Service for years of Employment that are not taken into account under the Pension Plan solely due to application of the provisions of Alternative II-D set forth in Section 3.01(c) of the Pension Plan, but excluding Credited Service accruing during a Participant’s approved unpaid leave of absence that is after the Participant’s Separation from Service;</w:t>
      </w:r>
    </w:p>
    <w:p>
      <w:pPr>
        <w:spacing w:after="0" w:line="147" w:lineRule="exact"/>
        <w:rPr>
          <w:rFonts w:ascii="Arial" w:cs="Arial" w:eastAsia="Arial" w:hAnsi="Arial"/>
          <w:sz w:val="19"/>
          <w:szCs w:val="19"/>
          <w:color w:val="auto"/>
        </w:rPr>
      </w:pPr>
    </w:p>
    <w:p>
      <w:pPr>
        <w:jc w:val="both"/>
        <w:ind w:left="100" w:right="99" w:firstLine="1949"/>
        <w:spacing w:after="0"/>
        <w:tabs>
          <w:tab w:leader="none" w:pos="2795" w:val="left"/>
        </w:tabs>
        <w:numPr>
          <w:ilvl w:val="1"/>
          <w:numId w:val="23"/>
        </w:numPr>
        <w:rPr>
          <w:rFonts w:ascii="Arial" w:cs="Arial" w:eastAsia="Arial" w:hAnsi="Arial"/>
          <w:sz w:val="22"/>
          <w:szCs w:val="22"/>
          <w:color w:val="auto"/>
        </w:rPr>
      </w:pPr>
      <w:r>
        <w:rPr>
          <w:rFonts w:ascii="Arial" w:cs="Arial" w:eastAsia="Arial" w:hAnsi="Arial"/>
          <w:sz w:val="22"/>
          <w:szCs w:val="22"/>
          <w:color w:val="auto"/>
        </w:rPr>
        <w:t>such additional years of training prior to the Participant’s Employment Commencement Date, as may have especially qualified the Participant for service with the Company, as determined by the Board of Directors, in its sole discretion;</w:t>
      </w:r>
    </w:p>
    <w:p>
      <w:pPr>
        <w:spacing w:after="0" w:line="186" w:lineRule="exact"/>
        <w:rPr>
          <w:rFonts w:ascii="Arial" w:cs="Arial" w:eastAsia="Arial" w:hAnsi="Arial"/>
          <w:sz w:val="22"/>
          <w:szCs w:val="22"/>
          <w:color w:val="auto"/>
        </w:rPr>
      </w:pPr>
    </w:p>
    <w:p>
      <w:pPr>
        <w:jc w:val="both"/>
        <w:ind w:left="100" w:right="99" w:firstLine="1949"/>
        <w:spacing w:after="0"/>
        <w:tabs>
          <w:tab w:leader="none" w:pos="2841" w:val="left"/>
        </w:tabs>
        <w:numPr>
          <w:ilvl w:val="1"/>
          <w:numId w:val="23"/>
        </w:numPr>
        <w:rPr>
          <w:rFonts w:ascii="Arial" w:cs="Arial" w:eastAsia="Arial" w:hAnsi="Arial"/>
          <w:sz w:val="22"/>
          <w:szCs w:val="22"/>
          <w:color w:val="auto"/>
        </w:rPr>
      </w:pPr>
      <w:r>
        <w:rPr>
          <w:rFonts w:ascii="Arial" w:cs="Arial" w:eastAsia="Arial" w:hAnsi="Arial"/>
          <w:sz w:val="22"/>
          <w:szCs w:val="22"/>
          <w:color w:val="auto"/>
        </w:rPr>
        <w:t>such additional years of service, not exceeding five (5), as may be approved by the Chief Executive Officer of Union Pacific prior to the Participant’s termination of Employment; and</w:t>
      </w:r>
    </w:p>
    <w:p>
      <w:pPr>
        <w:spacing w:after="0" w:line="186" w:lineRule="exact"/>
        <w:rPr>
          <w:rFonts w:ascii="Arial" w:cs="Arial" w:eastAsia="Arial" w:hAnsi="Arial"/>
          <w:sz w:val="22"/>
          <w:szCs w:val="22"/>
          <w:color w:val="auto"/>
        </w:rPr>
      </w:pPr>
    </w:p>
    <w:p>
      <w:pPr>
        <w:ind w:left="100" w:right="99" w:firstLine="1949"/>
        <w:spacing w:after="0" w:line="251" w:lineRule="auto"/>
        <w:tabs>
          <w:tab w:leader="none" w:pos="2816" w:val="left"/>
        </w:tabs>
        <w:numPr>
          <w:ilvl w:val="1"/>
          <w:numId w:val="23"/>
        </w:numPr>
        <w:rPr>
          <w:rFonts w:ascii="Arial" w:cs="Arial" w:eastAsia="Arial" w:hAnsi="Arial"/>
          <w:sz w:val="22"/>
          <w:szCs w:val="22"/>
          <w:color w:val="auto"/>
        </w:rPr>
      </w:pPr>
      <w:r>
        <w:rPr>
          <w:rFonts w:ascii="Arial" w:cs="Arial" w:eastAsia="Arial" w:hAnsi="Arial"/>
          <w:sz w:val="22"/>
          <w:szCs w:val="22"/>
          <w:color w:val="auto"/>
        </w:rPr>
        <w:t>such additional years of service as may be credited to the Participant pursuant to Section 2.8 or Section 2.10.</w:t>
      </w:r>
    </w:p>
    <w:p>
      <w:pPr>
        <w:spacing w:after="0" w:line="173" w:lineRule="exact"/>
        <w:rPr>
          <w:rFonts w:ascii="Arial" w:cs="Arial" w:eastAsia="Arial" w:hAnsi="Arial"/>
          <w:sz w:val="22"/>
          <w:szCs w:val="22"/>
          <w:color w:val="auto"/>
        </w:rPr>
      </w:pPr>
    </w:p>
    <w:p>
      <w:pPr>
        <w:jc w:val="both"/>
        <w:ind w:left="100" w:right="99" w:firstLine="1301"/>
        <w:spacing w:after="0" w:line="249" w:lineRule="auto"/>
        <w:tabs>
          <w:tab w:leader="none" w:pos="2154" w:val="left"/>
        </w:tabs>
        <w:numPr>
          <w:ilvl w:val="0"/>
          <w:numId w:val="23"/>
        </w:numPr>
        <w:rPr>
          <w:rFonts w:ascii="Arial" w:cs="Arial" w:eastAsia="Arial" w:hAnsi="Arial"/>
          <w:sz w:val="21"/>
          <w:szCs w:val="21"/>
          <w:color w:val="auto"/>
        </w:rPr>
      </w:pPr>
      <w:r>
        <w:rPr>
          <w:rFonts w:ascii="Arial" w:cs="Arial" w:eastAsia="Arial" w:hAnsi="Arial"/>
          <w:sz w:val="21"/>
          <w:szCs w:val="21"/>
          <w:color w:val="auto"/>
        </w:rPr>
        <w:t>“Total Offset Service” means (i) all years of “offset service” (including portions thereof) as set forth in Article V of the Pension Plan, including years of offset service for years of Employment that are not taken into account under the Pension Plan solely due to application of the provisions of Alternative II-D set forth in Section 3.01(c) of the Pension Plan; and (ii) any additional years as credited in accordance with Section 1.3(s)(ii), (iii) or (iv).</w:t>
      </w:r>
    </w:p>
    <w:p>
      <w:pPr>
        <w:spacing w:after="0" w:line="178" w:lineRule="exact"/>
        <w:rPr>
          <w:rFonts w:ascii="Arial" w:cs="Arial" w:eastAsia="Arial" w:hAnsi="Arial"/>
          <w:sz w:val="21"/>
          <w:szCs w:val="21"/>
          <w:color w:val="auto"/>
        </w:rPr>
      </w:pPr>
    </w:p>
    <w:p>
      <w:pPr>
        <w:ind w:left="2140" w:hanging="739"/>
        <w:spacing w:after="0"/>
        <w:tabs>
          <w:tab w:leader="none" w:pos="2140" w:val="left"/>
        </w:tabs>
        <w:numPr>
          <w:ilvl w:val="0"/>
          <w:numId w:val="23"/>
        </w:numPr>
        <w:rPr>
          <w:rFonts w:ascii="Arial" w:cs="Arial" w:eastAsia="Arial" w:hAnsi="Arial"/>
          <w:sz w:val="19"/>
          <w:szCs w:val="19"/>
          <w:color w:val="auto"/>
        </w:rPr>
      </w:pPr>
      <w:r>
        <w:rPr>
          <w:rFonts w:ascii="Arial" w:cs="Arial" w:eastAsia="Arial" w:hAnsi="Arial"/>
          <w:sz w:val="19"/>
          <w:szCs w:val="19"/>
          <w:color w:val="auto"/>
        </w:rPr>
        <w:t>“Union Pacific” means Union Pacific Corporation, or any successor to that</w:t>
      </w:r>
    </w:p>
    <w:p>
      <w:pPr>
        <w:spacing w:after="0" w:line="42" w:lineRule="exact"/>
        <w:rPr>
          <w:rFonts w:ascii="Arial" w:cs="Arial" w:eastAsia="Arial" w:hAnsi="Arial"/>
          <w:sz w:val="19"/>
          <w:szCs w:val="19"/>
          <w:color w:val="auto"/>
        </w:rPr>
      </w:pPr>
    </w:p>
    <w:p>
      <w:pPr>
        <w:ind w:left="100"/>
        <w:spacing w:after="0"/>
        <w:rPr>
          <w:rFonts w:ascii="Arial" w:cs="Arial" w:eastAsia="Arial" w:hAnsi="Arial"/>
          <w:sz w:val="19"/>
          <w:szCs w:val="19"/>
          <w:color w:val="auto"/>
        </w:rPr>
      </w:pPr>
      <w:r>
        <w:rPr>
          <w:rFonts w:ascii="Arial" w:cs="Arial" w:eastAsia="Arial" w:hAnsi="Arial"/>
          <w:sz w:val="22"/>
          <w:szCs w:val="22"/>
          <w:color w:val="auto"/>
        </w:rPr>
        <w:t>corporation.</w:t>
      </w:r>
    </w:p>
    <w:p>
      <w:pPr>
        <w:spacing w:after="0" w:line="188" w:lineRule="exact"/>
        <w:rPr>
          <w:rFonts w:ascii="Arial" w:cs="Arial" w:eastAsia="Arial" w:hAnsi="Arial"/>
          <w:sz w:val="19"/>
          <w:szCs w:val="19"/>
          <w:color w:val="auto"/>
        </w:rPr>
      </w:pPr>
    </w:p>
    <w:p>
      <w:pPr>
        <w:jc w:val="both"/>
        <w:ind w:left="100" w:right="99" w:firstLine="1301"/>
        <w:spacing w:after="0"/>
        <w:tabs>
          <w:tab w:leader="none" w:pos="2121" w:val="left"/>
        </w:tabs>
        <w:numPr>
          <w:ilvl w:val="0"/>
          <w:numId w:val="23"/>
        </w:numPr>
        <w:rPr>
          <w:rFonts w:ascii="Arial" w:cs="Arial" w:eastAsia="Arial" w:hAnsi="Arial"/>
          <w:sz w:val="22"/>
          <w:szCs w:val="22"/>
          <w:color w:val="auto"/>
        </w:rPr>
      </w:pPr>
      <w:r>
        <w:rPr>
          <w:rFonts w:ascii="Arial" w:cs="Arial" w:eastAsia="Arial" w:hAnsi="Arial"/>
          <w:sz w:val="22"/>
          <w:szCs w:val="22"/>
          <w:color w:val="auto"/>
        </w:rPr>
        <w:t>“Vesting Service” means (i) all years of Vesting Service (including portions thereof) as set forth in Article IV of the Pension Plan; and (ii) any additional years as credited in accordance with Section 1.3(s)(ii), (iii) or (iv).</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46" w:name="page47"/>
    <w:bookmarkEnd w:id="46"/>
    <w:p>
      <w:pPr>
        <w:jc w:val="both"/>
        <w:ind w:left="100" w:right="99" w:firstLine="1301"/>
        <w:spacing w:after="0"/>
        <w:tabs>
          <w:tab w:leader="none" w:pos="2169" w:val="left"/>
        </w:tabs>
        <w:numPr>
          <w:ilvl w:val="0"/>
          <w:numId w:val="24"/>
        </w:numPr>
        <w:rPr>
          <w:rFonts w:ascii="Arial" w:cs="Arial" w:eastAsia="Arial" w:hAnsi="Arial"/>
          <w:sz w:val="22"/>
          <w:szCs w:val="22"/>
          <w:color w:val="auto"/>
        </w:rPr>
      </w:pPr>
      <w:r>
        <w:rPr>
          <w:rFonts w:ascii="Arial" w:cs="Arial" w:eastAsia="Arial" w:hAnsi="Arial"/>
          <w:sz w:val="22"/>
          <w:szCs w:val="22"/>
          <w:color w:val="auto"/>
        </w:rPr>
        <w:t>Except as otherwise expressly provided herein, all other capitalized terms shall have the respective meanings set forth in the definition provisions of Article II of the Pension Plan.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47" w:name="page48"/>
    <w:bookmarkEnd w:id="47"/>
    <w:tbl>
      <w:tblPr>
        <w:tblLayout w:type="fixed"/>
        <w:tblInd w:w="760" w:type="dxa"/>
        <w:tblCellMar>
          <w:top w:w="0" w:type="dxa"/>
          <w:left w:w="0" w:type="dxa"/>
          <w:bottom w:w="0" w:type="dxa"/>
          <w:right w:w="0" w:type="dxa"/>
        </w:tblCellMar>
      </w:tblPr>
      <w:tr>
        <w:trPr>
          <w:trHeight w:val="281"/>
        </w:trPr>
        <w:tc>
          <w:tcPr>
            <w:tcW w:w="820" w:type="dxa"/>
            <w:vAlign w:val="bottom"/>
          </w:tcPr>
          <w:p>
            <w:pPr>
              <w:spacing w:after="0"/>
              <w:rPr>
                <w:sz w:val="24"/>
                <w:szCs w:val="24"/>
                <w:color w:val="auto"/>
              </w:rPr>
            </w:pPr>
          </w:p>
        </w:tc>
        <w:tc>
          <w:tcPr>
            <w:tcW w:w="7340" w:type="dxa"/>
            <w:vAlign w:val="bottom"/>
          </w:tcPr>
          <w:p>
            <w:pPr>
              <w:jc w:val="center"/>
              <w:ind w:right="1352"/>
              <w:spacing w:after="0"/>
              <w:rPr>
                <w:sz w:val="20"/>
                <w:szCs w:val="20"/>
                <w:color w:val="auto"/>
              </w:rPr>
            </w:pPr>
            <w:r>
              <w:rPr>
                <w:rFonts w:ascii="Arial" w:cs="Arial" w:eastAsia="Arial" w:hAnsi="Arial"/>
                <w:sz w:val="22"/>
                <w:szCs w:val="22"/>
                <w:b w:val="1"/>
                <w:bCs w:val="1"/>
                <w:u w:val="single" w:color="auto"/>
                <w:color w:val="auto"/>
              </w:rPr>
              <w:t>ARTICLE TWO</w:t>
            </w:r>
          </w:p>
        </w:tc>
      </w:tr>
      <w:tr>
        <w:trPr>
          <w:trHeight w:val="432"/>
        </w:trPr>
        <w:tc>
          <w:tcPr>
            <w:tcW w:w="820" w:type="dxa"/>
            <w:vAlign w:val="bottom"/>
          </w:tcPr>
          <w:p>
            <w:pPr>
              <w:spacing w:after="0"/>
              <w:rPr>
                <w:sz w:val="24"/>
                <w:szCs w:val="24"/>
                <w:color w:val="auto"/>
              </w:rPr>
            </w:pPr>
          </w:p>
        </w:tc>
        <w:tc>
          <w:tcPr>
            <w:tcW w:w="7340" w:type="dxa"/>
            <w:vAlign w:val="bottom"/>
          </w:tcPr>
          <w:p>
            <w:pPr>
              <w:jc w:val="center"/>
              <w:ind w:right="1352"/>
              <w:spacing w:after="0"/>
              <w:rPr>
                <w:sz w:val="20"/>
                <w:szCs w:val="20"/>
                <w:color w:val="auto"/>
              </w:rPr>
            </w:pPr>
            <w:r>
              <w:rPr>
                <w:rFonts w:ascii="Arial" w:cs="Arial" w:eastAsia="Arial" w:hAnsi="Arial"/>
                <w:sz w:val="22"/>
                <w:szCs w:val="22"/>
                <w:b w:val="1"/>
                <w:bCs w:val="1"/>
                <w:u w:val="single" w:color="auto"/>
                <w:color w:val="auto"/>
                <w:w w:val="88"/>
              </w:rPr>
              <w:t>Amount and Payment of Pension</w:t>
            </w:r>
          </w:p>
        </w:tc>
      </w:tr>
      <w:tr>
        <w:trPr>
          <w:trHeight w:val="324"/>
        </w:trPr>
        <w:tc>
          <w:tcPr>
            <w:tcW w:w="820" w:type="dxa"/>
            <w:vAlign w:val="bottom"/>
          </w:tcPr>
          <w:p>
            <w:pPr>
              <w:jc w:val="right"/>
              <w:ind w:right="452"/>
              <w:spacing w:after="0"/>
              <w:rPr>
                <w:sz w:val="20"/>
                <w:szCs w:val="20"/>
                <w:color w:val="auto"/>
              </w:rPr>
            </w:pPr>
            <w:r>
              <w:rPr>
                <w:rFonts w:ascii="Arial" w:cs="Arial" w:eastAsia="Arial" w:hAnsi="Arial"/>
                <w:sz w:val="22"/>
                <w:szCs w:val="22"/>
                <w:color w:val="auto"/>
                <w:w w:val="78"/>
              </w:rPr>
              <w:t>2.1</w:t>
            </w:r>
          </w:p>
        </w:tc>
        <w:tc>
          <w:tcPr>
            <w:tcW w:w="7340" w:type="dxa"/>
            <w:vAlign w:val="bottom"/>
          </w:tcPr>
          <w:p>
            <w:pPr>
              <w:ind w:left="560"/>
              <w:spacing w:after="0"/>
              <w:rPr>
                <w:sz w:val="20"/>
                <w:szCs w:val="20"/>
                <w:color w:val="auto"/>
              </w:rPr>
            </w:pPr>
            <w:r>
              <w:rPr>
                <w:rFonts w:ascii="Arial" w:cs="Arial" w:eastAsia="Arial" w:hAnsi="Arial"/>
                <w:sz w:val="22"/>
                <w:szCs w:val="22"/>
                <w:u w:val="single" w:color="auto"/>
                <w:color w:val="auto"/>
                <w:w w:val="93"/>
              </w:rPr>
              <w:t>Normal Supplemental Pension</w:t>
            </w:r>
            <w:r>
              <w:rPr>
                <w:rFonts w:ascii="Arial" w:cs="Arial" w:eastAsia="Arial" w:hAnsi="Arial"/>
                <w:sz w:val="22"/>
                <w:szCs w:val="22"/>
                <w:color w:val="auto"/>
                <w:w w:val="93"/>
              </w:rPr>
              <w:t>. Subject to the provisions of Articles Three,</w:t>
            </w:r>
          </w:p>
        </w:tc>
      </w:tr>
    </w:tbl>
    <w:p>
      <w:pPr>
        <w:jc w:val="both"/>
        <w:ind w:left="100" w:right="99"/>
        <w:spacing w:after="0" w:line="280" w:lineRule="auto"/>
        <w:rPr>
          <w:sz w:val="20"/>
          <w:szCs w:val="20"/>
          <w:color w:val="auto"/>
        </w:rPr>
      </w:pPr>
      <w:r>
        <w:rPr>
          <w:rFonts w:ascii="Arial" w:cs="Arial" w:eastAsia="Arial" w:hAnsi="Arial"/>
          <w:sz w:val="19"/>
          <w:szCs w:val="19"/>
          <w:color w:val="auto"/>
        </w:rPr>
        <w:t>Five and Eleven, a Participant who has a Separation from Service at his or her Normal Retirement Age under the Pension Plan shall be entitled to receive a Normal Supplemental Pension (or a Rehire Supplemental Pension, as applicable), in the form of a single life annuity commencing on the Participant’s Normal Retirement Date, equal to the result of (a) minus (b) minus (c), where:</w:t>
      </w:r>
    </w:p>
    <w:p>
      <w:pPr>
        <w:spacing w:after="0" w:line="151" w:lineRule="exact"/>
        <w:rPr>
          <w:sz w:val="20"/>
          <w:szCs w:val="20"/>
          <w:color w:val="auto"/>
        </w:rPr>
      </w:pPr>
    </w:p>
    <w:p>
      <w:pPr>
        <w:jc w:val="both"/>
        <w:ind w:left="100" w:right="99" w:firstLine="1301"/>
        <w:spacing w:after="0" w:line="245" w:lineRule="auto"/>
        <w:tabs>
          <w:tab w:leader="none" w:pos="2109" w:val="left"/>
        </w:tabs>
        <w:numPr>
          <w:ilvl w:val="0"/>
          <w:numId w:val="25"/>
        </w:numPr>
        <w:rPr>
          <w:rFonts w:ascii="Arial" w:cs="Arial" w:eastAsia="Arial" w:hAnsi="Arial"/>
          <w:sz w:val="21"/>
          <w:szCs w:val="21"/>
          <w:color w:val="auto"/>
        </w:rPr>
      </w:pPr>
      <w:r>
        <w:rPr>
          <w:rFonts w:ascii="Arial" w:cs="Arial" w:eastAsia="Arial" w:hAnsi="Arial"/>
          <w:sz w:val="21"/>
          <w:szCs w:val="21"/>
          <w:color w:val="auto"/>
        </w:rPr>
        <w:t>is the annual Accrued Benefit payable at Normal Retirement Date computed on the basis of the formula provided in Section 5.01 of the Pension Plan as of the date of the Participant’s Separation from Service, determined without regard to the limitation described in Section 5.02 of the Pension Plan, and including under such formula any amounts of Final Average Compensation that were excluded from consideration for the Participant under the Pension Plan and all Incentive Compensation payable to the Participant within the 120-calendar-month period immediately preceding the date on which the Participant ceases to be a Covered Employee, and utilizing Total Credited Service up to 40 years in place of Credited Service under Article IV of the Pension Plan and Total Offset Service up to 40 years in place of “offset service” under Article V of the Pension Plan;</w:t>
      </w:r>
    </w:p>
    <w:p>
      <w:pPr>
        <w:spacing w:after="0" w:line="181" w:lineRule="exact"/>
        <w:rPr>
          <w:rFonts w:ascii="Arial" w:cs="Arial" w:eastAsia="Arial" w:hAnsi="Arial"/>
          <w:sz w:val="21"/>
          <w:szCs w:val="21"/>
          <w:color w:val="auto"/>
        </w:rPr>
      </w:pPr>
    </w:p>
    <w:p>
      <w:pPr>
        <w:jc w:val="both"/>
        <w:ind w:left="100" w:right="99" w:firstLine="1301"/>
        <w:spacing w:after="0"/>
        <w:tabs>
          <w:tab w:leader="none" w:pos="2135" w:val="left"/>
        </w:tabs>
        <w:numPr>
          <w:ilvl w:val="0"/>
          <w:numId w:val="25"/>
        </w:numPr>
        <w:rPr>
          <w:rFonts w:ascii="Arial" w:cs="Arial" w:eastAsia="Arial" w:hAnsi="Arial"/>
          <w:sz w:val="22"/>
          <w:szCs w:val="22"/>
          <w:color w:val="auto"/>
        </w:rPr>
      </w:pPr>
      <w:r>
        <w:rPr>
          <w:rFonts w:ascii="Arial" w:cs="Arial" w:eastAsia="Arial" w:hAnsi="Arial"/>
          <w:sz w:val="22"/>
          <w:szCs w:val="22"/>
          <w:color w:val="auto"/>
        </w:rPr>
        <w:t>is the annual nonforfeitable Accrued Benefit payable at Normal Retirement Date actually determined to be due under the terms of the Pension Plan as of the date of the Participant’s Separation from Service; and</w:t>
      </w:r>
    </w:p>
    <w:p>
      <w:pPr>
        <w:spacing w:after="0" w:line="186" w:lineRule="exact"/>
        <w:rPr>
          <w:rFonts w:ascii="Arial" w:cs="Arial" w:eastAsia="Arial" w:hAnsi="Arial"/>
          <w:sz w:val="22"/>
          <w:szCs w:val="22"/>
          <w:color w:val="auto"/>
        </w:rPr>
      </w:pPr>
    </w:p>
    <w:p>
      <w:pPr>
        <w:jc w:val="both"/>
        <w:ind w:left="100" w:right="99" w:firstLine="1301"/>
        <w:spacing w:after="0"/>
        <w:tabs>
          <w:tab w:leader="none" w:pos="2095" w:val="left"/>
        </w:tabs>
        <w:numPr>
          <w:ilvl w:val="0"/>
          <w:numId w:val="25"/>
        </w:numPr>
        <w:rPr>
          <w:rFonts w:ascii="Arial" w:cs="Arial" w:eastAsia="Arial" w:hAnsi="Arial"/>
          <w:sz w:val="22"/>
          <w:szCs w:val="22"/>
          <w:color w:val="auto"/>
        </w:rPr>
      </w:pPr>
      <w:r>
        <w:rPr>
          <w:rFonts w:ascii="Arial" w:cs="Arial" w:eastAsia="Arial" w:hAnsi="Arial"/>
          <w:sz w:val="22"/>
          <w:szCs w:val="22"/>
          <w:color w:val="auto"/>
        </w:rPr>
        <w:t>is the annual nonforfeitable Normal Supplemental Pension payable at Normal Retirement Date actually determined under the Supplemental Plan (409A Grandfathered Component).</w:t>
      </w:r>
    </w:p>
    <w:p>
      <w:pPr>
        <w:spacing w:after="0" w:line="186" w:lineRule="exact"/>
        <w:rPr>
          <w:sz w:val="20"/>
          <w:szCs w:val="20"/>
          <w:color w:val="auto"/>
        </w:rPr>
      </w:pPr>
    </w:p>
    <w:p>
      <w:pPr>
        <w:jc w:val="both"/>
        <w:ind w:left="100" w:right="99"/>
        <w:spacing w:after="0" w:line="251" w:lineRule="exact"/>
        <w:rPr>
          <w:sz w:val="20"/>
          <w:szCs w:val="20"/>
          <w:color w:val="auto"/>
        </w:rPr>
      </w:pPr>
      <w:r>
        <w:rPr>
          <w:rFonts w:ascii="Arial" w:cs="Arial" w:eastAsia="Arial" w:hAnsi="Arial"/>
          <w:sz w:val="21"/>
          <w:szCs w:val="21"/>
          <w:color w:val="auto"/>
        </w:rPr>
        <w:t>For purposes of determining benefits under the Supplemental Plan (409A Non</w:t>
      </w:r>
      <w:r>
        <w:rPr>
          <w:rFonts w:ascii="MS PGothic" w:cs="MS PGothic" w:eastAsia="MS PGothic" w:hAnsi="MS PGothic"/>
          <w:sz w:val="21"/>
          <w:szCs w:val="21"/>
          <w:color w:val="auto"/>
        </w:rPr>
        <w:t>‑</w:t>
      </w:r>
      <w:r>
        <w:rPr>
          <w:rFonts w:ascii="Arial" w:cs="Arial" w:eastAsia="Arial" w:hAnsi="Arial"/>
          <w:sz w:val="21"/>
          <w:szCs w:val="21"/>
          <w:color w:val="auto"/>
        </w:rPr>
        <w:t>Grandfathered Component), any actuarial adjustments for a delay in the commencement of payment beyond the Normal Retirement Date or otherwise that apply under the Pension Plan in calculating the benefit described in (b), above, shall also apply to calculate the benefit described in (a), above.</w:t>
      </w:r>
    </w:p>
    <w:p>
      <w:pPr>
        <w:spacing w:after="0" w:line="186" w:lineRule="exact"/>
        <w:rPr>
          <w:sz w:val="20"/>
          <w:szCs w:val="20"/>
          <w:color w:val="auto"/>
        </w:rPr>
      </w:pPr>
    </w:p>
    <w:p>
      <w:pPr>
        <w:ind w:left="760"/>
        <w:spacing w:after="0"/>
        <w:tabs>
          <w:tab w:leader="none" w:pos="210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u w:val="single" w:color="auto"/>
          <w:color w:val="auto"/>
        </w:rPr>
        <w:t>Early Supplemental Pension</w:t>
      </w:r>
      <w:r>
        <w:rPr>
          <w:rFonts w:ascii="Arial" w:cs="Arial" w:eastAsia="Arial" w:hAnsi="Arial"/>
          <w:sz w:val="19"/>
          <w:szCs w:val="19"/>
          <w:color w:val="auto"/>
        </w:rPr>
        <w:t>.</w:t>
      </w:r>
    </w:p>
    <w:p>
      <w:pPr>
        <w:spacing w:after="0" w:line="206" w:lineRule="exact"/>
        <w:rPr>
          <w:sz w:val="20"/>
          <w:szCs w:val="20"/>
          <w:color w:val="auto"/>
        </w:rPr>
      </w:pPr>
    </w:p>
    <w:p>
      <w:pPr>
        <w:jc w:val="both"/>
        <w:ind w:left="100" w:right="99" w:firstLine="1301"/>
        <w:spacing w:after="0" w:line="273" w:lineRule="auto"/>
        <w:tabs>
          <w:tab w:leader="none" w:pos="2136"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Participant Retires on Early Retirement Date</w:t>
      </w:r>
      <w:r>
        <w:rPr>
          <w:rFonts w:ascii="Arial" w:cs="Arial" w:eastAsia="Arial" w:hAnsi="Arial"/>
          <w:sz w:val="19"/>
          <w:szCs w:val="19"/>
          <w:color w:val="auto"/>
        </w:rPr>
        <w:t>. Subject to the provisions of Articles Three, Five and Eleven, a Participant who has a Separation from Service on an Early Retirement Date under the Pension Plan shall receive an Early Supplemental Pension, in the form of a single life annuity commencing on the first day of the month following the later of the Participant’s Separation from Service or the Participant’s attainment of age 55. The Early Supplemental Pension shall be computed in the same manner as the Normal Supplemental Pension, but with the amounts described in Section 2.1 adjusted for payment as of the early benefit start date in accordance with Section 6.03 of the Pension Plan (whether or not the Participant’s Pension Plan benefit or Supplemental Plan (409A Grandfathered Component) benefit starts on that date), taking into account any additional years of age described in Section 1.3(e)(ii) solely for purposes of adjusting both the gross and offset portions of the benefit in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48" w:name="page49"/>
    <w:bookmarkEnd w:id="48"/>
    <w:p>
      <w:pPr>
        <w:jc w:val="both"/>
        <w:ind w:left="100" w:right="99"/>
        <w:spacing w:after="0" w:line="273" w:lineRule="auto"/>
        <w:rPr>
          <w:sz w:val="20"/>
          <w:szCs w:val="20"/>
          <w:color w:val="auto"/>
        </w:rPr>
      </w:pPr>
      <w:r>
        <w:rPr>
          <w:rFonts w:ascii="Arial" w:cs="Arial" w:eastAsia="Arial" w:hAnsi="Arial"/>
          <w:sz w:val="19"/>
          <w:szCs w:val="19"/>
          <w:color w:val="auto"/>
        </w:rPr>
        <w:t>Section 2.1(a). Additionally, if the Participant’s Normal Supplemental Pension, as defined in the Supplemental Plan (409A Grandfathered Component), is payable under Section 4.2 of such Plan, the Participant’s Early Supplemental Pension under the Supplemental Plan (409A Non-Grandfathered Component) shall be increased by the difference, if any, between (i) the amount of the benefit computed under the immediately preceding sentence attributable to the Participant’s Normal Supplemental Pension under the terms of the Supplemental Plan (409A Grandfathered Component) as described in Section 2.1(c) and (ii) such amount that would have been payable from the Supplemental Plan (409A Grandfathered Component) at the Participant’s early benefit start date under the Supplemental Plan (409A Non-Grandfathered Component) (whether or not the Participant’s Supplemental Plan (409A Grandfathered Component) benefit starts on that date).</w:t>
      </w:r>
    </w:p>
    <w:p>
      <w:pPr>
        <w:spacing w:after="0" w:line="162" w:lineRule="exact"/>
        <w:rPr>
          <w:sz w:val="20"/>
          <w:szCs w:val="20"/>
          <w:color w:val="auto"/>
        </w:rPr>
      </w:pPr>
    </w:p>
    <w:p>
      <w:pPr>
        <w:jc w:val="both"/>
        <w:ind w:left="100" w:right="99" w:firstLine="1301"/>
        <w:spacing w:after="0" w:line="269" w:lineRule="auto"/>
        <w:tabs>
          <w:tab w:leader="none" w:pos="2121"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Participant Retires on Early Supplemental Pension Retirement Date</w:t>
      </w:r>
      <w:r>
        <w:rPr>
          <w:rFonts w:ascii="Arial" w:cs="Arial" w:eastAsia="Arial" w:hAnsi="Arial"/>
          <w:sz w:val="19"/>
          <w:szCs w:val="19"/>
          <w:color w:val="auto"/>
        </w:rPr>
        <w:t>. Subject to the provisions of Articles Three, Five and Eleven, a Participant who has a Separation from Service on an Early Supplemental Pension Retirement Date shall receive an Early Supplemental Pension, in the form of a single life annuity commencing on the first day of the month following the later of the Participant’s Separation from Service or the Participant’s attainment of age 55. The Early Supplemental Pension shall be computed in the same manner as described in Section 2.2(a), above, except that, for purposes of determining the Early Supplemental Pension as described in Section</w:t>
      </w:r>
    </w:p>
    <w:p>
      <w:pPr>
        <w:spacing w:after="0" w:line="5" w:lineRule="exact"/>
        <w:rPr>
          <w:rFonts w:ascii="Arial" w:cs="Arial" w:eastAsia="Arial" w:hAnsi="Arial"/>
          <w:sz w:val="19"/>
          <w:szCs w:val="19"/>
          <w:color w:val="auto"/>
        </w:rPr>
      </w:pPr>
    </w:p>
    <w:p>
      <w:pPr>
        <w:ind w:left="100"/>
        <w:spacing w:after="0"/>
        <w:rPr>
          <w:rFonts w:ascii="Arial" w:cs="Arial" w:eastAsia="Arial" w:hAnsi="Arial"/>
          <w:sz w:val="19"/>
          <w:szCs w:val="19"/>
          <w:color w:val="auto"/>
        </w:rPr>
      </w:pPr>
      <w:r>
        <w:rPr>
          <w:rFonts w:ascii="Arial" w:cs="Arial" w:eastAsia="Arial" w:hAnsi="Arial"/>
          <w:sz w:val="22"/>
          <w:szCs w:val="22"/>
          <w:color w:val="auto"/>
        </w:rPr>
        <w:t>2.2(a):</w:t>
      </w:r>
    </w:p>
    <w:p>
      <w:pPr>
        <w:spacing w:after="0" w:line="188" w:lineRule="exact"/>
        <w:rPr>
          <w:rFonts w:ascii="Arial" w:cs="Arial" w:eastAsia="Arial" w:hAnsi="Arial"/>
          <w:sz w:val="19"/>
          <w:szCs w:val="19"/>
          <w:color w:val="auto"/>
        </w:rPr>
      </w:pPr>
    </w:p>
    <w:p>
      <w:pPr>
        <w:jc w:val="both"/>
        <w:ind w:left="100" w:right="99" w:firstLine="1949"/>
        <w:spacing w:after="0" w:line="282" w:lineRule="auto"/>
        <w:tabs>
          <w:tab w:leader="none" w:pos="2789" w:val="left"/>
        </w:tabs>
        <w:numPr>
          <w:ilvl w:val="1"/>
          <w:numId w:val="27"/>
        </w:numPr>
        <w:rPr>
          <w:rFonts w:ascii="Arial" w:cs="Arial" w:eastAsia="Arial" w:hAnsi="Arial"/>
          <w:sz w:val="19"/>
          <w:szCs w:val="19"/>
          <w:color w:val="auto"/>
        </w:rPr>
      </w:pPr>
      <w:r>
        <w:rPr>
          <w:rFonts w:ascii="Arial" w:cs="Arial" w:eastAsia="Arial" w:hAnsi="Arial"/>
          <w:sz w:val="19"/>
          <w:szCs w:val="19"/>
          <w:color w:val="auto"/>
        </w:rPr>
        <w:t>the amount described in Sections 2.1(a) and 2.1(c) shall be adjusted for payment as of the early benefit start date in accordance with Section 6.03 of the Pension Plan (whether or not the Participant’s Supplemental Plan (409A Grandfathered Component) benefit starts on that date), taking into account any additional years of age described in Section 1.3(e)(ii) solely for purposes of adjusting both the gross and offset portions of the benefit in Section 2.1(a); and</w:t>
      </w:r>
    </w:p>
    <w:p>
      <w:pPr>
        <w:spacing w:after="0" w:line="147" w:lineRule="exact"/>
        <w:rPr>
          <w:rFonts w:ascii="Arial" w:cs="Arial" w:eastAsia="Arial" w:hAnsi="Arial"/>
          <w:sz w:val="19"/>
          <w:szCs w:val="19"/>
          <w:color w:val="auto"/>
        </w:rPr>
      </w:pPr>
    </w:p>
    <w:p>
      <w:pPr>
        <w:jc w:val="both"/>
        <w:ind w:left="100" w:right="99" w:firstLine="1949"/>
        <w:spacing w:after="0"/>
        <w:tabs>
          <w:tab w:leader="none" w:pos="2808" w:val="left"/>
        </w:tabs>
        <w:numPr>
          <w:ilvl w:val="1"/>
          <w:numId w:val="27"/>
        </w:numPr>
        <w:rPr>
          <w:rFonts w:ascii="Arial" w:cs="Arial" w:eastAsia="Arial" w:hAnsi="Arial"/>
          <w:sz w:val="22"/>
          <w:szCs w:val="22"/>
          <w:color w:val="auto"/>
        </w:rPr>
      </w:pPr>
      <w:r>
        <w:rPr>
          <w:rFonts w:ascii="Arial" w:cs="Arial" w:eastAsia="Arial" w:hAnsi="Arial"/>
          <w:sz w:val="22"/>
          <w:szCs w:val="22"/>
          <w:color w:val="auto"/>
        </w:rPr>
        <w:t>the amount described in Section 2.1(b) shall be adjusted for payment as of the early benefit start date in accordance with Section 6.04 of the Pension Plan (whether or not the Participant’s Pension Plan benefit starts on that date); and</w:t>
      </w:r>
    </w:p>
    <w:p>
      <w:pPr>
        <w:spacing w:after="0" w:line="186" w:lineRule="exact"/>
        <w:rPr>
          <w:rFonts w:ascii="Arial" w:cs="Arial" w:eastAsia="Arial" w:hAnsi="Arial"/>
          <w:sz w:val="22"/>
          <w:szCs w:val="22"/>
          <w:color w:val="auto"/>
        </w:rPr>
      </w:pPr>
    </w:p>
    <w:p>
      <w:pPr>
        <w:jc w:val="both"/>
        <w:ind w:left="100" w:right="99" w:firstLine="1949"/>
        <w:spacing w:after="0" w:line="273" w:lineRule="auto"/>
        <w:tabs>
          <w:tab w:leader="none" w:pos="2841" w:val="left"/>
        </w:tabs>
        <w:numPr>
          <w:ilvl w:val="1"/>
          <w:numId w:val="27"/>
        </w:numPr>
        <w:rPr>
          <w:rFonts w:ascii="Arial" w:cs="Arial" w:eastAsia="Arial" w:hAnsi="Arial"/>
          <w:sz w:val="19"/>
          <w:szCs w:val="19"/>
          <w:color w:val="auto"/>
        </w:rPr>
      </w:pPr>
      <w:r>
        <w:rPr>
          <w:rFonts w:ascii="Arial" w:cs="Arial" w:eastAsia="Arial" w:hAnsi="Arial"/>
          <w:sz w:val="19"/>
          <w:szCs w:val="19"/>
          <w:color w:val="auto"/>
        </w:rPr>
        <w:t>if the Participant’s Normal Supplemental Pension, as defined in the Supplemental Plan (409A Grandfathered Component), is payable under Section 4.2 of such Plan, the Participant’s Early Supplemental Pension under the Supplemental Plan (409A Non-Grandfathered Component) shall be increased by the difference, if any, between (i) the amount of the benefit computed under Section 2.2(a) attributable to the Participant’s Normal Supplemental Pension under the terms of the Supplemental Plan (409A Grandfathered Component) as described in Section 2.1(c) and (ii) such amount that would have been payable from the Supplemental Plan (409A Grandfathered Component) at the Participant’s early benefit start date under the Supplemental Plan (409A Non-Grandfathered Component) (whether or not the Participant’s Supplemental Plan (409A Grandfathered Component) benefit starts that date).</w:t>
      </w:r>
    </w:p>
    <w:p>
      <w:pPr>
        <w:spacing w:after="0" w:line="162" w:lineRule="exact"/>
        <w:rPr>
          <w:sz w:val="20"/>
          <w:szCs w:val="20"/>
          <w:color w:val="auto"/>
        </w:rPr>
      </w:pPr>
    </w:p>
    <w:p>
      <w:pPr>
        <w:jc w:val="both"/>
        <w:ind w:left="100" w:right="99" w:firstLine="648"/>
        <w:spacing w:after="0" w:line="252" w:lineRule="auto"/>
        <w:rPr>
          <w:sz w:val="20"/>
          <w:szCs w:val="20"/>
          <w:color w:val="auto"/>
        </w:rPr>
      </w:pPr>
      <w:r>
        <w:rPr>
          <w:rFonts w:ascii="Arial" w:cs="Arial" w:eastAsia="Arial" w:hAnsi="Arial"/>
          <w:sz w:val="21"/>
          <w:szCs w:val="21"/>
          <w:color w:val="auto"/>
        </w:rPr>
        <w:t xml:space="preserve">2.3 </w:t>
      </w:r>
      <w:r>
        <w:rPr>
          <w:rFonts w:ascii="Arial" w:cs="Arial" w:eastAsia="Arial" w:hAnsi="Arial"/>
          <w:sz w:val="21"/>
          <w:szCs w:val="21"/>
          <w:u w:val="single" w:color="auto"/>
          <w:color w:val="auto"/>
        </w:rPr>
        <w:t>Postponed Supplemental Pension</w:t>
      </w:r>
      <w:r>
        <w:rPr>
          <w:rFonts w:ascii="Arial" w:cs="Arial" w:eastAsia="Arial" w:hAnsi="Arial"/>
          <w:sz w:val="21"/>
          <w:szCs w:val="21"/>
          <w:color w:val="auto"/>
        </w:rPr>
        <w:t>. Subject to the provisions of Articles Three, Five and Eleven, a Participant who has a Separation from Service after his Normal Retirement Age shall be entitled to a Postponed Supplemental Pension, in the form of a single life annuity commencing at the Postponed Retirement Date, which is equal to the Normal Supplemental</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49" w:name="page50"/>
    <w:bookmarkEnd w:id="49"/>
    <w:p>
      <w:pPr>
        <w:jc w:val="both"/>
        <w:ind w:left="100" w:right="99"/>
        <w:spacing w:after="0"/>
        <w:rPr>
          <w:sz w:val="20"/>
          <w:szCs w:val="20"/>
          <w:color w:val="auto"/>
        </w:rPr>
      </w:pPr>
      <w:r>
        <w:rPr>
          <w:rFonts w:ascii="Arial" w:cs="Arial" w:eastAsia="Arial" w:hAnsi="Arial"/>
          <w:sz w:val="22"/>
          <w:szCs w:val="22"/>
          <w:color w:val="auto"/>
        </w:rPr>
        <w:t>Pension, computed in accordance with Section 2.1 based on his Total Credited Service, Total Offset Service, etc. as of the Participant’s Postponed Retirement Date (instead of his Normal Retirement Date).</w:t>
      </w:r>
    </w:p>
    <w:p>
      <w:pPr>
        <w:spacing w:after="0" w:line="186" w:lineRule="exact"/>
        <w:rPr>
          <w:sz w:val="20"/>
          <w:szCs w:val="20"/>
          <w:color w:val="auto"/>
        </w:rPr>
      </w:pPr>
    </w:p>
    <w:p>
      <w:pPr>
        <w:ind w:left="760"/>
        <w:spacing w:after="0"/>
        <w:tabs>
          <w:tab w:leader="none" w:pos="210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u w:val="single" w:color="auto"/>
          <w:color w:val="auto"/>
        </w:rPr>
        <w:t>Disabled Participants</w:t>
      </w:r>
      <w:r>
        <w:rPr>
          <w:rFonts w:ascii="Arial" w:cs="Arial" w:eastAsia="Arial" w:hAnsi="Arial"/>
          <w:sz w:val="19"/>
          <w:szCs w:val="19"/>
          <w:color w:val="auto"/>
        </w:rPr>
        <w:t>.</w:t>
      </w:r>
    </w:p>
    <w:p>
      <w:pPr>
        <w:spacing w:after="0" w:line="206" w:lineRule="exact"/>
        <w:rPr>
          <w:sz w:val="20"/>
          <w:szCs w:val="20"/>
          <w:color w:val="auto"/>
        </w:rPr>
      </w:pPr>
    </w:p>
    <w:p>
      <w:pPr>
        <w:jc w:val="both"/>
        <w:ind w:left="100" w:right="99" w:firstLine="1301"/>
        <w:spacing w:after="0" w:line="246" w:lineRule="exact"/>
        <w:tabs>
          <w:tab w:leader="none" w:pos="2122"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Disability Supplemental Retirement Benefit</w:t>
      </w:r>
      <w:r>
        <w:rPr>
          <w:rFonts w:ascii="Arial" w:cs="Arial" w:eastAsia="Arial" w:hAnsi="Arial"/>
          <w:sz w:val="19"/>
          <w:szCs w:val="19"/>
          <w:color w:val="auto"/>
        </w:rPr>
        <w:t>. In the event that a Participant becomes a Disabled Participant under the Pension Plan (and therefore is deemed to have had a Separation from Service under the Pension Plan), the Participant shall receive a Normal Supplemental Pension, Early Supplemental Pension, or Postponed Supplemental Pension, as determined under Section 2.1, 2.2, 2.3 or 4.2, as applicable, in the form of a single life annuity commencing on the first day of the month following the later of the Participant’s Disability Date under the Pension Plan or the Participant’s attainment of age 55; provided that such Disabled Participant has had a Separation from Service under the Supplemental Plan (409A Non</w:t>
      </w:r>
      <w:r>
        <w:rPr>
          <w:rFonts w:ascii="MS PGothic" w:cs="MS PGothic" w:eastAsia="MS PGothic" w:hAnsi="MS PGothic"/>
          <w:sz w:val="19"/>
          <w:szCs w:val="19"/>
          <w:color w:val="auto"/>
        </w:rPr>
        <w:t>‑</w:t>
      </w:r>
      <w:r>
        <w:rPr>
          <w:rFonts w:ascii="Arial" w:cs="Arial" w:eastAsia="Arial" w:hAnsi="Arial"/>
          <w:sz w:val="19"/>
          <w:szCs w:val="19"/>
          <w:color w:val="auto"/>
        </w:rPr>
        <w:t>Grandfathered Component). Such benefit shall be based on the Participant’s Supplemental Plan (409A Non</w:t>
      </w:r>
      <w:r>
        <w:rPr>
          <w:rFonts w:ascii="MS PGothic" w:cs="MS PGothic" w:eastAsia="MS PGothic" w:hAnsi="MS PGothic"/>
          <w:sz w:val="19"/>
          <w:szCs w:val="19"/>
          <w:color w:val="auto"/>
        </w:rPr>
        <w:t>‑</w:t>
      </w:r>
      <w:r>
        <w:rPr>
          <w:rFonts w:ascii="Arial" w:cs="Arial" w:eastAsia="Arial" w:hAnsi="Arial"/>
          <w:sz w:val="19"/>
          <w:szCs w:val="19"/>
          <w:color w:val="auto"/>
        </w:rPr>
        <w:t>Grandfathered Component) benefit accrued through his or her Disability Date.</w:t>
      </w:r>
    </w:p>
    <w:p>
      <w:pPr>
        <w:spacing w:after="0" w:line="189" w:lineRule="exact"/>
        <w:rPr>
          <w:rFonts w:ascii="Arial" w:cs="Arial" w:eastAsia="Arial" w:hAnsi="Arial"/>
          <w:sz w:val="19"/>
          <w:szCs w:val="19"/>
          <w:color w:val="auto"/>
        </w:rPr>
      </w:pPr>
    </w:p>
    <w:p>
      <w:pPr>
        <w:jc w:val="both"/>
        <w:ind w:left="100" w:right="99" w:firstLine="1301"/>
        <w:spacing w:after="0" w:line="247" w:lineRule="exact"/>
        <w:tabs>
          <w:tab w:leader="none" w:pos="2121"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Additional Disability Pay</w:t>
      </w:r>
      <w:r>
        <w:rPr>
          <w:rFonts w:ascii="Arial" w:cs="Arial" w:eastAsia="Arial" w:hAnsi="Arial"/>
          <w:sz w:val="22"/>
          <w:szCs w:val="22"/>
          <w:color w:val="auto"/>
        </w:rPr>
        <w:t>. To the extent that a Disabled Participant accrues a benefit under this Supplemental Plan (409A Non</w:t>
      </w:r>
      <w:r>
        <w:rPr>
          <w:rFonts w:ascii="MS PGothic" w:cs="MS PGothic" w:eastAsia="MS PGothic" w:hAnsi="MS PGothic"/>
          <w:sz w:val="22"/>
          <w:szCs w:val="22"/>
          <w:color w:val="auto"/>
        </w:rPr>
        <w:t>‑</w:t>
      </w:r>
      <w:r>
        <w:rPr>
          <w:rFonts w:ascii="Arial" w:cs="Arial" w:eastAsia="Arial" w:hAnsi="Arial"/>
          <w:sz w:val="22"/>
          <w:szCs w:val="22"/>
          <w:color w:val="auto"/>
        </w:rPr>
        <w:t>Grandfathered Component) in excess of the amount described in Section 2.4(a) (due to the continued crediting of service for Disabled Participants), such additional benefit shall be paid at the same time and in the same form as the Participant’s Pension Plan benefit, as described in Section 6.05 of the Pension Plan. Such Additional Disability Pay Benefit may include, by way of example, any early retirement subsidy with respect to the Supplemental Plan benefit described in Section 2.4(a) that the Disabled Participant accrues after his or her Disability Date.</w:t>
      </w:r>
    </w:p>
    <w:p>
      <w:pPr>
        <w:spacing w:after="0" w:line="188" w:lineRule="exact"/>
        <w:rPr>
          <w:sz w:val="20"/>
          <w:szCs w:val="20"/>
          <w:color w:val="auto"/>
        </w:rPr>
      </w:pPr>
    </w:p>
    <w:p>
      <w:pPr>
        <w:ind w:left="100" w:right="99" w:firstLine="648"/>
        <w:spacing w:after="0" w:line="251" w:lineRule="auto"/>
        <w:rPr>
          <w:sz w:val="20"/>
          <w:szCs w:val="20"/>
          <w:color w:val="auto"/>
        </w:rPr>
      </w:pPr>
      <w:r>
        <w:rPr>
          <w:rFonts w:ascii="Arial" w:cs="Arial" w:eastAsia="Arial" w:hAnsi="Arial"/>
          <w:sz w:val="22"/>
          <w:szCs w:val="22"/>
          <w:color w:val="auto"/>
        </w:rPr>
        <w:t xml:space="preserve">2.5 </w:t>
      </w:r>
      <w:r>
        <w:rPr>
          <w:rFonts w:ascii="Arial" w:cs="Arial" w:eastAsia="Arial" w:hAnsi="Arial"/>
          <w:sz w:val="22"/>
          <w:szCs w:val="22"/>
          <w:u w:val="single" w:color="auto"/>
          <w:color w:val="auto"/>
        </w:rPr>
        <w:t>Rehired Employees</w:t>
      </w:r>
      <w:r>
        <w:rPr>
          <w:rFonts w:ascii="Arial" w:cs="Arial" w:eastAsia="Arial" w:hAnsi="Arial"/>
          <w:sz w:val="22"/>
          <w:szCs w:val="22"/>
          <w:color w:val="auto"/>
        </w:rPr>
        <w:t>. The following provisions shall apply to any Participant who returns to Employment with the Company after having had a Separation from Service.</w:t>
      </w:r>
    </w:p>
    <w:p>
      <w:pPr>
        <w:spacing w:after="0" w:line="173" w:lineRule="exact"/>
        <w:rPr>
          <w:sz w:val="20"/>
          <w:szCs w:val="20"/>
          <w:color w:val="auto"/>
        </w:rPr>
      </w:pPr>
    </w:p>
    <w:p>
      <w:pPr>
        <w:jc w:val="both"/>
        <w:ind w:left="100" w:right="99" w:firstLine="1301"/>
        <w:spacing w:after="0" w:line="249" w:lineRule="exact"/>
        <w:tabs>
          <w:tab w:leader="none" w:pos="2109" w:val="left"/>
        </w:tabs>
        <w:numPr>
          <w:ilvl w:val="0"/>
          <w:numId w:val="29"/>
        </w:numPr>
        <w:rPr>
          <w:rFonts w:ascii="Arial" w:cs="Arial" w:eastAsia="Arial" w:hAnsi="Arial"/>
          <w:sz w:val="21"/>
          <w:szCs w:val="21"/>
          <w:color w:val="auto"/>
        </w:rPr>
      </w:pPr>
      <w:r>
        <w:rPr>
          <w:rFonts w:ascii="Arial" w:cs="Arial" w:eastAsia="Arial" w:hAnsi="Arial"/>
          <w:sz w:val="21"/>
          <w:szCs w:val="21"/>
          <w:color w:val="auto"/>
        </w:rPr>
        <w:t>Any Supplemental Pension determined under the terms of this Supplemental Plan (409A Non</w:t>
      </w:r>
      <w:r>
        <w:rPr>
          <w:rFonts w:ascii="MS PGothic" w:cs="MS PGothic" w:eastAsia="MS PGothic" w:hAnsi="MS PGothic"/>
          <w:sz w:val="21"/>
          <w:szCs w:val="21"/>
          <w:color w:val="auto"/>
        </w:rPr>
        <w:t>‑</w:t>
      </w:r>
      <w:r>
        <w:rPr>
          <w:rFonts w:ascii="Arial" w:cs="Arial" w:eastAsia="Arial" w:hAnsi="Arial"/>
          <w:sz w:val="21"/>
          <w:szCs w:val="21"/>
          <w:color w:val="auto"/>
        </w:rPr>
        <w:t>Grandfathered Component) that is attributable to a prior period of Employment shall continue to be paid to the Participant without regard to the Participant’s reemployment (even if the Participant’s Pension Plan benefit and Supplemental Plan (409A Grandfathered Component) benefit are suspended during such reemployment).</w:t>
      </w:r>
    </w:p>
    <w:p>
      <w:pPr>
        <w:spacing w:after="0" w:line="188" w:lineRule="exact"/>
        <w:rPr>
          <w:rFonts w:ascii="Arial" w:cs="Arial" w:eastAsia="Arial" w:hAnsi="Arial"/>
          <w:sz w:val="21"/>
          <w:szCs w:val="21"/>
          <w:color w:val="auto"/>
        </w:rPr>
      </w:pPr>
    </w:p>
    <w:p>
      <w:pPr>
        <w:jc w:val="both"/>
        <w:ind w:left="100" w:right="99" w:firstLine="1301"/>
        <w:spacing w:after="0" w:line="248" w:lineRule="exact"/>
        <w:tabs>
          <w:tab w:leader="none" w:pos="2121" w:val="left"/>
        </w:tabs>
        <w:numPr>
          <w:ilvl w:val="0"/>
          <w:numId w:val="29"/>
        </w:numPr>
        <w:rPr>
          <w:rFonts w:ascii="Arial" w:cs="Arial" w:eastAsia="Arial" w:hAnsi="Arial"/>
          <w:sz w:val="21"/>
          <w:szCs w:val="21"/>
          <w:color w:val="auto"/>
        </w:rPr>
      </w:pPr>
      <w:r>
        <w:rPr>
          <w:rFonts w:ascii="Arial" w:cs="Arial" w:eastAsia="Arial" w:hAnsi="Arial"/>
          <w:sz w:val="21"/>
          <w:szCs w:val="21"/>
          <w:color w:val="auto"/>
        </w:rPr>
        <w:t>A rehired Participant shall be entitled to a Rehire Supplemental Pension, as determined in the same manner as a Supplemental Pension under Sections 2.1, 2.2, 2.3, 2.4(a) or 4.2, as applicable, based on the Participant’s Final Average Compensation, Incentive Compensation, Total Credited Service and Total Offset Service during his or her aggregated periods of Employment, but offset further by the annual nonforfeitable Supplemental Pension actually determined under the Supplemental Plan (409A Non</w:t>
      </w:r>
      <w:r>
        <w:rPr>
          <w:rFonts w:ascii="MS PGothic" w:cs="MS PGothic" w:eastAsia="MS PGothic" w:hAnsi="MS PGothic"/>
          <w:sz w:val="21"/>
          <w:szCs w:val="21"/>
          <w:color w:val="auto"/>
        </w:rPr>
        <w:t>‑</w:t>
      </w:r>
      <w:r>
        <w:rPr>
          <w:rFonts w:ascii="Arial" w:cs="Arial" w:eastAsia="Arial" w:hAnsi="Arial"/>
          <w:sz w:val="21"/>
          <w:szCs w:val="21"/>
          <w:color w:val="auto"/>
        </w:rPr>
        <w:t>Grandfathered Component) as of the Participant’s prior Separation from Service.</w:t>
      </w:r>
    </w:p>
    <w:p>
      <w:pPr>
        <w:spacing w:after="0" w:line="185" w:lineRule="exact"/>
        <w:rPr>
          <w:rFonts w:ascii="Arial" w:cs="Arial" w:eastAsia="Arial" w:hAnsi="Arial"/>
          <w:sz w:val="21"/>
          <w:szCs w:val="21"/>
          <w:color w:val="auto"/>
        </w:rPr>
      </w:pPr>
    </w:p>
    <w:p>
      <w:pPr>
        <w:jc w:val="both"/>
        <w:ind w:left="100" w:right="99" w:firstLine="1301"/>
        <w:spacing w:after="0" w:line="254" w:lineRule="exact"/>
        <w:tabs>
          <w:tab w:leader="none" w:pos="2122" w:val="left"/>
        </w:tabs>
        <w:numPr>
          <w:ilvl w:val="0"/>
          <w:numId w:val="29"/>
        </w:numPr>
        <w:rPr>
          <w:rFonts w:ascii="Arial" w:cs="Arial" w:eastAsia="Arial" w:hAnsi="Arial"/>
          <w:sz w:val="19"/>
          <w:szCs w:val="19"/>
          <w:color w:val="auto"/>
        </w:rPr>
      </w:pPr>
      <w:r>
        <w:rPr>
          <w:rFonts w:ascii="Arial" w:cs="Arial" w:eastAsia="Arial" w:hAnsi="Arial"/>
          <w:sz w:val="19"/>
          <w:szCs w:val="19"/>
          <w:color w:val="auto"/>
        </w:rPr>
        <w:t>In the event that the Participant is entitled to receive more than one Rehire Supplemental Pension under this Supplemental Plan (409A Non</w:t>
      </w:r>
      <w:r>
        <w:rPr>
          <w:rFonts w:ascii="MS PGothic" w:cs="MS PGothic" w:eastAsia="MS PGothic" w:hAnsi="MS PGothic"/>
          <w:sz w:val="19"/>
          <w:szCs w:val="19"/>
          <w:color w:val="auto"/>
        </w:rPr>
        <w:t>‑</w:t>
      </w:r>
      <w:r>
        <w:rPr>
          <w:rFonts w:ascii="Arial" w:cs="Arial" w:eastAsia="Arial" w:hAnsi="Arial"/>
          <w:sz w:val="19"/>
          <w:szCs w:val="19"/>
          <w:color w:val="auto"/>
        </w:rPr>
        <w:t>Grandfathered Component) (as a result of more than two Separations from Service), the provisions of Section 2.5(b) shall be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50" w:name="page51"/>
    <w:bookmarkEnd w:id="50"/>
    <w:p>
      <w:pPr>
        <w:ind w:left="100" w:right="99"/>
        <w:spacing w:after="0" w:line="251" w:lineRule="auto"/>
        <w:rPr>
          <w:sz w:val="20"/>
          <w:szCs w:val="20"/>
          <w:color w:val="auto"/>
        </w:rPr>
      </w:pPr>
      <w:r>
        <w:rPr>
          <w:rFonts w:ascii="Arial" w:cs="Arial" w:eastAsia="Arial" w:hAnsi="Arial"/>
          <w:sz w:val="22"/>
          <w:szCs w:val="22"/>
          <w:color w:val="auto"/>
        </w:rPr>
        <w:t>applied as if all prior periods of the Participant’s Employment were aggregated into a single prior period of Employment.</w:t>
      </w:r>
    </w:p>
    <w:p>
      <w:pPr>
        <w:spacing w:after="0" w:line="173" w:lineRule="exact"/>
        <w:rPr>
          <w:sz w:val="20"/>
          <w:szCs w:val="20"/>
          <w:color w:val="auto"/>
        </w:rPr>
      </w:pPr>
    </w:p>
    <w:p>
      <w:pPr>
        <w:jc w:val="both"/>
        <w:ind w:left="100" w:right="99" w:firstLine="1301"/>
        <w:spacing w:after="0" w:line="249" w:lineRule="auto"/>
        <w:tabs>
          <w:tab w:leader="none" w:pos="2148" w:val="left"/>
        </w:tabs>
        <w:numPr>
          <w:ilvl w:val="0"/>
          <w:numId w:val="30"/>
        </w:numPr>
        <w:rPr>
          <w:rFonts w:ascii="Arial" w:cs="Arial" w:eastAsia="Arial" w:hAnsi="Arial"/>
          <w:sz w:val="21"/>
          <w:szCs w:val="21"/>
          <w:color w:val="auto"/>
        </w:rPr>
      </w:pPr>
      <w:r>
        <w:rPr>
          <w:rFonts w:ascii="Arial" w:cs="Arial" w:eastAsia="Arial" w:hAnsi="Arial"/>
          <w:sz w:val="21"/>
          <w:szCs w:val="21"/>
          <w:color w:val="auto"/>
        </w:rPr>
        <w:t>In the event that a Disabled Participant who is entitled to an Additional Disability Pay Benefit under Section 2.4(b) returns to Employment with the Company, the Rehire Supplemental Pension determined under Section 2.5(b) shall not take into account the Additional Disability Pay Benefit (except for purposes of vesting, eligibility for an early retirement subsidy, or the calculation of the 40 year limit in Section 2.1).</w:t>
      </w:r>
    </w:p>
    <w:p>
      <w:pPr>
        <w:spacing w:after="0" w:line="179" w:lineRule="exact"/>
        <w:rPr>
          <w:sz w:val="20"/>
          <w:szCs w:val="20"/>
          <w:color w:val="auto"/>
        </w:rPr>
      </w:pPr>
    </w:p>
    <w:p>
      <w:pPr>
        <w:ind w:left="760"/>
        <w:spacing w:after="0"/>
        <w:tabs>
          <w:tab w:leader="none" w:pos="210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19"/>
          <w:szCs w:val="19"/>
          <w:u w:val="single" w:color="auto"/>
          <w:color w:val="auto"/>
        </w:rPr>
        <w:t>Surviving Spouse’s Pension (Post-Retirement Automatic Survivor Annuity)</w:t>
      </w:r>
      <w:r>
        <w:rPr>
          <w:rFonts w:ascii="Arial" w:cs="Arial" w:eastAsia="Arial" w:hAnsi="Arial"/>
          <w:sz w:val="19"/>
          <w:szCs w:val="19"/>
          <w:color w:val="auto"/>
        </w:rPr>
        <w:t>.</w:t>
      </w:r>
    </w:p>
    <w:p>
      <w:pPr>
        <w:spacing w:after="0" w:line="206" w:lineRule="exact"/>
        <w:rPr>
          <w:sz w:val="20"/>
          <w:szCs w:val="20"/>
          <w:color w:val="auto"/>
        </w:rPr>
      </w:pPr>
    </w:p>
    <w:p>
      <w:pPr>
        <w:jc w:val="both"/>
        <w:ind w:left="100" w:right="99" w:firstLine="1301"/>
        <w:spacing w:after="0" w:line="244" w:lineRule="exact"/>
        <w:tabs>
          <w:tab w:leader="none" w:pos="2109"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Surviving Spouse of a Participant who dies while receiving a Normal or Postponed Supplemental Pension or an Early Supplemental Pension determined under Section 2.2(a), relating to a Separation from Service on a date that qualifies as an Early Retirement Date under the terms of the Pension Plan, and, if applicable, an Additional Disability Pay Benefit, shall be entitled to a Surviving Spouse’s Pension equal to one-half of the single life annuity amount of the Normal, Early, or Postponed Supplemental Pension (including the Additional Disability Pay Benefit, if applicable) payable to such deceased Participant under the Supplemental Plan (409A Non</w:t>
      </w:r>
      <w:r>
        <w:rPr>
          <w:rFonts w:ascii="MS PGothic" w:cs="MS PGothic" w:eastAsia="MS PGothic" w:hAnsi="MS PGothic"/>
          <w:sz w:val="19"/>
          <w:szCs w:val="19"/>
          <w:color w:val="auto"/>
        </w:rPr>
        <w:t>‑</w:t>
      </w:r>
      <w:r>
        <w:rPr>
          <w:rFonts w:ascii="Arial" w:cs="Arial" w:eastAsia="Arial" w:hAnsi="Arial"/>
          <w:sz w:val="19"/>
          <w:szCs w:val="19"/>
          <w:color w:val="auto"/>
        </w:rPr>
        <w:t>Grandfathered Component). Additionally, if the Participant’s Normal Supplemental Pension, as defined in the Supplemental Plan (409A Grandfathered Component), is payable under Section 4.2 of such Plan, the Participant’s Surviving Spouse’s Pension shall be increased by an amount equal to one-half of the amount of the benefit computed under Section 2.1(c) adjusted for payment as of any early benefit start date in accordance with Section 6.04 of the Pension Plan (whether or not the Participant’s Supplemental Plan (409A Grandfathered Component) benefit starts on that date) and adjusted as of any postponed benefit start date according to any actuarial adjustments for a delay in the commencement of payment of the Participant’s benefit beyond the Normal Retirement Date or otherwise that apply to the calculation of such a delayed benefit payment (whether or not the Participant’s Supplemental Plan (409A Grandfathered Component) benefit starts on that date). Such Surviving Spouse’s Pension shall be payable to such Spouse in equal monthly payments for life, commencing on the first day of the month immediately following the death of such Participant.</w:t>
      </w:r>
    </w:p>
    <w:p>
      <w:pPr>
        <w:spacing w:after="0" w:line="199" w:lineRule="exact"/>
        <w:rPr>
          <w:rFonts w:ascii="Arial" w:cs="Arial" w:eastAsia="Arial" w:hAnsi="Arial"/>
          <w:sz w:val="19"/>
          <w:szCs w:val="19"/>
          <w:color w:val="auto"/>
        </w:rPr>
      </w:pPr>
    </w:p>
    <w:p>
      <w:pPr>
        <w:jc w:val="both"/>
        <w:ind w:left="100" w:right="99" w:firstLine="1301"/>
        <w:spacing w:after="0" w:line="245" w:lineRule="exact"/>
        <w:tabs>
          <w:tab w:leader="none" w:pos="2148"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Surviving Spouse of a Participant who dies while receiving an Early Supplemental Pension determined under Section 2.2(b), relating to a Separation from Service on an Early Supplemental Pension Retirement Date (</w:t>
      </w:r>
      <w:r>
        <w:rPr>
          <w:rFonts w:ascii="Arial" w:cs="Arial" w:eastAsia="Arial" w:hAnsi="Arial"/>
          <w:sz w:val="19"/>
          <w:szCs w:val="19"/>
          <w:u w:val="single" w:color="auto"/>
          <w:color w:val="auto"/>
        </w:rPr>
        <w:t>i.e.</w:t>
      </w:r>
      <w:r>
        <w:rPr>
          <w:rFonts w:ascii="Arial" w:cs="Arial" w:eastAsia="Arial" w:hAnsi="Arial"/>
          <w:sz w:val="19"/>
          <w:szCs w:val="19"/>
          <w:color w:val="auto"/>
        </w:rPr>
        <w:t>, a date that does not qualify as an Early Retirement Date under the terms of the Pension Plan), and, if applicable, an Additional Disability Pay Benefit, shall be entitled to a Surviving Spouse’s Pension. The Surviving Spouse’s Pension shall be payable in equal monthly payments for the Surviving Spouse’s life, commencing on the first day of the month immediately following the Participant’s death, which shall equal one-half of the single life annuity amount calculated for the Participant under Section 2.2(b) (including the Additional Disability Pay Benefit, if applicable), as of the Participant’s early benefit start date under this Supplemental Plan (409A Non</w:t>
      </w:r>
      <w:r>
        <w:rPr>
          <w:rFonts w:ascii="MS PGothic" w:cs="MS PGothic" w:eastAsia="MS PGothic" w:hAnsi="MS PGothic"/>
          <w:sz w:val="19"/>
          <w:szCs w:val="19"/>
          <w:color w:val="auto"/>
        </w:rPr>
        <w:t>‑</w:t>
      </w:r>
      <w:r>
        <w:rPr>
          <w:rFonts w:ascii="Arial" w:cs="Arial" w:eastAsia="Arial" w:hAnsi="Arial"/>
          <w:sz w:val="19"/>
          <w:szCs w:val="19"/>
          <w:color w:val="auto"/>
        </w:rPr>
        <w:t>Grandfathered Component). Additionally, if the Participant’s Normal Supplemental Pension, as defined in the Supplemental Plan (409A Grandfathered Component), is payable under Section 4.2 of such Plan, the Participant’s Surviving Spouse’s Pension shall be increased by an amount equal to one-half of the amount of the benefit computed under the Section 2.1(c) adjusted for payment as of any early benefit start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51" w:name="page52"/>
    <w:bookmarkEnd w:id="51"/>
    <w:p>
      <w:pPr>
        <w:ind w:left="100" w:right="99"/>
        <w:spacing w:after="0" w:line="251" w:lineRule="auto"/>
        <w:rPr>
          <w:sz w:val="20"/>
          <w:szCs w:val="20"/>
          <w:color w:val="auto"/>
        </w:rPr>
      </w:pPr>
      <w:r>
        <w:rPr>
          <w:rFonts w:ascii="Arial" w:cs="Arial" w:eastAsia="Arial" w:hAnsi="Arial"/>
          <w:sz w:val="22"/>
          <w:szCs w:val="22"/>
          <w:color w:val="auto"/>
        </w:rPr>
        <w:t>date in accordance with Section 6.04 of the Pension Plan (whether or not the Participant’s Supplemental Plan (409A Grandfathered Component) benefit starts on that date).</w:t>
      </w:r>
    </w:p>
    <w:p>
      <w:pPr>
        <w:spacing w:after="0" w:line="173" w:lineRule="exact"/>
        <w:rPr>
          <w:sz w:val="20"/>
          <w:szCs w:val="20"/>
          <w:color w:val="auto"/>
        </w:rPr>
      </w:pPr>
    </w:p>
    <w:p>
      <w:pPr>
        <w:jc w:val="both"/>
        <w:ind w:left="100" w:right="99" w:firstLine="1301"/>
        <w:spacing w:after="0" w:line="246" w:lineRule="auto"/>
        <w:tabs>
          <w:tab w:leader="none" w:pos="2122" w:val="left"/>
        </w:tabs>
        <w:numPr>
          <w:ilvl w:val="0"/>
          <w:numId w:val="32"/>
        </w:numPr>
        <w:rPr>
          <w:rFonts w:ascii="Arial" w:cs="Arial" w:eastAsia="Arial" w:hAnsi="Arial"/>
          <w:sz w:val="21"/>
          <w:szCs w:val="21"/>
          <w:color w:val="auto"/>
        </w:rPr>
      </w:pPr>
      <w:r>
        <w:rPr>
          <w:rFonts w:ascii="Arial" w:cs="Arial" w:eastAsia="Arial" w:hAnsi="Arial"/>
          <w:sz w:val="21"/>
          <w:szCs w:val="21"/>
          <w:color w:val="auto"/>
        </w:rPr>
        <w:t>The Surviving Spouse’s Pension described in this Section 2.6 is payable in addition to any other death benefit that may be payable to the Surviving Spouse or other beneficiary of the Participant under the form of payment in which the Participant’s Supplemental Pension is paid pursuant to Article Three. However, in no event shall the Surviving Spouse who is entitled to the Surviving Spouse’s Pension, if also designated as the Participant’s beneficiary under a joint and survivor annuity payable under the Supplemental Plan, receive a total benefit from the Supplemental Plan that is more than 100% of the retirement income otherwise payable to the Participant under the Supplemental Plan.</w:t>
      </w:r>
    </w:p>
    <w:p>
      <w:pPr>
        <w:spacing w:after="0" w:line="181" w:lineRule="exact"/>
        <w:rPr>
          <w:sz w:val="20"/>
          <w:szCs w:val="20"/>
          <w:color w:val="auto"/>
        </w:rPr>
      </w:pPr>
    </w:p>
    <w:p>
      <w:pPr>
        <w:jc w:val="both"/>
        <w:ind w:left="100" w:right="99" w:firstLine="648"/>
        <w:spacing w:after="0" w:line="238" w:lineRule="auto"/>
        <w:rPr>
          <w:sz w:val="20"/>
          <w:szCs w:val="20"/>
          <w:color w:val="auto"/>
        </w:rPr>
      </w:pPr>
      <w:r>
        <w:rPr>
          <w:rFonts w:ascii="Arial" w:cs="Arial" w:eastAsia="Arial" w:hAnsi="Arial"/>
          <w:sz w:val="22"/>
          <w:szCs w:val="22"/>
          <w:color w:val="auto"/>
        </w:rPr>
        <w:t xml:space="preserve">2.7 </w:t>
      </w:r>
      <w:r>
        <w:rPr>
          <w:rFonts w:ascii="Arial" w:cs="Arial" w:eastAsia="Arial" w:hAnsi="Arial"/>
          <w:sz w:val="22"/>
          <w:szCs w:val="22"/>
          <w:u w:val="single" w:color="auto"/>
          <w:color w:val="auto"/>
        </w:rPr>
        <w:t>Change in Control</w:t>
      </w:r>
      <w:r>
        <w:rPr>
          <w:rFonts w:ascii="Arial" w:cs="Arial" w:eastAsia="Arial" w:hAnsi="Arial"/>
          <w:sz w:val="22"/>
          <w:szCs w:val="22"/>
          <w:color w:val="auto"/>
        </w:rPr>
        <w:t>. A Participant who is affected by a Change in Control shall have his eligibility for and amount of Supplemental Plan benefits determined pursuant to the terms of the Union Pacific Corporation Key Employee Continuity Plan adopted November 16, 2000, as may be amended from time to time.</w:t>
      </w:r>
    </w:p>
    <w:p>
      <w:pPr>
        <w:spacing w:after="0" w:line="185" w:lineRule="exact"/>
        <w:rPr>
          <w:sz w:val="20"/>
          <w:szCs w:val="20"/>
          <w:color w:val="auto"/>
        </w:rPr>
      </w:pPr>
    </w:p>
    <w:p>
      <w:pPr>
        <w:ind w:left="760"/>
        <w:spacing w:after="0"/>
        <w:tabs>
          <w:tab w:leader="none" w:pos="2100" w:val="left"/>
        </w:tabs>
        <w:rPr>
          <w:sz w:val="20"/>
          <w:szCs w:val="20"/>
          <w:color w:val="auto"/>
        </w:rPr>
      </w:pPr>
      <w:r>
        <w:rPr>
          <w:rFonts w:ascii="Arial" w:cs="Arial" w:eastAsia="Arial" w:hAnsi="Arial"/>
          <w:sz w:val="22"/>
          <w:szCs w:val="22"/>
          <w:color w:val="auto"/>
        </w:rPr>
        <w:t>2.8</w:t>
      </w:r>
      <w:r>
        <w:rPr>
          <w:sz w:val="20"/>
          <w:szCs w:val="20"/>
          <w:color w:val="auto"/>
        </w:rPr>
        <w:tab/>
      </w:r>
      <w:r>
        <w:rPr>
          <w:rFonts w:ascii="Arial" w:cs="Arial" w:eastAsia="Arial" w:hAnsi="Arial"/>
          <w:sz w:val="19"/>
          <w:szCs w:val="19"/>
          <w:u w:val="single" w:color="auto"/>
          <w:color w:val="auto"/>
        </w:rPr>
        <w:t>Additional Age and Service for Certain Participants</w:t>
      </w:r>
      <w:r>
        <w:rPr>
          <w:rFonts w:ascii="Arial" w:cs="Arial" w:eastAsia="Arial" w:hAnsi="Arial"/>
          <w:sz w:val="19"/>
          <w:szCs w:val="19"/>
          <w:color w:val="auto"/>
        </w:rPr>
        <w:t>.</w:t>
      </w:r>
    </w:p>
    <w:p>
      <w:pPr>
        <w:spacing w:after="0" w:line="206" w:lineRule="exact"/>
        <w:rPr>
          <w:sz w:val="20"/>
          <w:szCs w:val="20"/>
          <w:color w:val="auto"/>
        </w:rPr>
      </w:pPr>
    </w:p>
    <w:p>
      <w:pPr>
        <w:jc w:val="both"/>
        <w:ind w:left="100" w:right="99" w:firstLine="1301"/>
        <w:spacing w:after="0" w:line="276" w:lineRule="auto"/>
        <w:tabs>
          <w:tab w:leader="none" w:pos="2109" w:val="left"/>
        </w:tabs>
        <w:numPr>
          <w:ilvl w:val="1"/>
          <w:numId w:val="33"/>
        </w:numPr>
        <w:rPr>
          <w:rFonts w:ascii="Arial" w:cs="Arial" w:eastAsia="Arial" w:hAnsi="Arial"/>
          <w:sz w:val="19"/>
          <w:szCs w:val="19"/>
          <w:color w:val="auto"/>
        </w:rPr>
      </w:pPr>
      <w:r>
        <w:rPr>
          <w:rFonts w:ascii="Arial" w:cs="Arial" w:eastAsia="Arial" w:hAnsi="Arial"/>
          <w:sz w:val="19"/>
          <w:szCs w:val="19"/>
          <w:color w:val="auto"/>
        </w:rPr>
        <w:t>Participant Ike Evans shall be deemed to have attained an age two (2) years, six (6) months older than his actual age, up to a maximum age 65 and shall receive an additional two</w:t>
      </w:r>
    </w:p>
    <w:p>
      <w:pPr>
        <w:spacing w:after="0" w:line="1" w:lineRule="exact"/>
        <w:rPr>
          <w:rFonts w:ascii="Arial" w:cs="Arial" w:eastAsia="Arial" w:hAnsi="Arial"/>
          <w:sz w:val="19"/>
          <w:szCs w:val="19"/>
          <w:color w:val="auto"/>
        </w:rPr>
      </w:pPr>
    </w:p>
    <w:p>
      <w:pPr>
        <w:ind w:left="100" w:right="99" w:firstLine="5"/>
        <w:spacing w:after="0" w:line="308" w:lineRule="auto"/>
        <w:tabs>
          <w:tab w:leader="none" w:pos="427" w:val="left"/>
        </w:tabs>
        <w:numPr>
          <w:ilvl w:val="0"/>
          <w:numId w:val="34"/>
        </w:numPr>
        <w:rPr>
          <w:rFonts w:ascii="Arial" w:cs="Arial" w:eastAsia="Arial" w:hAnsi="Arial"/>
          <w:sz w:val="19"/>
          <w:szCs w:val="19"/>
          <w:color w:val="auto"/>
        </w:rPr>
      </w:pPr>
      <w:r>
        <w:rPr>
          <w:rFonts w:ascii="Arial" w:cs="Arial" w:eastAsia="Arial" w:hAnsi="Arial"/>
          <w:sz w:val="19"/>
          <w:szCs w:val="19"/>
          <w:color w:val="auto"/>
        </w:rPr>
        <w:t>years, six (6) months service (up to a maximum of 40 years of service), which service shall be treated as part of the Participant’s Total Credited Service in the way described in Section 1.3(s)(iii);</w:t>
      </w:r>
    </w:p>
    <w:p>
      <w:pPr>
        <w:spacing w:after="0" w:line="123" w:lineRule="exact"/>
        <w:rPr>
          <w:rFonts w:ascii="Arial" w:cs="Arial" w:eastAsia="Arial" w:hAnsi="Arial"/>
          <w:sz w:val="19"/>
          <w:szCs w:val="19"/>
          <w:color w:val="auto"/>
        </w:rPr>
      </w:pPr>
    </w:p>
    <w:p>
      <w:pPr>
        <w:jc w:val="both"/>
        <w:ind w:left="100" w:right="99" w:firstLine="1301"/>
        <w:spacing w:after="0" w:line="287" w:lineRule="auto"/>
        <w:tabs>
          <w:tab w:leader="none" w:pos="2108" w:val="left"/>
        </w:tabs>
        <w:numPr>
          <w:ilvl w:val="1"/>
          <w:numId w:val="34"/>
        </w:numPr>
        <w:rPr>
          <w:rFonts w:ascii="Arial" w:cs="Arial" w:eastAsia="Arial" w:hAnsi="Arial"/>
          <w:sz w:val="19"/>
          <w:szCs w:val="19"/>
          <w:color w:val="auto"/>
        </w:rPr>
      </w:pPr>
      <w:r>
        <w:rPr>
          <w:rFonts w:ascii="Arial" w:cs="Arial" w:eastAsia="Arial" w:hAnsi="Arial"/>
          <w:sz w:val="19"/>
          <w:szCs w:val="19"/>
          <w:color w:val="auto"/>
        </w:rPr>
        <w:t>Participant Stan McLaughlin shall be deemed to have attained an age two (2) years older than his actual age, up to a maximum age 65 and shall receive an additional two (2) years service (up to a maximum of 40 years of service), which service shall be treated as part of the Participant’s Total Credited Service in the way described in Section 1.3(s)(iii);</w:t>
      </w:r>
    </w:p>
    <w:p>
      <w:pPr>
        <w:spacing w:after="0" w:line="143" w:lineRule="exact"/>
        <w:rPr>
          <w:rFonts w:ascii="Arial" w:cs="Arial" w:eastAsia="Arial" w:hAnsi="Arial"/>
          <w:sz w:val="19"/>
          <w:szCs w:val="19"/>
          <w:color w:val="auto"/>
        </w:rPr>
      </w:pPr>
    </w:p>
    <w:p>
      <w:pPr>
        <w:jc w:val="both"/>
        <w:ind w:left="100" w:right="99" w:firstLine="1301"/>
        <w:spacing w:after="0" w:line="252" w:lineRule="auto"/>
        <w:tabs>
          <w:tab w:leader="none" w:pos="2095" w:val="left"/>
        </w:tabs>
        <w:numPr>
          <w:ilvl w:val="1"/>
          <w:numId w:val="34"/>
        </w:numPr>
        <w:rPr>
          <w:rFonts w:ascii="Arial" w:cs="Arial" w:eastAsia="Arial" w:hAnsi="Arial"/>
          <w:sz w:val="21"/>
          <w:szCs w:val="21"/>
          <w:color w:val="auto"/>
        </w:rPr>
      </w:pPr>
      <w:r>
        <w:rPr>
          <w:rFonts w:ascii="Arial" w:cs="Arial" w:eastAsia="Arial" w:hAnsi="Arial"/>
          <w:sz w:val="21"/>
          <w:szCs w:val="21"/>
          <w:color w:val="auto"/>
        </w:rPr>
        <w:t>Participant John Holm, shall be deemed to have attained an age two (2) years older than his actual age, up to a maximum age 65 and shall receive an additional two (2) years service (up to a maximum of 40 years of service), which service shall be treated as part of the Participant’s Total Credited Service in the way described in Section 1.3(s)(iii);</w:t>
      </w:r>
    </w:p>
    <w:p>
      <w:pPr>
        <w:spacing w:after="0" w:line="174" w:lineRule="exact"/>
        <w:rPr>
          <w:rFonts w:ascii="Arial" w:cs="Arial" w:eastAsia="Arial" w:hAnsi="Arial"/>
          <w:sz w:val="21"/>
          <w:szCs w:val="21"/>
          <w:color w:val="auto"/>
        </w:rPr>
      </w:pPr>
    </w:p>
    <w:p>
      <w:pPr>
        <w:jc w:val="both"/>
        <w:ind w:left="100" w:right="99" w:firstLine="1301"/>
        <w:spacing w:after="0" w:line="236" w:lineRule="auto"/>
        <w:tabs>
          <w:tab w:leader="none" w:pos="2148" w:val="left"/>
        </w:tabs>
        <w:numPr>
          <w:ilvl w:val="1"/>
          <w:numId w:val="34"/>
        </w:numPr>
        <w:rPr>
          <w:rFonts w:ascii="Arial" w:cs="Arial" w:eastAsia="Arial" w:hAnsi="Arial"/>
          <w:sz w:val="22"/>
          <w:szCs w:val="22"/>
          <w:color w:val="auto"/>
        </w:rPr>
      </w:pPr>
      <w:r>
        <w:rPr>
          <w:rFonts w:ascii="Arial" w:cs="Arial" w:eastAsia="Arial" w:hAnsi="Arial"/>
          <w:sz w:val="22"/>
          <w:szCs w:val="22"/>
          <w:color w:val="auto"/>
        </w:rPr>
        <w:t>Participant Jerry Everett shall be deemed to have attained an age two (2) years, three (3) months older than his actual age, up to a maximum age 65 and shall receive an additional two (2) years service (up to a maximum of 40 years of service), which service shall be treated as part of the Participant’s Total Credited Service in the way described in Section 1.3(s)(iii); and</w:t>
      </w:r>
    </w:p>
    <w:p>
      <w:pPr>
        <w:spacing w:after="0" w:line="187" w:lineRule="exact"/>
        <w:rPr>
          <w:rFonts w:ascii="Arial" w:cs="Arial" w:eastAsia="Arial" w:hAnsi="Arial"/>
          <w:sz w:val="22"/>
          <w:szCs w:val="22"/>
          <w:color w:val="auto"/>
        </w:rPr>
      </w:pPr>
    </w:p>
    <w:p>
      <w:pPr>
        <w:ind w:left="100" w:right="99" w:firstLine="1301"/>
        <w:spacing w:after="0" w:line="251" w:lineRule="auto"/>
        <w:tabs>
          <w:tab w:leader="none" w:pos="2095" w:val="left"/>
        </w:tabs>
        <w:numPr>
          <w:ilvl w:val="1"/>
          <w:numId w:val="34"/>
        </w:numPr>
        <w:rPr>
          <w:rFonts w:ascii="Arial" w:cs="Arial" w:eastAsia="Arial" w:hAnsi="Arial"/>
          <w:sz w:val="22"/>
          <w:szCs w:val="22"/>
          <w:color w:val="auto"/>
        </w:rPr>
      </w:pPr>
      <w:r>
        <w:rPr>
          <w:rFonts w:ascii="Arial" w:cs="Arial" w:eastAsia="Arial" w:hAnsi="Arial"/>
          <w:sz w:val="22"/>
          <w:szCs w:val="22"/>
          <w:color w:val="auto"/>
        </w:rPr>
        <w:t>Participant Mike Ring shall be deemed to have attained an age three (3) years, six (6) months older than his actual age, up to a maximum age 65.</w:t>
      </w:r>
    </w:p>
    <w:p>
      <w:pPr>
        <w:spacing w:after="0" w:line="173" w:lineRule="exact"/>
        <w:rPr>
          <w:rFonts w:ascii="Arial" w:cs="Arial" w:eastAsia="Arial" w:hAnsi="Arial"/>
          <w:sz w:val="22"/>
          <w:szCs w:val="22"/>
          <w:color w:val="auto"/>
        </w:rPr>
      </w:pPr>
    </w:p>
    <w:p>
      <w:pPr>
        <w:jc w:val="both"/>
        <w:ind w:left="100" w:right="99" w:firstLine="1301"/>
        <w:spacing w:after="0" w:line="258" w:lineRule="auto"/>
        <w:tabs>
          <w:tab w:leader="none" w:pos="2139" w:val="left"/>
        </w:tabs>
        <w:numPr>
          <w:ilvl w:val="1"/>
          <w:numId w:val="34"/>
        </w:numPr>
        <w:rPr>
          <w:rFonts w:ascii="Arial" w:cs="Arial" w:eastAsia="Arial" w:hAnsi="Arial"/>
          <w:sz w:val="21"/>
          <w:szCs w:val="21"/>
          <w:color w:val="auto"/>
        </w:rPr>
      </w:pPr>
      <w:r>
        <w:rPr>
          <w:rFonts w:ascii="Arial" w:cs="Arial" w:eastAsia="Arial" w:hAnsi="Arial"/>
          <w:sz w:val="21"/>
          <w:szCs w:val="21"/>
          <w:color w:val="auto"/>
        </w:rPr>
        <w:t>The age and service credited as provided in Section 2.8(a)-(e) results in an additional deferral of compensation for purposes of the American Jobs Creation Act of 2004 (“AJCA”), and such additional deferral of compensation is subject to the terms of the AJCA.</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52" w:name="page53"/>
    <w:bookmarkEnd w:id="52"/>
    <w:p>
      <w:pPr>
        <w:ind w:left="760"/>
        <w:spacing w:after="0"/>
        <w:tabs>
          <w:tab w:leader="none" w:pos="2100" w:val="left"/>
        </w:tabs>
        <w:rPr>
          <w:sz w:val="20"/>
          <w:szCs w:val="20"/>
          <w:color w:val="auto"/>
        </w:rPr>
      </w:pPr>
      <w:r>
        <w:rPr>
          <w:rFonts w:ascii="Arial" w:cs="Arial" w:eastAsia="Arial" w:hAnsi="Arial"/>
          <w:sz w:val="22"/>
          <w:szCs w:val="22"/>
          <w:color w:val="auto"/>
        </w:rPr>
        <w:t>2.9</w:t>
      </w:r>
      <w:r>
        <w:rPr>
          <w:sz w:val="20"/>
          <w:szCs w:val="20"/>
          <w:color w:val="auto"/>
        </w:rPr>
        <w:tab/>
      </w:r>
      <w:r>
        <w:rPr>
          <w:rFonts w:ascii="Arial" w:cs="Arial" w:eastAsia="Arial" w:hAnsi="Arial"/>
          <w:sz w:val="19"/>
          <w:szCs w:val="19"/>
          <w:u w:val="single" w:color="auto"/>
          <w:color w:val="auto"/>
        </w:rPr>
        <w:t>Six Month Delay for Specified Employees</w:t>
      </w:r>
      <w:r>
        <w:rPr>
          <w:rFonts w:ascii="Arial" w:cs="Arial" w:eastAsia="Arial" w:hAnsi="Arial"/>
          <w:sz w:val="19"/>
          <w:szCs w:val="19"/>
          <w:color w:val="auto"/>
        </w:rPr>
        <w:t>. Notwithstanding any provision of</w:t>
      </w:r>
    </w:p>
    <w:p>
      <w:pPr>
        <w:spacing w:after="0" w:line="8" w:lineRule="exact"/>
        <w:rPr>
          <w:sz w:val="20"/>
          <w:szCs w:val="20"/>
          <w:color w:val="auto"/>
        </w:rPr>
      </w:pPr>
    </w:p>
    <w:p>
      <w:pPr>
        <w:jc w:val="both"/>
        <w:ind w:left="100" w:right="99"/>
        <w:spacing w:after="0" w:line="244" w:lineRule="exact"/>
        <w:rPr>
          <w:sz w:val="20"/>
          <w:szCs w:val="20"/>
          <w:color w:val="auto"/>
        </w:rPr>
      </w:pPr>
      <w:r>
        <w:rPr>
          <w:rFonts w:ascii="Arial" w:cs="Arial" w:eastAsia="Arial" w:hAnsi="Arial"/>
          <w:sz w:val="21"/>
          <w:szCs w:val="21"/>
          <w:color w:val="auto"/>
        </w:rPr>
        <w:t>this Supplemental Plan (409A Non-Grandfathered Component) to the contrary, no payment shall be made to a “specified employee” (as determined in accordance with a uniform policy adopted by the Company with respect to all arrangements subject to Section 409A of the Code maintained by the Company and its Affiliated Companies) until the first day of the seventh month following such specified employee’s Separation from Service; provided, however, that in the event of the specified employee’s death before his payment commencement date, this provision shall not prevent payment of death benefits at the time(s) otherwise prescribed by this Supplemental Plan (409A Non-Grandfathered Component); and provided further that this Section 2.9 shall not apply to the Additional Disability Pay Benefit. Payments suspended during such six</w:t>
      </w:r>
      <w:r>
        <w:rPr>
          <w:rFonts w:ascii="MS PGothic" w:cs="MS PGothic" w:eastAsia="MS PGothic" w:hAnsi="MS PGothic"/>
          <w:sz w:val="21"/>
          <w:szCs w:val="21"/>
          <w:color w:val="auto"/>
        </w:rPr>
        <w:t>‑</w:t>
      </w:r>
      <w:r>
        <w:rPr>
          <w:rFonts w:ascii="Arial" w:cs="Arial" w:eastAsia="Arial" w:hAnsi="Arial"/>
          <w:sz w:val="21"/>
          <w:szCs w:val="21"/>
          <w:color w:val="auto"/>
        </w:rPr>
        <w:t>month period shall be accumulated and paid to the specified employee (without interest) in the seventh month following the specified employee’s Separation from Service.</w:t>
      </w:r>
    </w:p>
    <w:p>
      <w:pPr>
        <w:spacing w:after="0" w:line="194" w:lineRule="exact"/>
        <w:rPr>
          <w:sz w:val="20"/>
          <w:szCs w:val="20"/>
          <w:color w:val="auto"/>
        </w:rPr>
      </w:pPr>
    </w:p>
    <w:p>
      <w:pPr>
        <w:jc w:val="both"/>
        <w:ind w:left="100" w:right="99" w:firstLine="648"/>
        <w:spacing w:after="0" w:line="235" w:lineRule="auto"/>
        <w:rPr>
          <w:sz w:val="20"/>
          <w:szCs w:val="20"/>
          <w:color w:val="auto"/>
        </w:rPr>
      </w:pPr>
      <w:r>
        <w:rPr>
          <w:rFonts w:ascii="Arial" w:cs="Arial" w:eastAsia="Arial" w:hAnsi="Arial"/>
          <w:sz w:val="22"/>
          <w:szCs w:val="22"/>
          <w:color w:val="auto"/>
        </w:rPr>
        <w:t xml:space="preserve">2.10 </w:t>
      </w:r>
      <w:r>
        <w:rPr>
          <w:rFonts w:ascii="Arial" w:cs="Arial" w:eastAsia="Arial" w:hAnsi="Arial"/>
          <w:sz w:val="22"/>
          <w:szCs w:val="22"/>
          <w:u w:val="single" w:color="auto"/>
          <w:color w:val="auto"/>
        </w:rPr>
        <w:t>2017 Benefit Enhancement</w:t>
      </w:r>
      <w:r>
        <w:rPr>
          <w:rFonts w:ascii="Arial" w:cs="Arial" w:eastAsia="Arial" w:hAnsi="Arial"/>
          <w:sz w:val="22"/>
          <w:szCs w:val="22"/>
          <w:color w:val="auto"/>
        </w:rPr>
        <w:t>. Effective September 30, 2017, the benefit enhancements described in subsection (b) shall be provided to any Participant who is a Covered Employee under the Pension Plan who satisfies the requirements of subsection (a). These enhancements shall be taken into account in determining the Participant’s Normal Supplemental Pension, Early Supplemental Pension or Postponed Supplemental Pension as described in Section 2.1, 2.2 or 2.3, respectively.</w:t>
      </w:r>
    </w:p>
    <w:p>
      <w:pPr>
        <w:spacing w:after="0" w:line="188" w:lineRule="exact"/>
        <w:rPr>
          <w:sz w:val="20"/>
          <w:szCs w:val="20"/>
          <w:color w:val="auto"/>
        </w:rPr>
      </w:pPr>
    </w:p>
    <w:p>
      <w:pPr>
        <w:ind w:left="2120" w:hanging="719"/>
        <w:spacing w:after="0"/>
        <w:tabs>
          <w:tab w:leader="none" w:pos="2120"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The requirements of this subsection (a) are satisfied by a Covered Employee</w:t>
      </w:r>
    </w:p>
    <w:p>
      <w:pPr>
        <w:spacing w:after="0" w:line="43"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who:</w:t>
      </w:r>
    </w:p>
    <w:p>
      <w:pPr>
        <w:spacing w:after="0" w:line="178" w:lineRule="exact"/>
        <w:rPr>
          <w:sz w:val="20"/>
          <w:szCs w:val="20"/>
          <w:color w:val="auto"/>
        </w:rPr>
      </w:pPr>
    </w:p>
    <w:tbl>
      <w:tblPr>
        <w:tblLayout w:type="fixed"/>
        <w:tblInd w:w="100" w:type="dxa"/>
        <w:tblCellMar>
          <w:top w:w="0" w:type="dxa"/>
          <w:left w:w="0" w:type="dxa"/>
          <w:bottom w:w="0" w:type="dxa"/>
          <w:right w:w="0" w:type="dxa"/>
        </w:tblCellMar>
      </w:tblPr>
      <w:tr>
        <w:trPr>
          <w:trHeight w:val="253"/>
        </w:trPr>
        <w:tc>
          <w:tcPr>
            <w:tcW w:w="4420" w:type="dxa"/>
            <w:vAlign w:val="bottom"/>
          </w:tcPr>
          <w:p>
            <w:pPr>
              <w:jc w:val="right"/>
              <w:ind w:right="2112"/>
              <w:spacing w:after="0"/>
              <w:rPr>
                <w:sz w:val="20"/>
                <w:szCs w:val="20"/>
                <w:color w:val="auto"/>
              </w:rPr>
            </w:pPr>
            <w:r>
              <w:rPr>
                <w:rFonts w:ascii="Arial" w:cs="Arial" w:eastAsia="Arial" w:hAnsi="Arial"/>
                <w:sz w:val="22"/>
                <w:szCs w:val="22"/>
                <w:color w:val="auto"/>
              </w:rPr>
              <w:t>(1)</w:t>
            </w:r>
          </w:p>
        </w:tc>
        <w:tc>
          <w:tcPr>
            <w:tcW w:w="4360" w:type="dxa"/>
            <w:vAlign w:val="bottom"/>
          </w:tcPr>
          <w:p>
            <w:pPr>
              <w:ind w:left="1480"/>
              <w:spacing w:after="0"/>
              <w:rPr>
                <w:sz w:val="20"/>
                <w:szCs w:val="20"/>
                <w:color w:val="auto"/>
              </w:rPr>
            </w:pPr>
            <w:r>
              <w:rPr>
                <w:rFonts w:ascii="Arial" w:cs="Arial" w:eastAsia="Arial" w:hAnsi="Arial"/>
                <w:sz w:val="22"/>
                <w:szCs w:val="22"/>
                <w:color w:val="auto"/>
                <w:w w:val="87"/>
              </w:rPr>
              <w:t>is a Covered Employee under the</w:t>
            </w:r>
          </w:p>
        </w:tc>
      </w:tr>
      <w:tr>
        <w:trPr>
          <w:trHeight w:val="275"/>
        </w:trPr>
        <w:tc>
          <w:tcPr>
            <w:tcW w:w="4420" w:type="dxa"/>
            <w:vAlign w:val="bottom"/>
          </w:tcPr>
          <w:p>
            <w:pPr>
              <w:spacing w:after="0"/>
              <w:rPr>
                <w:sz w:val="20"/>
                <w:szCs w:val="20"/>
                <w:color w:val="auto"/>
              </w:rPr>
            </w:pPr>
            <w:r>
              <w:rPr>
                <w:rFonts w:ascii="Arial" w:cs="Arial" w:eastAsia="Arial" w:hAnsi="Arial"/>
                <w:sz w:val="22"/>
                <w:szCs w:val="22"/>
                <w:color w:val="auto"/>
              </w:rPr>
              <w:t>Pension Plan on August 16, 2017;</w:t>
            </w:r>
          </w:p>
        </w:tc>
        <w:tc>
          <w:tcPr>
            <w:tcW w:w="4360" w:type="dxa"/>
            <w:vAlign w:val="bottom"/>
          </w:tcPr>
          <w:p>
            <w:pPr>
              <w:spacing w:after="0"/>
              <w:rPr>
                <w:sz w:val="23"/>
                <w:szCs w:val="23"/>
                <w:color w:val="auto"/>
              </w:rPr>
            </w:pPr>
          </w:p>
        </w:tc>
      </w:tr>
      <w:tr>
        <w:trPr>
          <w:trHeight w:val="428"/>
        </w:trPr>
        <w:tc>
          <w:tcPr>
            <w:tcW w:w="4420" w:type="dxa"/>
            <w:vAlign w:val="bottom"/>
          </w:tcPr>
          <w:p>
            <w:pPr>
              <w:jc w:val="right"/>
              <w:ind w:right="2112"/>
              <w:spacing w:after="0"/>
              <w:rPr>
                <w:sz w:val="20"/>
                <w:szCs w:val="20"/>
                <w:color w:val="auto"/>
              </w:rPr>
            </w:pPr>
            <w:r>
              <w:rPr>
                <w:rFonts w:ascii="Arial" w:cs="Arial" w:eastAsia="Arial" w:hAnsi="Arial"/>
                <w:sz w:val="22"/>
                <w:szCs w:val="22"/>
                <w:color w:val="auto"/>
              </w:rPr>
              <w:t>(2)</w:t>
            </w:r>
          </w:p>
        </w:tc>
        <w:tc>
          <w:tcPr>
            <w:tcW w:w="4360" w:type="dxa"/>
            <w:vAlign w:val="bottom"/>
          </w:tcPr>
          <w:p>
            <w:pPr>
              <w:ind w:left="1480"/>
              <w:spacing w:after="0"/>
              <w:rPr>
                <w:sz w:val="20"/>
                <w:szCs w:val="20"/>
                <w:color w:val="auto"/>
              </w:rPr>
            </w:pPr>
            <w:r>
              <w:rPr>
                <w:rFonts w:ascii="Arial" w:cs="Arial" w:eastAsia="Arial" w:hAnsi="Arial"/>
                <w:sz w:val="22"/>
                <w:szCs w:val="22"/>
                <w:color w:val="auto"/>
              </w:rPr>
              <w:t>had 2016 Compensation, as</w:t>
            </w:r>
          </w:p>
        </w:tc>
      </w:tr>
      <w:tr>
        <w:trPr>
          <w:trHeight w:val="275"/>
        </w:trPr>
        <w:tc>
          <w:tcPr>
            <w:tcW w:w="8780" w:type="dxa"/>
            <w:vAlign w:val="bottom"/>
            <w:gridSpan w:val="2"/>
          </w:tcPr>
          <w:p>
            <w:pPr>
              <w:spacing w:after="0"/>
              <w:rPr>
                <w:sz w:val="20"/>
                <w:szCs w:val="20"/>
                <w:color w:val="auto"/>
              </w:rPr>
            </w:pPr>
            <w:r>
              <w:rPr>
                <w:rFonts w:ascii="Arial" w:cs="Arial" w:eastAsia="Arial" w:hAnsi="Arial"/>
                <w:sz w:val="22"/>
                <w:szCs w:val="22"/>
                <w:color w:val="auto"/>
              </w:rPr>
              <w:t>defined in Section 2.18(c) of the Pension Plan, in excess of $120,000;</w:t>
            </w:r>
          </w:p>
        </w:tc>
      </w:tr>
      <w:tr>
        <w:trPr>
          <w:trHeight w:val="446"/>
        </w:trPr>
        <w:tc>
          <w:tcPr>
            <w:tcW w:w="4420" w:type="dxa"/>
            <w:vAlign w:val="bottom"/>
          </w:tcPr>
          <w:p>
            <w:pPr>
              <w:jc w:val="right"/>
              <w:ind w:right="2112"/>
              <w:spacing w:after="0"/>
              <w:rPr>
                <w:sz w:val="20"/>
                <w:szCs w:val="20"/>
                <w:color w:val="auto"/>
              </w:rPr>
            </w:pPr>
            <w:r>
              <w:rPr>
                <w:rFonts w:ascii="Arial" w:cs="Arial" w:eastAsia="Arial" w:hAnsi="Arial"/>
                <w:sz w:val="22"/>
                <w:szCs w:val="22"/>
                <w:color w:val="auto"/>
              </w:rPr>
              <w:t>(3)</w:t>
            </w:r>
          </w:p>
        </w:tc>
        <w:tc>
          <w:tcPr>
            <w:tcW w:w="4360" w:type="dxa"/>
            <w:vAlign w:val="bottom"/>
          </w:tcPr>
          <w:p>
            <w:pPr>
              <w:ind w:left="1480"/>
              <w:spacing w:after="0"/>
              <w:rPr>
                <w:sz w:val="20"/>
                <w:szCs w:val="20"/>
                <w:color w:val="auto"/>
              </w:rPr>
            </w:pPr>
            <w:r>
              <w:rPr>
                <w:rFonts w:ascii="Arial" w:cs="Arial" w:eastAsia="Arial" w:hAnsi="Arial"/>
                <w:sz w:val="22"/>
                <w:szCs w:val="22"/>
                <w:color w:val="auto"/>
                <w:w w:val="89"/>
              </w:rPr>
              <w:t>is at least age 55 with at least 10</w:t>
            </w:r>
          </w:p>
        </w:tc>
      </w:tr>
    </w:tbl>
    <w:p>
      <w:pPr>
        <w:ind w:left="100" w:right="299"/>
        <w:spacing w:after="0" w:line="237" w:lineRule="auto"/>
        <w:rPr>
          <w:sz w:val="20"/>
          <w:szCs w:val="20"/>
          <w:color w:val="auto"/>
        </w:rPr>
      </w:pPr>
      <w:r>
        <w:rPr>
          <w:rFonts w:ascii="Arial" w:cs="Arial" w:eastAsia="Arial" w:hAnsi="Arial"/>
          <w:sz w:val="22"/>
          <w:szCs w:val="22"/>
          <w:color w:val="auto"/>
        </w:rPr>
        <w:t>years of Vesting Service, as defined in Section 2.75 of the Pension Plan or has attained age 65, each determined as of September 30, 2017;</w:t>
      </w:r>
    </w:p>
    <w:p>
      <w:pPr>
        <w:spacing w:after="0" w:line="185" w:lineRule="exact"/>
        <w:rPr>
          <w:sz w:val="20"/>
          <w:szCs w:val="20"/>
          <w:color w:val="auto"/>
        </w:rPr>
      </w:pPr>
    </w:p>
    <w:p>
      <w:pPr>
        <w:ind w:left="100" w:right="239" w:firstLine="1945"/>
        <w:spacing w:after="0" w:line="238" w:lineRule="auto"/>
        <w:rPr>
          <w:sz w:val="20"/>
          <w:szCs w:val="20"/>
          <w:color w:val="auto"/>
        </w:rPr>
      </w:pPr>
      <w:r>
        <w:rPr>
          <w:rFonts w:ascii="Arial" w:cs="Arial" w:eastAsia="Arial" w:hAnsi="Arial"/>
          <w:sz w:val="22"/>
          <w:szCs w:val="22"/>
          <w:color w:val="auto"/>
        </w:rPr>
        <w:t>(4) is eligible for and is selected by the Company to participate in the Union Pacific 2017 Workforce Reduction Program (“2017 WRP”) and has a Separation from Service with the Company on the date selected by the Company, which date shall not occur after September 30, 2017; and</w:t>
      </w:r>
    </w:p>
    <w:p>
      <w:pPr>
        <w:spacing w:after="0" w:line="185" w:lineRule="exact"/>
        <w:rPr>
          <w:sz w:val="20"/>
          <w:szCs w:val="20"/>
          <w:color w:val="auto"/>
        </w:rPr>
      </w:pPr>
    </w:p>
    <w:p>
      <w:pPr>
        <w:ind w:left="100" w:right="219" w:firstLine="1945"/>
        <w:spacing w:after="0" w:line="234" w:lineRule="auto"/>
        <w:rPr>
          <w:sz w:val="20"/>
          <w:szCs w:val="20"/>
          <w:color w:val="auto"/>
        </w:rPr>
      </w:pPr>
      <w:r>
        <w:rPr>
          <w:rFonts w:ascii="Arial" w:cs="Arial" w:eastAsia="Arial" w:hAnsi="Arial"/>
          <w:sz w:val="22"/>
          <w:szCs w:val="22"/>
          <w:color w:val="auto"/>
        </w:rPr>
        <w:t>(5) executes all documents required by the terms of the 2017 WRP, including a waiver and general release of any and all employment-related rights or claims (other than claims for benefits under the Supplemental Pension Plan or Pension Plan) that the Participant may have against the Company, any Affiliated Company, the Supplemental Plan, the Pension Plan and their respective officers, agents and employees, in the form and manner prescribed by the Company, and does not revoke such waiver and general release within the time period prescribed by the Company.</w:t>
      </w:r>
    </w:p>
    <w:p>
      <w:pPr>
        <w:spacing w:after="0" w:line="191" w:lineRule="exact"/>
        <w:rPr>
          <w:sz w:val="20"/>
          <w:szCs w:val="20"/>
          <w:color w:val="auto"/>
        </w:rPr>
      </w:pPr>
    </w:p>
    <w:p>
      <w:pPr>
        <w:jc w:val="center"/>
        <w:ind w:left="4400" w:right="1879" w:hanging="2999"/>
        <w:spacing w:after="0" w:line="661" w:lineRule="auto"/>
        <w:tabs>
          <w:tab w:leader="none" w:pos="2106" w:val="left"/>
        </w:tabs>
        <w:numPr>
          <w:ilvl w:val="0"/>
          <w:numId w:val="36"/>
        </w:numPr>
        <w:rPr>
          <w:rFonts w:ascii="Arial" w:cs="Arial" w:eastAsia="Arial" w:hAnsi="Arial"/>
          <w:sz w:val="22"/>
          <w:szCs w:val="22"/>
          <w:color w:val="auto"/>
        </w:rPr>
      </w:pPr>
      <w:r>
        <w:rPr>
          <w:rFonts w:ascii="Arial" w:cs="Arial" w:eastAsia="Arial" w:hAnsi="Arial"/>
          <w:sz w:val="22"/>
          <w:szCs w:val="22"/>
          <w:color w:val="auto"/>
        </w:rPr>
        <w:t>Each Covered Employee described in subsection (a) shall: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-231775</wp:posOffset>
            </wp:positionV>
            <wp:extent cx="5642610" cy="514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53" w:name="page54"/>
    <w:bookmarkEnd w:id="53"/>
    <w:p>
      <w:pPr>
        <w:ind w:left="100" w:right="459" w:firstLine="1945"/>
        <w:spacing w:after="0" w:line="251" w:lineRule="auto"/>
        <w:rPr>
          <w:sz w:val="20"/>
          <w:szCs w:val="20"/>
          <w:color w:val="auto"/>
        </w:rPr>
      </w:pPr>
      <w:r>
        <w:rPr>
          <w:rFonts w:ascii="Arial" w:cs="Arial" w:eastAsia="Arial" w:hAnsi="Arial"/>
          <w:sz w:val="22"/>
          <w:szCs w:val="22"/>
          <w:color w:val="auto"/>
        </w:rPr>
        <w:t>(1) receive up to an additional 60 months in the aggregate, which shall be applied as follows:</w:t>
      </w:r>
    </w:p>
    <w:p>
      <w:pPr>
        <w:spacing w:after="0" w:line="160" w:lineRule="exact"/>
        <w:rPr>
          <w:sz w:val="20"/>
          <w:szCs w:val="20"/>
          <w:color w:val="auto"/>
        </w:rPr>
      </w:pPr>
    </w:p>
    <w:p>
      <w:pPr>
        <w:ind w:left="4080" w:hanging="734"/>
        <w:spacing w:after="0"/>
        <w:tabs>
          <w:tab w:leader="none" w:pos="4080" w:val="left"/>
        </w:tabs>
        <w:numPr>
          <w:ilvl w:val="0"/>
          <w:numId w:val="37"/>
        </w:numPr>
        <w:rPr>
          <w:rFonts w:ascii="Arial" w:cs="Arial" w:eastAsia="Arial" w:hAnsi="Arial"/>
          <w:sz w:val="19"/>
          <w:szCs w:val="19"/>
          <w:b w:val="1"/>
          <w:bCs w:val="1"/>
          <w:color w:val="auto"/>
        </w:rPr>
      </w:pPr>
      <w:r>
        <w:rPr>
          <w:rFonts w:ascii="Arial" w:cs="Arial" w:eastAsia="Arial" w:hAnsi="Arial"/>
          <w:sz w:val="19"/>
          <w:szCs w:val="19"/>
          <w:color w:val="auto"/>
        </w:rPr>
        <w:t>First, to increase the Covered Employee’s deemed age,</w:t>
      </w:r>
    </w:p>
    <w:p>
      <w:pPr>
        <w:spacing w:after="0" w:line="1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up to a maximum of age 65; and</w:t>
      </w:r>
    </w:p>
    <w:p>
      <w:pPr>
        <w:spacing w:after="0" w:line="161" w:lineRule="exact"/>
        <w:rPr>
          <w:sz w:val="20"/>
          <w:szCs w:val="20"/>
          <w:color w:val="auto"/>
        </w:rPr>
      </w:pPr>
    </w:p>
    <w:p>
      <w:pPr>
        <w:ind w:left="4080" w:hanging="734"/>
        <w:spacing w:after="0"/>
        <w:tabs>
          <w:tab w:leader="none" w:pos="4080" w:val="left"/>
        </w:tabs>
        <w:numPr>
          <w:ilvl w:val="0"/>
          <w:numId w:val="38"/>
        </w:numPr>
        <w:rPr>
          <w:rFonts w:ascii="Arial" w:cs="Arial" w:eastAsia="Arial" w:hAnsi="Arial"/>
          <w:sz w:val="19"/>
          <w:szCs w:val="19"/>
          <w:b w:val="1"/>
          <w:bCs w:val="1"/>
          <w:color w:val="auto"/>
        </w:rPr>
      </w:pPr>
      <w:r>
        <w:rPr>
          <w:rFonts w:ascii="Arial" w:cs="Arial" w:eastAsia="Arial" w:hAnsi="Arial"/>
          <w:sz w:val="19"/>
          <w:szCs w:val="19"/>
          <w:color w:val="auto"/>
        </w:rPr>
        <w:t>Second, if any such months remain, to increase the</w:t>
      </w:r>
    </w:p>
    <w:p>
      <w:pPr>
        <w:spacing w:after="0" w:line="15" w:lineRule="exact"/>
        <w:rPr>
          <w:rFonts w:ascii="Arial" w:cs="Arial" w:eastAsia="Arial" w:hAnsi="Arial"/>
          <w:sz w:val="19"/>
          <w:szCs w:val="19"/>
          <w:b w:val="1"/>
          <w:bCs w:val="1"/>
          <w:color w:val="auto"/>
        </w:rPr>
      </w:pPr>
    </w:p>
    <w:p>
      <w:pPr>
        <w:ind w:left="100" w:right="279"/>
        <w:spacing w:after="0" w:line="224" w:lineRule="auto"/>
        <w:rPr>
          <w:rFonts w:ascii="Arial" w:cs="Arial" w:eastAsia="Arial" w:hAnsi="Arial"/>
          <w:sz w:val="19"/>
          <w:szCs w:val="19"/>
          <w:b w:val="1"/>
          <w:bCs w:val="1"/>
          <w:color w:val="auto"/>
        </w:rPr>
      </w:pPr>
      <w:r>
        <w:rPr>
          <w:rFonts w:ascii="Arial" w:cs="Arial" w:eastAsia="Arial" w:hAnsi="Arial"/>
          <w:sz w:val="22"/>
          <w:szCs w:val="22"/>
          <w:color w:val="auto"/>
        </w:rPr>
        <w:t>Covered Employee’s years and months of service for purposes of calculating Total Credited Service and Total Offset Service, up to a maximum of 40 years of service; and</w:t>
      </w:r>
    </w:p>
    <w:p>
      <w:pPr>
        <w:spacing w:after="0" w:line="158" w:lineRule="exact"/>
        <w:rPr>
          <w:sz w:val="20"/>
          <w:szCs w:val="20"/>
          <w:color w:val="auto"/>
        </w:rPr>
      </w:pPr>
    </w:p>
    <w:p>
      <w:pPr>
        <w:ind w:left="100" w:right="339" w:firstLine="1945"/>
        <w:spacing w:after="0" w:line="218" w:lineRule="auto"/>
        <w:rPr>
          <w:sz w:val="20"/>
          <w:szCs w:val="20"/>
          <w:color w:val="auto"/>
        </w:rPr>
      </w:pPr>
      <w:r>
        <w:rPr>
          <w:rFonts w:ascii="Arial" w:cs="Arial" w:eastAsia="Arial" w:hAnsi="Arial"/>
          <w:sz w:val="22"/>
          <w:szCs w:val="22"/>
          <w:color w:val="auto"/>
        </w:rPr>
        <w:t>(2) be treated as having been a Covered Employee for 60 full consecutive months for purposes of applying Section 4.02(c)(3) of the Pension Plan when calculating Total Credited Service and Total Offset Service under this Supplemental Pension Plan (409A Non-Grandfathered Component).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54" w:name="page55"/>
    <w:bookmarkEnd w:id="54"/>
    <w:tbl>
      <w:tblPr>
        <w:tblLayout w:type="fixed"/>
        <w:tblInd w:w="760" w:type="dxa"/>
        <w:tblCellMar>
          <w:top w:w="0" w:type="dxa"/>
          <w:left w:w="0" w:type="dxa"/>
          <w:bottom w:w="0" w:type="dxa"/>
          <w:right w:w="0" w:type="dxa"/>
        </w:tblCellMar>
      </w:tblPr>
      <w:tr>
        <w:trPr>
          <w:trHeight w:val="281"/>
        </w:trPr>
        <w:tc>
          <w:tcPr>
            <w:tcW w:w="820" w:type="dxa"/>
            <w:vAlign w:val="bottom"/>
          </w:tcPr>
          <w:p>
            <w:pPr>
              <w:spacing w:after="0"/>
              <w:rPr>
                <w:sz w:val="24"/>
                <w:szCs w:val="24"/>
                <w:color w:val="auto"/>
              </w:rPr>
            </w:pPr>
          </w:p>
        </w:tc>
        <w:tc>
          <w:tcPr>
            <w:tcW w:w="7340" w:type="dxa"/>
            <w:vAlign w:val="bottom"/>
          </w:tcPr>
          <w:p>
            <w:pPr>
              <w:ind w:left="2040"/>
              <w:spacing w:after="0"/>
              <w:rPr>
                <w:sz w:val="20"/>
                <w:szCs w:val="20"/>
                <w:color w:val="auto"/>
              </w:rPr>
            </w:pPr>
            <w:r>
              <w:rPr>
                <w:rFonts w:ascii="Arial" w:cs="Arial" w:eastAsia="Arial" w:hAnsi="Arial"/>
                <w:sz w:val="22"/>
                <w:szCs w:val="22"/>
                <w:b w:val="1"/>
                <w:bCs w:val="1"/>
                <w:color w:val="auto"/>
              </w:rPr>
              <w:t>ARTICLE THREE</w:t>
            </w:r>
          </w:p>
        </w:tc>
      </w:tr>
      <w:tr>
        <w:trPr>
          <w:trHeight w:val="648"/>
        </w:trPr>
        <w:tc>
          <w:tcPr>
            <w:tcW w:w="820" w:type="dxa"/>
            <w:vAlign w:val="bottom"/>
          </w:tcPr>
          <w:p>
            <w:pPr>
              <w:spacing w:after="0"/>
              <w:rPr>
                <w:sz w:val="24"/>
                <w:szCs w:val="24"/>
                <w:color w:val="auto"/>
              </w:rPr>
            </w:pPr>
          </w:p>
        </w:tc>
        <w:tc>
          <w:tcPr>
            <w:tcW w:w="7340" w:type="dxa"/>
            <w:vAlign w:val="bottom"/>
          </w:tcPr>
          <w:p>
            <w:pPr>
              <w:ind w:left="2000"/>
              <w:spacing w:after="0"/>
              <w:rPr>
                <w:sz w:val="20"/>
                <w:szCs w:val="20"/>
                <w:color w:val="auto"/>
              </w:rPr>
            </w:pPr>
            <w:r>
              <w:rPr>
                <w:rFonts w:ascii="Arial" w:cs="Arial" w:eastAsia="Arial" w:hAnsi="Arial"/>
                <w:sz w:val="22"/>
                <w:szCs w:val="22"/>
                <w:b w:val="1"/>
                <w:bCs w:val="1"/>
                <w:u w:val="single" w:color="auto"/>
                <w:color w:val="auto"/>
              </w:rPr>
              <w:t>Manner of Payment</w:t>
            </w:r>
          </w:p>
        </w:tc>
      </w:tr>
      <w:tr>
        <w:trPr>
          <w:trHeight w:val="432"/>
        </w:trPr>
        <w:tc>
          <w:tcPr>
            <w:tcW w:w="820" w:type="dxa"/>
            <w:vAlign w:val="bottom"/>
          </w:tcPr>
          <w:p>
            <w:pPr>
              <w:jc w:val="right"/>
              <w:ind w:right="452"/>
              <w:spacing w:after="0"/>
              <w:rPr>
                <w:sz w:val="20"/>
                <w:szCs w:val="20"/>
                <w:color w:val="auto"/>
              </w:rPr>
            </w:pPr>
            <w:r>
              <w:rPr>
                <w:rFonts w:ascii="Arial" w:cs="Arial" w:eastAsia="Arial" w:hAnsi="Arial"/>
                <w:sz w:val="22"/>
                <w:szCs w:val="22"/>
                <w:color w:val="auto"/>
                <w:w w:val="78"/>
              </w:rPr>
              <w:t>3.1</w:t>
            </w:r>
          </w:p>
        </w:tc>
        <w:tc>
          <w:tcPr>
            <w:tcW w:w="7340" w:type="dxa"/>
            <w:vAlign w:val="bottom"/>
          </w:tcPr>
          <w:p>
            <w:pPr>
              <w:ind w:left="560"/>
              <w:spacing w:after="0"/>
              <w:rPr>
                <w:sz w:val="20"/>
                <w:szCs w:val="20"/>
                <w:color w:val="auto"/>
              </w:rPr>
            </w:pPr>
            <w:r>
              <w:rPr>
                <w:rFonts w:ascii="Arial" w:cs="Arial" w:eastAsia="Arial" w:hAnsi="Arial"/>
                <w:sz w:val="22"/>
                <w:szCs w:val="22"/>
                <w:u w:val="single" w:color="auto"/>
                <w:color w:val="auto"/>
                <w:w w:val="91"/>
              </w:rPr>
              <w:t>Normal Form of Payment for Retirement</w:t>
            </w:r>
            <w:r>
              <w:rPr>
                <w:rFonts w:ascii="Arial" w:cs="Arial" w:eastAsia="Arial" w:hAnsi="Arial"/>
                <w:sz w:val="22"/>
                <w:szCs w:val="22"/>
                <w:color w:val="auto"/>
                <w:w w:val="91"/>
              </w:rPr>
              <w:t>. Except as provided in Sections 3.2</w:t>
            </w:r>
          </w:p>
        </w:tc>
      </w:tr>
    </w:tbl>
    <w:p>
      <w:pPr>
        <w:jc w:val="both"/>
        <w:ind w:left="100" w:right="99"/>
        <w:spacing w:after="0" w:line="233" w:lineRule="auto"/>
        <w:rPr>
          <w:sz w:val="20"/>
          <w:szCs w:val="20"/>
          <w:color w:val="auto"/>
        </w:rPr>
      </w:pPr>
      <w:r>
        <w:rPr>
          <w:rFonts w:ascii="Arial" w:cs="Arial" w:eastAsia="Arial" w:hAnsi="Arial"/>
          <w:sz w:val="22"/>
          <w:szCs w:val="22"/>
          <w:color w:val="auto"/>
        </w:rPr>
        <w:t>and 3.3, if a Participant has a Separation from Service on a Normal Retirement Date, an Early Retirement Date, an Early Supplemental Pension Retirement Date, or a Postponed Retirement Date under Section 2.1, 2.2 or 2.3, payment of the Supplemental Pension shall be made to a Participant on his or her benefit start date in the form of a single life annuity payable in equal monthly installments to the Participant for his or her lifetime.</w:t>
      </w:r>
    </w:p>
    <w:p>
      <w:pPr>
        <w:spacing w:after="0" w:line="186" w:lineRule="exact"/>
        <w:rPr>
          <w:sz w:val="20"/>
          <w:szCs w:val="20"/>
          <w:color w:val="auto"/>
        </w:rPr>
      </w:pPr>
    </w:p>
    <w:p>
      <w:pPr>
        <w:ind w:left="760"/>
        <w:spacing w:after="0"/>
        <w:tabs>
          <w:tab w:leader="none" w:pos="212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u w:val="single" w:color="auto"/>
          <w:color w:val="auto"/>
        </w:rPr>
        <w:t>Optional Forms of Payment for Retirement</w:t>
      </w:r>
      <w:r>
        <w:rPr>
          <w:rFonts w:ascii="Arial" w:cs="Arial" w:eastAsia="Arial" w:hAnsi="Arial"/>
          <w:sz w:val="19"/>
          <w:szCs w:val="19"/>
          <w:color w:val="auto"/>
        </w:rPr>
        <w:t>. Notwithstanding Section 3.1, a</w:t>
      </w:r>
    </w:p>
    <w:p>
      <w:pPr>
        <w:spacing w:after="0" w:line="8" w:lineRule="exact"/>
        <w:rPr>
          <w:sz w:val="20"/>
          <w:szCs w:val="20"/>
          <w:color w:val="auto"/>
        </w:rPr>
      </w:pPr>
    </w:p>
    <w:p>
      <w:pPr>
        <w:jc w:val="both"/>
        <w:ind w:left="100" w:right="99"/>
        <w:spacing w:after="0" w:line="237" w:lineRule="auto"/>
        <w:rPr>
          <w:sz w:val="20"/>
          <w:szCs w:val="20"/>
          <w:color w:val="auto"/>
        </w:rPr>
      </w:pPr>
      <w:r>
        <w:rPr>
          <w:rFonts w:ascii="Arial" w:cs="Arial" w:eastAsia="Arial" w:hAnsi="Arial"/>
          <w:sz w:val="22"/>
          <w:szCs w:val="22"/>
          <w:color w:val="auto"/>
        </w:rPr>
        <w:t>Participant may elect to receive payment of the Supplemental Pension in one of the following forms in lieu of the applicable normal form set forth in Section 3.1.</w:t>
      </w:r>
    </w:p>
    <w:p>
      <w:pPr>
        <w:spacing w:after="0" w:line="185" w:lineRule="exact"/>
        <w:rPr>
          <w:sz w:val="20"/>
          <w:szCs w:val="20"/>
          <w:color w:val="auto"/>
        </w:rPr>
      </w:pPr>
    </w:p>
    <w:p>
      <w:pPr>
        <w:ind w:left="2120" w:hanging="719"/>
        <w:spacing w:after="0"/>
        <w:tabs>
          <w:tab w:leader="none" w:pos="2120" w:val="left"/>
        </w:tabs>
        <w:numPr>
          <w:ilvl w:val="0"/>
          <w:numId w:val="39"/>
        </w:numPr>
        <w:rPr>
          <w:rFonts w:ascii="Arial" w:cs="Arial" w:eastAsia="Arial" w:hAnsi="Arial"/>
          <w:sz w:val="19"/>
          <w:szCs w:val="19"/>
          <w:color w:val="auto"/>
        </w:rPr>
      </w:pPr>
      <w:r>
        <w:rPr>
          <w:rFonts w:ascii="Arial" w:cs="Arial" w:eastAsia="Arial" w:hAnsi="Arial"/>
          <w:sz w:val="19"/>
          <w:szCs w:val="19"/>
          <w:color w:val="auto"/>
        </w:rPr>
        <w:t>A single life annuity payable in equal monthly installments to the Participant</w:t>
      </w:r>
    </w:p>
    <w:p>
      <w:pPr>
        <w:spacing w:after="0" w:line="42" w:lineRule="exact"/>
        <w:rPr>
          <w:rFonts w:ascii="Arial" w:cs="Arial" w:eastAsia="Arial" w:hAnsi="Arial"/>
          <w:sz w:val="19"/>
          <w:szCs w:val="19"/>
          <w:color w:val="auto"/>
        </w:rPr>
      </w:pPr>
    </w:p>
    <w:p>
      <w:pPr>
        <w:ind w:left="100"/>
        <w:spacing w:after="0"/>
        <w:rPr>
          <w:rFonts w:ascii="Arial" w:cs="Arial" w:eastAsia="Arial" w:hAnsi="Arial"/>
          <w:sz w:val="19"/>
          <w:szCs w:val="19"/>
          <w:color w:val="auto"/>
        </w:rPr>
      </w:pPr>
      <w:r>
        <w:rPr>
          <w:rFonts w:ascii="Arial" w:cs="Arial" w:eastAsia="Arial" w:hAnsi="Arial"/>
          <w:sz w:val="22"/>
          <w:szCs w:val="22"/>
          <w:color w:val="auto"/>
        </w:rPr>
        <w:t>for his lifetime;</w:t>
      </w:r>
    </w:p>
    <w:p>
      <w:pPr>
        <w:spacing w:after="0" w:line="188" w:lineRule="exact"/>
        <w:rPr>
          <w:rFonts w:ascii="Arial" w:cs="Arial" w:eastAsia="Arial" w:hAnsi="Arial"/>
          <w:sz w:val="19"/>
          <w:szCs w:val="19"/>
          <w:color w:val="auto"/>
        </w:rPr>
      </w:pPr>
    </w:p>
    <w:p>
      <w:pPr>
        <w:jc w:val="both"/>
        <w:ind w:left="100" w:right="99" w:firstLine="1301"/>
        <w:spacing w:after="0" w:line="279" w:lineRule="auto"/>
        <w:tabs>
          <w:tab w:leader="none" w:pos="2121" w:val="left"/>
        </w:tabs>
        <w:numPr>
          <w:ilvl w:val="0"/>
          <w:numId w:val="39"/>
        </w:numPr>
        <w:rPr>
          <w:rFonts w:ascii="Arial" w:cs="Arial" w:eastAsia="Arial" w:hAnsi="Arial"/>
          <w:sz w:val="19"/>
          <w:szCs w:val="19"/>
          <w:color w:val="auto"/>
        </w:rPr>
      </w:pPr>
      <w:r>
        <w:rPr>
          <w:rFonts w:ascii="Arial" w:cs="Arial" w:eastAsia="Arial" w:hAnsi="Arial"/>
          <w:sz w:val="19"/>
          <w:szCs w:val="19"/>
          <w:color w:val="auto"/>
        </w:rPr>
        <w:t>A single life annuity payable in equal monthly installments to the Participant for his lifetime, with 120 payments guaranteed. If a Participant dies before he or she has received 120 monthly payments, then any balance of guaranteed payments shall be paid in a single sum to the Participant’s Beneficiary within 90 days following the Participant’s death. A Participant’s designation of a Beneficiary to receive the balance of the guaranteed payments may be made or changed until the earlier of the Participant’ death or the expiration of the guaranteed period; or</w:t>
      </w:r>
    </w:p>
    <w:p>
      <w:pPr>
        <w:spacing w:after="0" w:line="150" w:lineRule="exact"/>
        <w:rPr>
          <w:rFonts w:ascii="Arial" w:cs="Arial" w:eastAsia="Arial" w:hAnsi="Arial"/>
          <w:sz w:val="19"/>
          <w:szCs w:val="19"/>
          <w:color w:val="auto"/>
        </w:rPr>
      </w:pPr>
    </w:p>
    <w:p>
      <w:pPr>
        <w:jc w:val="both"/>
        <w:ind w:left="100" w:right="99" w:firstLine="1301"/>
        <w:spacing w:after="0" w:line="272" w:lineRule="auto"/>
        <w:tabs>
          <w:tab w:leader="none" w:pos="2095" w:val="left"/>
        </w:tabs>
        <w:numPr>
          <w:ilvl w:val="0"/>
          <w:numId w:val="39"/>
        </w:numPr>
        <w:rPr>
          <w:rFonts w:ascii="Arial" w:cs="Arial" w:eastAsia="Arial" w:hAnsi="Arial"/>
          <w:sz w:val="19"/>
          <w:szCs w:val="19"/>
          <w:color w:val="auto"/>
        </w:rPr>
      </w:pPr>
      <w:r>
        <w:rPr>
          <w:rFonts w:ascii="Arial" w:cs="Arial" w:eastAsia="Arial" w:hAnsi="Arial"/>
          <w:sz w:val="19"/>
          <w:szCs w:val="19"/>
          <w:color w:val="auto"/>
        </w:rPr>
        <w:t>A joint and survivor annuity with any individual Beneficiary designated by the Participant, payable in equal monthly installments for the Participant’s lifetime and with 25%, 50%, 75% or 100%, as elected by the Participant, of the amount of such monthly installment payable after the death of the Participant to the designated Beneficiary of such Participant, if then living, for the life of such designated Beneficiary. A Participant’s designation of a Beneficiary under a joint and survivor annuity may not be changed on or after the benefit start date for the Supplemental Pension. If a Participant’s Beneficiary dies before the benefit start date for the Supplemental Pension, but after the Participant has elected a joint and survivor annuity, the election shall automatically be revoked and the Supplemental Pension shall be paid in the form set forth in Section 3.1. Notwithstanding the foregoing, the percentage payable to the Participant’s Beneficiary (unless the Beneficiary is the Participant’s spouse) after the Participant’s death may not exceed the applicable percentage from the table set forth in Appendix C of the Pension Plan.</w:t>
      </w:r>
    </w:p>
    <w:p>
      <w:pPr>
        <w:spacing w:after="0" w:line="162" w:lineRule="exact"/>
        <w:rPr>
          <w:sz w:val="20"/>
          <w:szCs w:val="20"/>
          <w:color w:val="auto"/>
        </w:rPr>
      </w:pPr>
    </w:p>
    <w:p>
      <w:pPr>
        <w:jc w:val="both"/>
        <w:ind w:left="100" w:right="99"/>
        <w:spacing w:after="0" w:line="279" w:lineRule="auto"/>
        <w:rPr>
          <w:sz w:val="20"/>
          <w:szCs w:val="20"/>
          <w:color w:val="auto"/>
        </w:rPr>
      </w:pPr>
      <w:r>
        <w:rPr>
          <w:rFonts w:ascii="Arial" w:cs="Arial" w:eastAsia="Arial" w:hAnsi="Arial"/>
          <w:sz w:val="19"/>
          <w:szCs w:val="19"/>
          <w:color w:val="auto"/>
        </w:rPr>
        <w:t>The election described in this Section 3.2 must be made in writing, in the form prescribed by the Administrator, at least six (6) months before, and no later than the tax year of the Participant immediately preceding, the benefit start date for the Supplemental Pension. Any optional form of benefit described in this Section 3.2 shall be the actuarial equivalent of the normal form of benefit described in Section 3.1, disregarding the value of any subsidized survivor annuity benefit, and based on the actuarial equivalence factors set forth in Appendix A of the Pension Plan.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558" w:right="1440" w:bottom="1440" w:gutter="0" w:footer="0" w:header="0"/>
        </w:sectPr>
      </w:pPr>
    </w:p>
    <w:bookmarkStart w:id="55" w:name="page56"/>
    <w:bookmarkEnd w:id="55"/>
    <w:p>
      <w:pPr>
        <w:ind w:left="760"/>
        <w:spacing w:after="0"/>
        <w:tabs>
          <w:tab w:leader="none" w:pos="210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u w:val="single" w:color="auto"/>
          <w:color w:val="auto"/>
        </w:rPr>
        <w:t>Payments For Certain Retirements Under Section 2.2(b)</w:t>
      </w:r>
      <w:r>
        <w:rPr>
          <w:rFonts w:ascii="Arial" w:cs="Arial" w:eastAsia="Arial" w:hAnsi="Arial"/>
          <w:sz w:val="19"/>
          <w:szCs w:val="19"/>
          <w:color w:val="auto"/>
        </w:rPr>
        <w:t>. If a Participant has a</w:t>
      </w:r>
    </w:p>
    <w:p>
      <w:pPr>
        <w:spacing w:after="0" w:line="8" w:lineRule="exact"/>
        <w:rPr>
          <w:sz w:val="20"/>
          <w:szCs w:val="20"/>
          <w:color w:val="auto"/>
        </w:rPr>
      </w:pPr>
    </w:p>
    <w:p>
      <w:pPr>
        <w:jc w:val="both"/>
        <w:ind w:left="100" w:right="99"/>
        <w:spacing w:after="0" w:line="280" w:lineRule="auto"/>
        <w:rPr>
          <w:sz w:val="20"/>
          <w:szCs w:val="20"/>
          <w:color w:val="auto"/>
        </w:rPr>
      </w:pPr>
      <w:r>
        <w:rPr>
          <w:rFonts w:ascii="Arial" w:cs="Arial" w:eastAsia="Arial" w:hAnsi="Arial"/>
          <w:sz w:val="19"/>
          <w:szCs w:val="19"/>
          <w:color w:val="auto"/>
        </w:rPr>
        <w:t>Separation from Service on an Early Supplemental Pension Retirement Date, and at such Separation from Service either is not vested in or is not eligible to start a pension under the Pension Plan, payment of his Supplemental Pension shall be made in the form of a single life annuity. The Participant is not eligible to elect payment of his Supplemental Pension in any other form.</w:t>
      </w:r>
    </w:p>
    <w:p>
      <w:pPr>
        <w:spacing w:after="0" w:line="151" w:lineRule="exact"/>
        <w:rPr>
          <w:sz w:val="20"/>
          <w:szCs w:val="20"/>
          <w:color w:val="auto"/>
        </w:rPr>
      </w:pPr>
    </w:p>
    <w:p>
      <w:pPr>
        <w:ind w:left="760"/>
        <w:spacing w:after="0"/>
        <w:tabs>
          <w:tab w:leader="none" w:pos="216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19"/>
          <w:szCs w:val="19"/>
          <w:u w:val="single" w:color="auto"/>
          <w:color w:val="auto"/>
        </w:rPr>
        <w:t>Special Payments</w:t>
      </w:r>
      <w:r>
        <w:rPr>
          <w:rFonts w:ascii="Arial" w:cs="Arial" w:eastAsia="Arial" w:hAnsi="Arial"/>
          <w:sz w:val="19"/>
          <w:szCs w:val="19"/>
          <w:color w:val="auto"/>
        </w:rPr>
        <w:t>.</w:t>
      </w:r>
    </w:p>
    <w:p>
      <w:pPr>
        <w:spacing w:after="0" w:line="193" w:lineRule="exact"/>
        <w:rPr>
          <w:sz w:val="20"/>
          <w:szCs w:val="20"/>
          <w:color w:val="auto"/>
        </w:rPr>
      </w:pPr>
    </w:p>
    <w:p>
      <w:pPr>
        <w:ind w:left="100" w:right="139" w:firstLine="1301"/>
        <w:spacing w:after="0" w:line="243" w:lineRule="auto"/>
        <w:tabs>
          <w:tab w:leader="none" w:pos="2730" w:val="left"/>
        </w:tabs>
        <w:numPr>
          <w:ilvl w:val="1"/>
          <w:numId w:val="40"/>
        </w:numPr>
        <w:rPr>
          <w:rFonts w:ascii="Arial" w:cs="Arial" w:eastAsia="Arial" w:hAnsi="Arial"/>
          <w:sz w:val="19"/>
          <w:szCs w:val="19"/>
          <w:color w:val="auto"/>
        </w:rPr>
      </w:pPr>
      <w:r>
        <w:rPr>
          <w:rFonts w:ascii="Arial" w:cs="Arial" w:eastAsia="Arial" w:hAnsi="Arial"/>
          <w:sz w:val="19"/>
          <w:szCs w:val="19"/>
          <w:color w:val="auto"/>
        </w:rPr>
        <w:t>Michael A. Paras. The amount of the Supplemental Pension payable to Michael A. Paras under Article Two shall be paid on its scheduled payment date in the form of a single sum payment determined by converting the single life annuity into a single sum payment using</w:t>
      </w:r>
    </w:p>
    <w:p>
      <w:pPr>
        <w:spacing w:after="0" w:line="2" w:lineRule="exact"/>
        <w:rPr>
          <w:rFonts w:ascii="Arial" w:cs="Arial" w:eastAsia="Arial" w:hAnsi="Arial"/>
          <w:sz w:val="19"/>
          <w:szCs w:val="19"/>
          <w:color w:val="auto"/>
        </w:rPr>
      </w:pPr>
    </w:p>
    <w:p>
      <w:pPr>
        <w:ind w:left="100" w:right="139" w:firstLine="5"/>
        <w:spacing w:after="0" w:line="245" w:lineRule="auto"/>
        <w:tabs>
          <w:tab w:leader="none" w:pos="406" w:val="left"/>
        </w:tabs>
        <w:numPr>
          <w:ilvl w:val="0"/>
          <w:numId w:val="41"/>
        </w:numPr>
        <w:rPr>
          <w:rFonts w:ascii="Arial" w:cs="Arial" w:eastAsia="Arial" w:hAnsi="Arial"/>
          <w:sz w:val="19"/>
          <w:szCs w:val="19"/>
          <w:color w:val="auto"/>
        </w:rPr>
      </w:pPr>
      <w:r>
        <w:rPr>
          <w:rFonts w:ascii="Arial" w:cs="Arial" w:eastAsia="Arial" w:hAnsi="Arial"/>
          <w:sz w:val="19"/>
          <w:szCs w:val="19"/>
          <w:color w:val="auto"/>
        </w:rPr>
        <w:t>an interest rate that is equal to the adjusted first, second, and third segment rates applied under rules similar to the rules of Section 430(h)(2)(C) of the Code for the month before the date of distribution or such other time as the Secretary of the Treasury may prescribe, as described in Section 417(e)(3) of the Code and as published from time to time by the Secretary of the Treasury and (2) the mortality table referred to in Revenue Ruling 2007-67 (or such other mortality table as may subsequently be in effect) for Benefit Payment Dates occurring on or after January 1, 2009.</w:t>
      </w:r>
    </w:p>
    <w:p>
      <w:pPr>
        <w:spacing w:after="0" w:line="156" w:lineRule="exact"/>
        <w:rPr>
          <w:rFonts w:ascii="Arial" w:cs="Arial" w:eastAsia="Arial" w:hAnsi="Arial"/>
          <w:sz w:val="19"/>
          <w:szCs w:val="19"/>
          <w:color w:val="auto"/>
        </w:rPr>
      </w:pPr>
    </w:p>
    <w:p>
      <w:pPr>
        <w:ind w:left="100" w:right="199" w:firstLine="1301"/>
        <w:spacing w:after="0" w:line="242" w:lineRule="auto"/>
        <w:tabs>
          <w:tab w:leader="none" w:pos="2742" w:val="left"/>
        </w:tabs>
        <w:numPr>
          <w:ilvl w:val="1"/>
          <w:numId w:val="41"/>
        </w:numPr>
        <w:rPr>
          <w:rFonts w:ascii="Arial" w:cs="Arial" w:eastAsia="Arial" w:hAnsi="Arial"/>
          <w:sz w:val="19"/>
          <w:szCs w:val="19"/>
          <w:color w:val="auto"/>
        </w:rPr>
      </w:pPr>
      <w:r>
        <w:rPr>
          <w:rFonts w:ascii="Arial" w:cs="Arial" w:eastAsia="Arial" w:hAnsi="Arial"/>
          <w:sz w:val="19"/>
          <w:szCs w:val="19"/>
          <w:color w:val="auto"/>
        </w:rPr>
        <w:t>Jeff M. Crandall. The amount of the Supplemental Pension payable to Jeff M. Crandall under Article Two shall be paid on its scheduled payment date in the form of a single sum payment determined by converting the joint and survivor annuity into a single sum payment using (1) an interest rate that is equal to the adjusted first, second, and third segment rates applied under rules similar to the rules of Section 430(h)(2)(C) of the Code for the month before the date of distribution or such other time as the Secretary of the Treasury may prescribe, as described in Section 417(e)(3) of the Code and as published from time to time by the Secretary of the Treasury and (2) the mortality table referred to in Revenue Ruling 2007-67 (or such other mortality table as may subsequently be in effect) for Benefit Payment Dates occurring on or after January 1, 2009; provided that Jeff M. Crandall is not entitled to receive any payment from a nonqualified deferred compensation plan required to be aggregated with the Supplemental Plan (409A Non-Grandfathered Component) under the regulations promulgated under Section 409A of the Code and the amount of the single sum payment does not exceed the applicable dollar amount under Section 402(g)(1)(B) of the Code.</w:t>
      </w:r>
    </w:p>
    <w:p>
      <w:pPr>
        <w:spacing w:after="0" w:line="377" w:lineRule="exact"/>
        <w:rPr>
          <w:sz w:val="20"/>
          <w:szCs w:val="20"/>
          <w:color w:val="auto"/>
        </w:rPr>
      </w:pPr>
    </w:p>
    <w:p>
      <w:pPr>
        <w:ind w:left="100" w:right="219" w:firstLine="1301"/>
        <w:spacing w:after="0" w:line="243" w:lineRule="auto"/>
        <w:tabs>
          <w:tab w:leader="none" w:pos="2708" w:val="left"/>
        </w:tabs>
        <w:numPr>
          <w:ilvl w:val="0"/>
          <w:numId w:val="42"/>
        </w:numPr>
        <w:rPr>
          <w:rFonts w:ascii="Arial" w:cs="Arial" w:eastAsia="Arial" w:hAnsi="Arial"/>
          <w:sz w:val="19"/>
          <w:szCs w:val="19"/>
          <w:color w:val="auto"/>
        </w:rPr>
      </w:pPr>
      <w:r>
        <w:rPr>
          <w:rFonts w:ascii="Arial" w:cs="Arial" w:eastAsia="Arial" w:hAnsi="Arial"/>
          <w:sz w:val="19"/>
          <w:szCs w:val="19"/>
          <w:color w:val="auto"/>
        </w:rPr>
        <w:t>Arnold R. Robinson. Notwithstanding Section 3.1, the benefit payable to Arnold R. Robinson under Article Two hereof shall be paid on its scheduled payment date in the form of a single sum payment, the amount of which shall be determined by converting the single life annuity (including for this purpose, the benefit described in Section 2.6(a)) into to a single sum payment by using the applicable interest rate and mortality assumptions of Section 2.05(c) of the Pension Plan and treating such scheduled payment date as the “Benefit Payment Date” for purposes of Section 2.05(c) of the Pension Plan; provided that Arnold R. Robinson is not entitled to receive any payment from another nonqualified deferred compensation plan required to be aggregated with the Supplemental Plan (409A Non-Grandfathered Component) under the regulations promulgated under Section 409A of the Code and the amount of the single sum payment does not exceed the applicable dollar amount under Section 402(g)(1)(B) of the Code for the 2017 calendar year.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56" w:name="page57"/>
    <w:bookmarkEnd w:id="56"/>
    <w:p>
      <w:pPr>
        <w:jc w:val="center"/>
        <w:spacing w:after="0"/>
        <w:rPr>
          <w:sz w:val="20"/>
          <w:szCs w:val="20"/>
          <w:color w:val="auto"/>
        </w:rPr>
      </w:pPr>
      <w:r>
        <w:rPr>
          <w:rFonts w:ascii="Arial" w:cs="Arial" w:eastAsia="Arial" w:hAnsi="Arial"/>
          <w:sz w:val="22"/>
          <w:szCs w:val="22"/>
          <w:b w:val="1"/>
          <w:bCs w:val="1"/>
          <w:u w:val="single" w:color="auto"/>
          <w:color w:val="auto"/>
        </w:rPr>
        <w:t>ARTICLE FOUR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Vesting</w:t>
      </w:r>
    </w:p>
    <w:p>
      <w:pPr>
        <w:spacing w:after="0" w:line="91" w:lineRule="exact"/>
        <w:rPr>
          <w:sz w:val="20"/>
          <w:szCs w:val="20"/>
          <w:color w:val="auto"/>
        </w:rPr>
      </w:pPr>
    </w:p>
    <w:p>
      <w:pPr>
        <w:ind w:left="760"/>
        <w:spacing w:after="0"/>
        <w:tabs>
          <w:tab w:leader="none" w:pos="210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color w:val="auto"/>
        </w:rPr>
        <w:t>Termination Prior to Vesting.</w:t>
      </w:r>
    </w:p>
    <w:p>
      <w:pPr>
        <w:spacing w:after="0" w:line="206" w:lineRule="exact"/>
        <w:rPr>
          <w:sz w:val="20"/>
          <w:szCs w:val="20"/>
          <w:color w:val="auto"/>
        </w:rPr>
      </w:pPr>
    </w:p>
    <w:p>
      <w:pPr>
        <w:jc w:val="both"/>
        <w:ind w:left="100" w:right="99" w:firstLine="1301"/>
        <w:spacing w:after="0" w:line="246" w:lineRule="exact"/>
        <w:tabs>
          <w:tab w:leader="none" w:pos="2122" w:val="left"/>
        </w:tabs>
        <w:numPr>
          <w:ilvl w:val="0"/>
          <w:numId w:val="43"/>
        </w:numPr>
        <w:rPr>
          <w:rFonts w:ascii="Arial" w:cs="Arial" w:eastAsia="Arial" w:hAnsi="Arial"/>
          <w:sz w:val="19"/>
          <w:szCs w:val="19"/>
          <w:color w:val="auto"/>
        </w:rPr>
      </w:pPr>
      <w:r>
        <w:rPr>
          <w:rFonts w:ascii="Arial" w:cs="Arial" w:eastAsia="Arial" w:hAnsi="Arial"/>
          <w:sz w:val="19"/>
          <w:szCs w:val="19"/>
          <w:color w:val="auto"/>
        </w:rPr>
        <w:t>Except as provided in Section 2.7, a Participant who has a Separation from Service before Early or Normal Retirement Date, and before completion of 5 years of actual Vesting Service under the Pension Plan (treating as actual service for this purpose, service described in Section 1.3(s)(ii) or credited under Section 2.7) shall not be entitled to any benefit under this Supplemental Plan (409A Non</w:t>
      </w:r>
      <w:r>
        <w:rPr>
          <w:rFonts w:ascii="MS PGothic" w:cs="MS PGothic" w:eastAsia="MS PGothic" w:hAnsi="MS PGothic"/>
          <w:sz w:val="19"/>
          <w:szCs w:val="19"/>
          <w:color w:val="auto"/>
        </w:rPr>
        <w:t>‑</w:t>
      </w:r>
      <w:r>
        <w:rPr>
          <w:rFonts w:ascii="Arial" w:cs="Arial" w:eastAsia="Arial" w:hAnsi="Arial"/>
          <w:sz w:val="19"/>
          <w:szCs w:val="19"/>
          <w:color w:val="auto"/>
        </w:rPr>
        <w:t>Grandfathered Component); provided, however, that the Chief Executive Officer of Union Pacific may reduce the required years of actual Vesting Service to 3 if the Chief Executive Officer of Union Pacific determines that such change would not be disadvantageous to the Company in the case of any Participant. The Chief Executive Officer of Union Pacific shall make such determination by the date the Participant terminates Employment.</w:t>
      </w:r>
    </w:p>
    <w:p>
      <w:pPr>
        <w:spacing w:after="0" w:line="191" w:lineRule="exact"/>
        <w:rPr>
          <w:rFonts w:ascii="Arial" w:cs="Arial" w:eastAsia="Arial" w:hAnsi="Arial"/>
          <w:sz w:val="19"/>
          <w:szCs w:val="19"/>
          <w:color w:val="auto"/>
        </w:rPr>
      </w:pPr>
    </w:p>
    <w:p>
      <w:pPr>
        <w:jc w:val="both"/>
        <w:ind w:left="100" w:right="99" w:firstLine="1301"/>
        <w:spacing w:after="0" w:line="248" w:lineRule="exact"/>
        <w:tabs>
          <w:tab w:leader="none" w:pos="2175" w:val="left"/>
        </w:tabs>
        <w:numPr>
          <w:ilvl w:val="0"/>
          <w:numId w:val="43"/>
        </w:numPr>
        <w:rPr>
          <w:rFonts w:ascii="Arial" w:cs="Arial" w:eastAsia="Arial" w:hAnsi="Arial"/>
          <w:sz w:val="22"/>
          <w:szCs w:val="22"/>
          <w:color w:val="auto"/>
        </w:rPr>
      </w:pPr>
      <w:r>
        <w:rPr>
          <w:rFonts w:ascii="Arial" w:cs="Arial" w:eastAsia="Arial" w:hAnsi="Arial"/>
          <w:sz w:val="22"/>
          <w:szCs w:val="22"/>
          <w:color w:val="auto"/>
        </w:rPr>
        <w:t>If a Participant described in Section 4.1(a) returns to Employment and subsequently becomes vested in the Supplemental Plan (409A Non</w:t>
      </w:r>
      <w:r>
        <w:rPr>
          <w:rFonts w:ascii="MS PGothic" w:cs="MS PGothic" w:eastAsia="MS PGothic" w:hAnsi="MS PGothic"/>
          <w:sz w:val="22"/>
          <w:szCs w:val="22"/>
          <w:color w:val="auto"/>
        </w:rPr>
        <w:t>‑</w:t>
      </w:r>
      <w:r>
        <w:rPr>
          <w:rFonts w:ascii="Arial" w:cs="Arial" w:eastAsia="Arial" w:hAnsi="Arial"/>
          <w:sz w:val="22"/>
          <w:szCs w:val="22"/>
          <w:color w:val="auto"/>
        </w:rPr>
        <w:t>Grandfathered Component) benefit that was forfeited under Section 4.1(a), such benefit shall commence on the first day of the month following the later of the date the Participant becomes vested or the Participant’s attainment of age 55 (even if the Participant is still in the Employment of the Company on such date by reason of his or her reemployment).</w:t>
      </w:r>
    </w:p>
    <w:p>
      <w:pPr>
        <w:spacing w:after="0" w:line="188" w:lineRule="exact"/>
        <w:rPr>
          <w:sz w:val="20"/>
          <w:szCs w:val="20"/>
          <w:color w:val="auto"/>
        </w:rPr>
      </w:pPr>
    </w:p>
    <w:p>
      <w:pPr>
        <w:jc w:val="both"/>
        <w:ind w:left="100" w:right="99" w:firstLine="648"/>
        <w:spacing w:after="0" w:line="275"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Termination After Vesting</w:t>
      </w:r>
      <w:r>
        <w:rPr>
          <w:rFonts w:ascii="Arial" w:cs="Arial" w:eastAsia="Arial" w:hAnsi="Arial"/>
          <w:sz w:val="19"/>
          <w:szCs w:val="19"/>
          <w:color w:val="auto"/>
        </w:rPr>
        <w:t>. Except as provided in Section 2.7 or Articles Five and Eleven, a Participant who has a Separation from Service before Normal or Early Retirement Date and before Early Supplemental Pension Retirement Date but after (i) completing 5 (or 3, if applicable) years of actual Vesting Service under the Pension Plan (treating as actual service for this purpose, service described in Section 1.3(s)(ii) or credited under Section 2.7) shall be entitled to receive, commencing on the first day of the month following the later of the Participant’s Separation from Service or the Participant’s attainment of age 55, the Normal Supplemental Pension computed under Section 2.1 as of the date the Participant had a Separation from Service.</w:t>
      </w:r>
    </w:p>
    <w:p>
      <w:pPr>
        <w:spacing w:after="0" w:line="158" w:lineRule="exact"/>
        <w:rPr>
          <w:sz w:val="20"/>
          <w:szCs w:val="20"/>
          <w:color w:val="auto"/>
        </w:rPr>
      </w:pPr>
    </w:p>
    <w:p>
      <w:pPr>
        <w:jc w:val="both"/>
        <w:ind w:left="100" w:right="99"/>
        <w:spacing w:after="0" w:line="245" w:lineRule="auto"/>
        <w:rPr>
          <w:sz w:val="20"/>
          <w:szCs w:val="20"/>
          <w:color w:val="auto"/>
        </w:rPr>
      </w:pPr>
      <w:r>
        <w:rPr>
          <w:rFonts w:ascii="Arial" w:cs="Arial" w:eastAsia="Arial" w:hAnsi="Arial"/>
          <w:sz w:val="21"/>
          <w:szCs w:val="21"/>
          <w:color w:val="auto"/>
        </w:rPr>
        <w:t>In determining any Supplemental Pension to be paid to the Participant commencing prior to Normal Retirement Date, (I) the amounts described in Sections 2.1(a) and 2.1(c) shall be adjusted for early payment as of the early benefit start date in accordance with Section 6.04 of the Pension Plan (taking into account any additional years of age described in Section 1.3(e)(ii) for purposes of adjusting both the gross and offset portions of the benefit, and regardless of whether the Participant’s Supplemental Plan (409A Grandfathered Component) benefit starts on that date), and (II) the amount described in Section 2.1(b) shall be adjusted for payment as of the early benefit start date in accordance with Section 6.04 of the Pension Plan (whether or not the Participant’s Pension Plan benefit starts on that date).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57" w:name="page58"/>
    <w:bookmarkEnd w:id="57"/>
    <w:p>
      <w:pPr>
        <w:ind w:left="760"/>
        <w:spacing w:after="0"/>
        <w:tabs>
          <w:tab w:leader="none" w:pos="210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9"/>
          <w:szCs w:val="19"/>
          <w:u w:val="single" w:color="auto"/>
          <w:color w:val="auto"/>
        </w:rPr>
        <w:t>Form of Vested Benefit</w:t>
      </w:r>
      <w:r>
        <w:rPr>
          <w:rFonts w:ascii="Arial" w:cs="Arial" w:eastAsia="Arial" w:hAnsi="Arial"/>
          <w:sz w:val="19"/>
          <w:szCs w:val="19"/>
          <w:color w:val="auto"/>
        </w:rPr>
        <w:t>.</w:t>
      </w:r>
    </w:p>
    <w:p>
      <w:pPr>
        <w:spacing w:after="0" w:line="206" w:lineRule="exact"/>
        <w:rPr>
          <w:sz w:val="20"/>
          <w:szCs w:val="20"/>
          <w:color w:val="auto"/>
        </w:rPr>
      </w:pPr>
    </w:p>
    <w:p>
      <w:pPr>
        <w:jc w:val="both"/>
        <w:ind w:left="100" w:right="99" w:firstLine="1301"/>
        <w:spacing w:after="0" w:line="254" w:lineRule="exact"/>
        <w:tabs>
          <w:tab w:leader="none" w:pos="2109"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Benefits Payable Under Supplemental Plan and Pension Plan</w:t>
      </w:r>
      <w:r>
        <w:rPr>
          <w:rFonts w:ascii="Arial" w:cs="Arial" w:eastAsia="Arial" w:hAnsi="Arial"/>
          <w:sz w:val="19"/>
          <w:szCs w:val="19"/>
          <w:color w:val="auto"/>
        </w:rPr>
        <w:t>. If a Participant is entitled to benefits under both the Supplemental Plan (409A Non</w:t>
      </w:r>
      <w:r>
        <w:rPr>
          <w:rFonts w:ascii="MS PGothic" w:cs="MS PGothic" w:eastAsia="MS PGothic" w:hAnsi="MS PGothic"/>
          <w:sz w:val="19"/>
          <w:szCs w:val="19"/>
          <w:color w:val="auto"/>
        </w:rPr>
        <w:t>‑</w:t>
      </w:r>
      <w:r>
        <w:rPr>
          <w:rFonts w:ascii="Arial" w:cs="Arial" w:eastAsia="Arial" w:hAnsi="Arial"/>
          <w:sz w:val="19"/>
          <w:szCs w:val="19"/>
          <w:color w:val="auto"/>
        </w:rPr>
        <w:t>Grandfathered Component) and the Pension Plan, the Supplemental Pension determined under Section 4.2 shall be paid:</w:t>
      </w:r>
    </w:p>
    <w:p>
      <w:pPr>
        <w:spacing w:after="0" w:line="186" w:lineRule="exact"/>
        <w:rPr>
          <w:rFonts w:ascii="Arial" w:cs="Arial" w:eastAsia="Arial" w:hAnsi="Arial"/>
          <w:sz w:val="19"/>
          <w:szCs w:val="19"/>
          <w:color w:val="auto"/>
        </w:rPr>
      </w:pPr>
    </w:p>
    <w:p>
      <w:pPr>
        <w:jc w:val="both"/>
        <w:ind w:left="100" w:right="99" w:firstLine="1949"/>
        <w:spacing w:after="0"/>
        <w:tabs>
          <w:tab w:leader="none" w:pos="2762" w:val="left"/>
        </w:tabs>
        <w:numPr>
          <w:ilvl w:val="1"/>
          <w:numId w:val="44"/>
        </w:numPr>
        <w:rPr>
          <w:rFonts w:ascii="Arial" w:cs="Arial" w:eastAsia="Arial" w:hAnsi="Arial"/>
          <w:sz w:val="22"/>
          <w:szCs w:val="22"/>
          <w:color w:val="auto"/>
        </w:rPr>
      </w:pPr>
      <w:r>
        <w:rPr>
          <w:rFonts w:ascii="Arial" w:cs="Arial" w:eastAsia="Arial" w:hAnsi="Arial"/>
          <w:sz w:val="22"/>
          <w:szCs w:val="22"/>
          <w:color w:val="auto"/>
        </w:rPr>
        <w:t>to the Participant, if he or she is not married, on his or her benefit start date in the form of a single life annuity payable in equal monthly installments to the Participant for his or her lifetime; or</w:t>
      </w:r>
    </w:p>
    <w:p>
      <w:pPr>
        <w:spacing w:after="0" w:line="186" w:lineRule="exact"/>
        <w:rPr>
          <w:rFonts w:ascii="Arial" w:cs="Arial" w:eastAsia="Arial" w:hAnsi="Arial"/>
          <w:sz w:val="22"/>
          <w:szCs w:val="22"/>
          <w:color w:val="auto"/>
        </w:rPr>
      </w:pPr>
    </w:p>
    <w:p>
      <w:pPr>
        <w:jc w:val="both"/>
        <w:ind w:left="100" w:right="99" w:firstLine="1949"/>
        <w:spacing w:after="0" w:line="249" w:lineRule="auto"/>
        <w:tabs>
          <w:tab w:leader="none" w:pos="2808" w:val="left"/>
        </w:tabs>
        <w:numPr>
          <w:ilvl w:val="1"/>
          <w:numId w:val="44"/>
        </w:numPr>
        <w:rPr>
          <w:rFonts w:ascii="Arial" w:cs="Arial" w:eastAsia="Arial" w:hAnsi="Arial"/>
          <w:sz w:val="21"/>
          <w:szCs w:val="21"/>
          <w:color w:val="auto"/>
        </w:rPr>
      </w:pPr>
      <w:r>
        <w:rPr>
          <w:rFonts w:ascii="Arial" w:cs="Arial" w:eastAsia="Arial" w:hAnsi="Arial"/>
          <w:sz w:val="21"/>
          <w:szCs w:val="21"/>
          <w:color w:val="auto"/>
        </w:rPr>
        <w:t>to the Participant, if he or she is married, on his or her benefit start date in the form of a joint and survivor annuity with the Participant’s spouse (determined as of the benefit start date) as the beneficiary, payable in equal monthly installments for the Participant’s lifetime and with 50% of the amount of such monthly installment payable after the death of the Participant to such spouse, if then living, for the life of such spouse.</w:t>
      </w:r>
    </w:p>
    <w:p>
      <w:pPr>
        <w:spacing w:after="0" w:line="179" w:lineRule="exact"/>
        <w:rPr>
          <w:sz w:val="20"/>
          <w:szCs w:val="20"/>
          <w:color w:val="auto"/>
        </w:rPr>
      </w:pPr>
    </w:p>
    <w:p>
      <w:pPr>
        <w:jc w:val="both"/>
        <w:ind w:left="100" w:right="99"/>
        <w:spacing w:after="0" w:line="238" w:lineRule="auto"/>
        <w:rPr>
          <w:sz w:val="20"/>
          <w:szCs w:val="20"/>
          <w:color w:val="auto"/>
        </w:rPr>
      </w:pPr>
      <w:r>
        <w:rPr>
          <w:rFonts w:ascii="Arial" w:cs="Arial" w:eastAsia="Arial" w:hAnsi="Arial"/>
          <w:sz w:val="22"/>
          <w:szCs w:val="22"/>
          <w:color w:val="auto"/>
        </w:rPr>
        <w:t>Notwithstanding the foregoing, the Participant may elect, in lieu of the normal form of benefit set forth in Section 4.3(a)(i) or (ii), as applicable, to be paid in any of the forms described in Section 3.2, and shall be subject to adjustment for form of payment and the same Beneficiary designation applicable to the Participant’s Pension Plan benefit.</w:t>
      </w:r>
    </w:p>
    <w:p>
      <w:pPr>
        <w:spacing w:after="0" w:line="185" w:lineRule="exact"/>
        <w:rPr>
          <w:sz w:val="20"/>
          <w:szCs w:val="20"/>
          <w:color w:val="auto"/>
        </w:rPr>
      </w:pPr>
    </w:p>
    <w:p>
      <w:pPr>
        <w:jc w:val="both"/>
        <w:ind w:left="100" w:right="99" w:firstLine="1301"/>
        <w:spacing w:after="0" w:line="247" w:lineRule="exact"/>
        <w:tabs>
          <w:tab w:leader="none" w:pos="2108"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No Benefits Payable Under Pension Plan</w:t>
      </w:r>
      <w:r>
        <w:rPr>
          <w:rFonts w:ascii="Arial" w:cs="Arial" w:eastAsia="Arial" w:hAnsi="Arial"/>
          <w:sz w:val="19"/>
          <w:szCs w:val="19"/>
          <w:color w:val="auto"/>
        </w:rPr>
        <w:t>. In the event a Participant is entitled to a benefit from the Supplemental Plan (409A Non</w:t>
      </w:r>
      <w:r>
        <w:rPr>
          <w:rFonts w:ascii="MS PGothic" w:cs="MS PGothic" w:eastAsia="MS PGothic" w:hAnsi="MS PGothic"/>
          <w:sz w:val="19"/>
          <w:szCs w:val="19"/>
          <w:color w:val="auto"/>
        </w:rPr>
        <w:t>‑</w:t>
      </w:r>
      <w:r>
        <w:rPr>
          <w:rFonts w:ascii="Arial" w:cs="Arial" w:eastAsia="Arial" w:hAnsi="Arial"/>
          <w:sz w:val="19"/>
          <w:szCs w:val="19"/>
          <w:color w:val="auto"/>
        </w:rPr>
        <w:t>Grandfathered Component) but is not vested in a benefit under the Pension Plan, the Participant shall receive payment of his Supplemental Pension determined under Section 4.2 in the automatic form of payment described in Section 8.02 of the Pension Plan, as adjusted for form of payment and the same Beneficiary designation applicable to the Participant’s Pension Plan benefit, that would have applied to the Participant had he been eligible for and started payment under the Pension Plan on the same day.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58" w:name="page59"/>
    <w:bookmarkEnd w:id="58"/>
    <w:tbl>
      <w:tblPr>
        <w:tblLayout w:type="fixed"/>
        <w:tblInd w:w="760" w:type="dxa"/>
        <w:tblCellMar>
          <w:top w:w="0" w:type="dxa"/>
          <w:left w:w="0" w:type="dxa"/>
          <w:bottom w:w="0" w:type="dxa"/>
          <w:right w:w="0" w:type="dxa"/>
        </w:tblCellMar>
      </w:tblPr>
      <w:tr>
        <w:trPr>
          <w:trHeight w:val="281"/>
        </w:trPr>
        <w:tc>
          <w:tcPr>
            <w:tcW w:w="820" w:type="dxa"/>
            <w:vAlign w:val="bottom"/>
          </w:tcPr>
          <w:p>
            <w:pPr>
              <w:spacing w:after="0"/>
              <w:rPr>
                <w:sz w:val="24"/>
                <w:szCs w:val="24"/>
                <w:color w:val="auto"/>
              </w:rPr>
            </w:pPr>
          </w:p>
        </w:tc>
        <w:tc>
          <w:tcPr>
            <w:tcW w:w="7340" w:type="dxa"/>
            <w:vAlign w:val="bottom"/>
          </w:tcPr>
          <w:p>
            <w:pPr>
              <w:jc w:val="center"/>
              <w:ind w:right="1372"/>
              <w:spacing w:after="0"/>
              <w:rPr>
                <w:sz w:val="20"/>
                <w:szCs w:val="20"/>
                <w:color w:val="auto"/>
              </w:rPr>
            </w:pPr>
            <w:r>
              <w:rPr>
                <w:rFonts w:ascii="Arial" w:cs="Arial" w:eastAsia="Arial" w:hAnsi="Arial"/>
                <w:sz w:val="22"/>
                <w:szCs w:val="22"/>
                <w:b w:val="1"/>
                <w:bCs w:val="1"/>
                <w:u w:val="single" w:color="auto"/>
                <w:color w:val="auto"/>
              </w:rPr>
              <w:t>ARTICLE FIVE</w:t>
            </w:r>
          </w:p>
        </w:tc>
      </w:tr>
      <w:tr>
        <w:trPr>
          <w:trHeight w:val="432"/>
        </w:trPr>
        <w:tc>
          <w:tcPr>
            <w:tcW w:w="820" w:type="dxa"/>
            <w:vAlign w:val="bottom"/>
          </w:tcPr>
          <w:p>
            <w:pPr>
              <w:spacing w:after="0"/>
              <w:rPr>
                <w:sz w:val="24"/>
                <w:szCs w:val="24"/>
                <w:color w:val="auto"/>
              </w:rPr>
            </w:pPr>
          </w:p>
        </w:tc>
        <w:tc>
          <w:tcPr>
            <w:tcW w:w="7340" w:type="dxa"/>
            <w:vAlign w:val="bottom"/>
          </w:tcPr>
          <w:p>
            <w:pPr>
              <w:jc w:val="center"/>
              <w:ind w:right="1372"/>
              <w:spacing w:after="0"/>
              <w:rPr>
                <w:sz w:val="20"/>
                <w:szCs w:val="20"/>
                <w:color w:val="auto"/>
              </w:rPr>
            </w:pPr>
            <w:r>
              <w:rPr>
                <w:rFonts w:ascii="Arial" w:cs="Arial" w:eastAsia="Arial" w:hAnsi="Arial"/>
                <w:sz w:val="22"/>
                <w:szCs w:val="22"/>
                <w:b w:val="1"/>
                <w:bCs w:val="1"/>
                <w:u w:val="single" w:color="auto"/>
                <w:color w:val="auto"/>
                <w:w w:val="89"/>
              </w:rPr>
              <w:t>Certain Employee Transfers</w:t>
            </w:r>
          </w:p>
        </w:tc>
      </w:tr>
      <w:tr>
        <w:trPr>
          <w:trHeight w:val="324"/>
        </w:trPr>
        <w:tc>
          <w:tcPr>
            <w:tcW w:w="820" w:type="dxa"/>
            <w:vAlign w:val="bottom"/>
          </w:tcPr>
          <w:p>
            <w:pPr>
              <w:jc w:val="right"/>
              <w:ind w:right="452"/>
              <w:spacing w:after="0"/>
              <w:rPr>
                <w:sz w:val="20"/>
                <w:szCs w:val="20"/>
                <w:color w:val="auto"/>
              </w:rPr>
            </w:pPr>
            <w:r>
              <w:rPr>
                <w:rFonts w:ascii="Arial" w:cs="Arial" w:eastAsia="Arial" w:hAnsi="Arial"/>
                <w:sz w:val="22"/>
                <w:szCs w:val="22"/>
                <w:color w:val="auto"/>
                <w:w w:val="78"/>
              </w:rPr>
              <w:t>5.1</w:t>
            </w:r>
          </w:p>
        </w:tc>
        <w:tc>
          <w:tcPr>
            <w:tcW w:w="7340" w:type="dxa"/>
            <w:vAlign w:val="bottom"/>
          </w:tcPr>
          <w:p>
            <w:pPr>
              <w:ind w:left="560"/>
              <w:spacing w:after="0"/>
              <w:rPr>
                <w:sz w:val="20"/>
                <w:szCs w:val="20"/>
                <w:color w:val="auto"/>
              </w:rPr>
            </w:pPr>
            <w:r>
              <w:rPr>
                <w:rFonts w:ascii="Arial" w:cs="Arial" w:eastAsia="Arial" w:hAnsi="Arial"/>
                <w:sz w:val="22"/>
                <w:szCs w:val="22"/>
                <w:u w:val="single" w:color="auto"/>
                <w:color w:val="auto"/>
                <w:w w:val="90"/>
              </w:rPr>
              <w:t>Transfers into Supplemental Plan from Resources Supplemental Plan</w:t>
            </w:r>
            <w:r>
              <w:rPr>
                <w:rFonts w:ascii="Arial" w:cs="Arial" w:eastAsia="Arial" w:hAnsi="Arial"/>
                <w:sz w:val="22"/>
                <w:szCs w:val="22"/>
                <w:color w:val="auto"/>
                <w:w w:val="90"/>
              </w:rPr>
              <w:t>. If any</w:t>
            </w:r>
          </w:p>
        </w:tc>
      </w:tr>
    </w:tbl>
    <w:p>
      <w:pPr>
        <w:jc w:val="both"/>
        <w:ind w:left="100" w:right="99"/>
        <w:spacing w:after="0" w:line="245" w:lineRule="exact"/>
        <w:rPr>
          <w:sz w:val="20"/>
          <w:szCs w:val="20"/>
          <w:color w:val="auto"/>
        </w:rPr>
      </w:pPr>
      <w:r>
        <w:rPr>
          <w:rFonts w:ascii="Arial" w:cs="Arial" w:eastAsia="Arial" w:hAnsi="Arial"/>
          <w:sz w:val="19"/>
          <w:szCs w:val="19"/>
          <w:color w:val="auto"/>
        </w:rPr>
        <w:t>employee who is a participant in the Supplemental Pension Plan for Exempt Salaried Employees of Union Pacific Resources Company and Affiliates is transferred on or before October 15, 1996 to the Company and becomes a Participant after such transfer, such employee shall retain no rights in the other supplemental pension plan and shall receive all benefits to which entitled under this Supplemental Plan (409A Non</w:t>
      </w:r>
      <w:r>
        <w:rPr>
          <w:rFonts w:ascii="MS PGothic" w:cs="MS PGothic" w:eastAsia="MS PGothic" w:hAnsi="MS PGothic"/>
          <w:sz w:val="19"/>
          <w:szCs w:val="19"/>
          <w:color w:val="auto"/>
        </w:rPr>
        <w:t>‑</w:t>
      </w:r>
      <w:r>
        <w:rPr>
          <w:rFonts w:ascii="Arial" w:cs="Arial" w:eastAsia="Arial" w:hAnsi="Arial"/>
          <w:sz w:val="19"/>
          <w:szCs w:val="19"/>
          <w:color w:val="auto"/>
        </w:rPr>
        <w:t>Grandfathered Component), based upon Total Credited Service and Total Offset Service which shall include, as to such employee, any service which would have been used in determining the Participant’s benefits under such other supplemental pension plan.</w:t>
      </w:r>
    </w:p>
    <w:p>
      <w:pPr>
        <w:spacing w:after="0" w:line="186" w:lineRule="exact"/>
        <w:rPr>
          <w:sz w:val="20"/>
          <w:szCs w:val="20"/>
          <w:color w:val="auto"/>
        </w:rPr>
      </w:pPr>
    </w:p>
    <w:p>
      <w:pPr>
        <w:ind w:left="760"/>
        <w:spacing w:after="0"/>
        <w:tabs>
          <w:tab w:leader="none" w:pos="210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u w:val="single" w:color="auto"/>
          <w:color w:val="auto"/>
        </w:rPr>
        <w:t>Transfers to Resources Supplemental Plan</w:t>
      </w:r>
      <w:r>
        <w:rPr>
          <w:rFonts w:ascii="Arial" w:cs="Arial" w:eastAsia="Arial" w:hAnsi="Arial"/>
          <w:sz w:val="19"/>
          <w:szCs w:val="19"/>
          <w:color w:val="auto"/>
        </w:rPr>
        <w:t>. If a Participant is transferred on or</w:t>
      </w:r>
    </w:p>
    <w:p>
      <w:pPr>
        <w:spacing w:after="0" w:line="8" w:lineRule="exact"/>
        <w:rPr>
          <w:sz w:val="20"/>
          <w:szCs w:val="20"/>
          <w:color w:val="auto"/>
        </w:rPr>
      </w:pPr>
    </w:p>
    <w:p>
      <w:pPr>
        <w:jc w:val="both"/>
        <w:ind w:left="100" w:right="99"/>
        <w:spacing w:after="0" w:line="244" w:lineRule="auto"/>
        <w:rPr>
          <w:sz w:val="20"/>
          <w:szCs w:val="20"/>
          <w:color w:val="auto"/>
        </w:rPr>
      </w:pPr>
      <w:r>
        <w:rPr>
          <w:rFonts w:ascii="Arial" w:cs="Arial" w:eastAsia="Arial" w:hAnsi="Arial"/>
          <w:sz w:val="21"/>
          <w:szCs w:val="21"/>
          <w:color w:val="auto"/>
        </w:rPr>
        <w:t>before October 15, 1996 to an Affiliated Company participating in the Supplemental Pension Plan for Exempt Salaried Employees of Union Pacific Resources Company and Affiliates and becomes a participant in the supplemental pension plan of the Affiliated Company after such transfer, such former Participant shall retain no rights in this Supplemental Plan if such other supplemental pension plan has provisions that substantially conform to the transfer provisions for the protection of transferees that are contained in Section 5.1.</w:t>
      </w:r>
    </w:p>
    <w:p>
      <w:pPr>
        <w:spacing w:after="0" w:line="184" w:lineRule="exact"/>
        <w:rPr>
          <w:sz w:val="20"/>
          <w:szCs w:val="20"/>
          <w:color w:val="auto"/>
        </w:rPr>
      </w:pPr>
    </w:p>
    <w:p>
      <w:pPr>
        <w:jc w:val="both"/>
        <w:ind w:left="100" w:right="99" w:firstLine="648"/>
        <w:spacing w:after="0" w:line="258" w:lineRule="auto"/>
        <w:rPr>
          <w:sz w:val="20"/>
          <w:szCs w:val="20"/>
          <w:color w:val="auto"/>
        </w:rPr>
      </w:pPr>
      <w:r>
        <w:rPr>
          <w:rFonts w:ascii="Arial" w:cs="Arial" w:eastAsia="Arial" w:hAnsi="Arial"/>
          <w:sz w:val="21"/>
          <w:szCs w:val="21"/>
          <w:color w:val="auto"/>
        </w:rPr>
        <w:t xml:space="preserve">5.3 </w:t>
      </w:r>
      <w:r>
        <w:rPr>
          <w:rFonts w:ascii="Arial" w:cs="Arial" w:eastAsia="Arial" w:hAnsi="Arial"/>
          <w:sz w:val="21"/>
          <w:szCs w:val="21"/>
          <w:u w:val="single" w:color="auto"/>
          <w:color w:val="auto"/>
        </w:rPr>
        <w:t>No Duplication of Benefits</w:t>
      </w:r>
      <w:r>
        <w:rPr>
          <w:rFonts w:ascii="Arial" w:cs="Arial" w:eastAsia="Arial" w:hAnsi="Arial"/>
          <w:sz w:val="21"/>
          <w:szCs w:val="21"/>
          <w:color w:val="auto"/>
        </w:rPr>
        <w:t>. There shall under no circumstances be any duplication of benefits under this Supplemental Plan or any supplemental pension plan of an Affiliated Company or former Affiliated Company by reason of the same period of employment.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59" w:name="page60"/>
    <w:bookmarkEnd w:id="59"/>
    <w:tbl>
      <w:tblPr>
        <w:tblLayout w:type="fixed"/>
        <w:tblInd w:w="760" w:type="dxa"/>
        <w:tblCellMar>
          <w:top w:w="0" w:type="dxa"/>
          <w:left w:w="0" w:type="dxa"/>
          <w:bottom w:w="0" w:type="dxa"/>
          <w:right w:w="0" w:type="dxa"/>
        </w:tblCellMar>
      </w:tblPr>
      <w:tr>
        <w:trPr>
          <w:trHeight w:val="281"/>
        </w:trPr>
        <w:tc>
          <w:tcPr>
            <w:tcW w:w="840" w:type="dxa"/>
            <w:vAlign w:val="bottom"/>
          </w:tcPr>
          <w:p>
            <w:pPr>
              <w:spacing w:after="0"/>
              <w:rPr>
                <w:sz w:val="24"/>
                <w:szCs w:val="24"/>
                <w:color w:val="auto"/>
              </w:rPr>
            </w:pPr>
          </w:p>
        </w:tc>
        <w:tc>
          <w:tcPr>
            <w:tcW w:w="7320" w:type="dxa"/>
            <w:vAlign w:val="bottom"/>
          </w:tcPr>
          <w:p>
            <w:pPr>
              <w:jc w:val="center"/>
              <w:ind w:right="1392"/>
              <w:spacing w:after="0"/>
              <w:rPr>
                <w:sz w:val="20"/>
                <w:szCs w:val="20"/>
                <w:color w:val="auto"/>
              </w:rPr>
            </w:pPr>
            <w:r>
              <w:rPr>
                <w:rFonts w:ascii="Arial" w:cs="Arial" w:eastAsia="Arial" w:hAnsi="Arial"/>
                <w:sz w:val="22"/>
                <w:szCs w:val="22"/>
                <w:b w:val="1"/>
                <w:bCs w:val="1"/>
                <w:u w:val="single" w:color="auto"/>
                <w:color w:val="auto"/>
              </w:rPr>
              <w:t>ARTICLE SIX</w:t>
            </w:r>
          </w:p>
        </w:tc>
      </w:tr>
      <w:tr>
        <w:trPr>
          <w:trHeight w:val="432"/>
        </w:trPr>
        <w:tc>
          <w:tcPr>
            <w:tcW w:w="840" w:type="dxa"/>
            <w:vAlign w:val="bottom"/>
          </w:tcPr>
          <w:p>
            <w:pPr>
              <w:spacing w:after="0"/>
              <w:rPr>
                <w:sz w:val="24"/>
                <w:szCs w:val="24"/>
                <w:color w:val="auto"/>
              </w:rPr>
            </w:pPr>
          </w:p>
        </w:tc>
        <w:tc>
          <w:tcPr>
            <w:tcW w:w="7320" w:type="dxa"/>
            <w:vAlign w:val="bottom"/>
          </w:tcPr>
          <w:p>
            <w:pPr>
              <w:jc w:val="center"/>
              <w:ind w:right="1392"/>
              <w:spacing w:after="0"/>
              <w:rPr>
                <w:sz w:val="20"/>
                <w:szCs w:val="20"/>
                <w:color w:val="auto"/>
              </w:rPr>
            </w:pPr>
            <w:r>
              <w:rPr>
                <w:rFonts w:ascii="Arial" w:cs="Arial" w:eastAsia="Arial" w:hAnsi="Arial"/>
                <w:sz w:val="22"/>
                <w:szCs w:val="22"/>
                <w:b w:val="1"/>
                <w:bCs w:val="1"/>
                <w:u w:val="single" w:color="auto"/>
                <w:color w:val="auto"/>
                <w:w w:val="90"/>
              </w:rPr>
              <w:t>Pre-Retirement Survivor’s Benefit</w:t>
            </w:r>
          </w:p>
        </w:tc>
      </w:tr>
      <w:tr>
        <w:trPr>
          <w:trHeight w:val="324"/>
        </w:trPr>
        <w:tc>
          <w:tcPr>
            <w:tcW w:w="840" w:type="dxa"/>
            <w:vAlign w:val="bottom"/>
          </w:tcPr>
          <w:p>
            <w:pPr>
              <w:jc w:val="right"/>
              <w:ind w:right="472"/>
              <w:spacing w:after="0"/>
              <w:rPr>
                <w:sz w:val="20"/>
                <w:szCs w:val="20"/>
                <w:color w:val="auto"/>
              </w:rPr>
            </w:pPr>
            <w:r>
              <w:rPr>
                <w:rFonts w:ascii="Arial" w:cs="Arial" w:eastAsia="Arial" w:hAnsi="Arial"/>
                <w:sz w:val="22"/>
                <w:szCs w:val="22"/>
                <w:color w:val="auto"/>
                <w:w w:val="78"/>
              </w:rPr>
              <w:t>6.1</w:t>
            </w:r>
          </w:p>
        </w:tc>
        <w:tc>
          <w:tcPr>
            <w:tcW w:w="7320" w:type="dxa"/>
            <w:vAlign w:val="bottom"/>
          </w:tcPr>
          <w:p>
            <w:pPr>
              <w:ind w:left="580"/>
              <w:spacing w:after="0"/>
              <w:rPr>
                <w:sz w:val="20"/>
                <w:szCs w:val="20"/>
                <w:color w:val="auto"/>
              </w:rPr>
            </w:pPr>
            <w:r>
              <w:rPr>
                <w:rFonts w:ascii="Arial" w:cs="Arial" w:eastAsia="Arial" w:hAnsi="Arial"/>
                <w:sz w:val="22"/>
                <w:szCs w:val="22"/>
                <w:u w:val="single" w:color="auto"/>
                <w:color w:val="auto"/>
              </w:rPr>
              <w:t>Eligibility</w:t>
            </w:r>
            <w:r>
              <w:rPr>
                <w:rFonts w:ascii="Arial" w:cs="Arial" w:eastAsia="Arial" w:hAnsi="Arial"/>
                <w:sz w:val="22"/>
                <w:szCs w:val="22"/>
                <w:color w:val="auto"/>
              </w:rPr>
              <w:t>. The Surviving Spouse of a Participant who either (a) has a</w:t>
            </w:r>
          </w:p>
        </w:tc>
      </w:tr>
    </w:tbl>
    <w:p>
      <w:pPr>
        <w:jc w:val="both"/>
        <w:ind w:left="100" w:right="99"/>
        <w:spacing w:after="0" w:line="233" w:lineRule="auto"/>
        <w:rPr>
          <w:sz w:val="20"/>
          <w:szCs w:val="20"/>
          <w:color w:val="auto"/>
        </w:rPr>
      </w:pPr>
      <w:r>
        <w:rPr>
          <w:rFonts w:ascii="Arial" w:cs="Arial" w:eastAsia="Arial" w:hAnsi="Arial"/>
          <w:sz w:val="22"/>
          <w:szCs w:val="22"/>
          <w:color w:val="auto"/>
        </w:rPr>
        <w:t>Separation from Service due to death, or (b) (i) has a Separation from Service other than due to death after becoming entitled to a Supplemental Pension under Article Two or Article Four, and (ii) dies prior to the commencement of payment of the Supplemental Pension shall receive the benefit determined pursuant to Section 6.2.</w:t>
      </w:r>
    </w:p>
    <w:p>
      <w:pPr>
        <w:spacing w:after="0" w:line="188" w:lineRule="exact"/>
        <w:rPr>
          <w:sz w:val="20"/>
          <w:szCs w:val="20"/>
          <w:color w:val="auto"/>
        </w:rPr>
      </w:pPr>
    </w:p>
    <w:p>
      <w:pPr>
        <w:ind w:left="760"/>
        <w:spacing w:after="0"/>
        <w:tabs>
          <w:tab w:leader="none" w:pos="210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u w:val="single" w:color="auto"/>
          <w:color w:val="auto"/>
        </w:rPr>
        <w:t>Surviving Spouse’s Benefit</w:t>
      </w:r>
      <w:r>
        <w:rPr>
          <w:rFonts w:ascii="Arial" w:cs="Arial" w:eastAsia="Arial" w:hAnsi="Arial"/>
          <w:sz w:val="19"/>
          <w:szCs w:val="19"/>
          <w:color w:val="auto"/>
        </w:rPr>
        <w:t>.</w:t>
      </w:r>
    </w:p>
    <w:p>
      <w:pPr>
        <w:spacing w:after="0" w:line="206" w:lineRule="exact"/>
        <w:rPr>
          <w:sz w:val="20"/>
          <w:szCs w:val="20"/>
          <w:color w:val="auto"/>
        </w:rPr>
      </w:pPr>
    </w:p>
    <w:p>
      <w:pPr>
        <w:ind w:left="2100" w:hanging="699"/>
        <w:spacing w:after="0"/>
        <w:tabs>
          <w:tab w:leader="none" w:pos="2100"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Subsidized Death Benefits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00" w:right="99" w:firstLine="1949"/>
        <w:spacing w:after="0" w:line="251" w:lineRule="auto"/>
        <w:tabs>
          <w:tab w:leader="none" w:pos="2816" w:val="left"/>
        </w:tabs>
        <w:numPr>
          <w:ilvl w:val="1"/>
          <w:numId w:val="46"/>
        </w:numPr>
        <w:rPr>
          <w:rFonts w:ascii="Arial" w:cs="Arial" w:eastAsia="Arial" w:hAnsi="Arial"/>
          <w:sz w:val="22"/>
          <w:szCs w:val="22"/>
          <w:color w:val="auto"/>
        </w:rPr>
      </w:pPr>
      <w:r>
        <w:rPr>
          <w:rFonts w:ascii="Arial" w:cs="Arial" w:eastAsia="Arial" w:hAnsi="Arial"/>
          <w:sz w:val="22"/>
          <w:szCs w:val="22"/>
          <w:color w:val="auto"/>
        </w:rPr>
        <w:t>Except as provided in subsection (ii), the benefit payable to the Surviving Spouse of a Participant described in Section 6.1 who dies:</w:t>
      </w:r>
    </w:p>
    <w:p>
      <w:pPr>
        <w:spacing w:after="0" w:line="173" w:lineRule="exact"/>
        <w:rPr>
          <w:rFonts w:ascii="Arial" w:cs="Arial" w:eastAsia="Arial" w:hAnsi="Arial"/>
          <w:sz w:val="22"/>
          <w:szCs w:val="22"/>
          <w:color w:val="auto"/>
        </w:rPr>
      </w:pPr>
    </w:p>
    <w:p>
      <w:pPr>
        <w:ind w:left="100" w:right="99" w:firstLine="2598"/>
        <w:spacing w:after="0" w:line="251" w:lineRule="auto"/>
        <w:tabs>
          <w:tab w:leader="none" w:pos="3438" w:val="left"/>
        </w:tabs>
        <w:numPr>
          <w:ilvl w:val="2"/>
          <w:numId w:val="46"/>
        </w:numPr>
        <w:rPr>
          <w:rFonts w:ascii="Arial" w:cs="Arial" w:eastAsia="Arial" w:hAnsi="Arial"/>
          <w:sz w:val="22"/>
          <w:szCs w:val="22"/>
          <w:color w:val="auto"/>
        </w:rPr>
      </w:pPr>
      <w:r>
        <w:rPr>
          <w:rFonts w:ascii="Arial" w:cs="Arial" w:eastAsia="Arial" w:hAnsi="Arial"/>
          <w:sz w:val="22"/>
          <w:szCs w:val="22"/>
          <w:color w:val="auto"/>
        </w:rPr>
        <w:t>before his or her Separation from Service and before Early or Normal Retirement Date under the terms of the Pension Plan;</w:t>
      </w:r>
    </w:p>
    <w:p>
      <w:pPr>
        <w:spacing w:after="0" w:line="173" w:lineRule="exact"/>
        <w:rPr>
          <w:rFonts w:ascii="Arial" w:cs="Arial" w:eastAsia="Arial" w:hAnsi="Arial"/>
          <w:sz w:val="22"/>
          <w:szCs w:val="22"/>
          <w:color w:val="auto"/>
        </w:rPr>
      </w:pPr>
    </w:p>
    <w:p>
      <w:pPr>
        <w:ind w:left="3460" w:hanging="762"/>
        <w:spacing w:after="0"/>
        <w:tabs>
          <w:tab w:leader="none" w:pos="3460" w:val="left"/>
        </w:tabs>
        <w:numPr>
          <w:ilvl w:val="2"/>
          <w:numId w:val="46"/>
        </w:numPr>
        <w:rPr>
          <w:rFonts w:ascii="Arial" w:cs="Arial" w:eastAsia="Arial" w:hAnsi="Arial"/>
          <w:sz w:val="19"/>
          <w:szCs w:val="19"/>
          <w:color w:val="auto"/>
        </w:rPr>
      </w:pPr>
      <w:r>
        <w:rPr>
          <w:rFonts w:ascii="Arial" w:cs="Arial" w:eastAsia="Arial" w:hAnsi="Arial"/>
          <w:sz w:val="19"/>
          <w:szCs w:val="19"/>
          <w:color w:val="auto"/>
        </w:rPr>
        <w:t>before his or her Separation from Service and after Early or</w:t>
      </w:r>
    </w:p>
    <w:p>
      <w:pPr>
        <w:spacing w:after="0" w:line="42" w:lineRule="exact"/>
        <w:rPr>
          <w:rFonts w:ascii="Arial" w:cs="Arial" w:eastAsia="Arial" w:hAnsi="Arial"/>
          <w:sz w:val="19"/>
          <w:szCs w:val="19"/>
          <w:color w:val="auto"/>
        </w:rPr>
      </w:pPr>
    </w:p>
    <w:p>
      <w:pPr>
        <w:ind w:left="100"/>
        <w:spacing w:after="0"/>
        <w:rPr>
          <w:rFonts w:ascii="Arial" w:cs="Arial" w:eastAsia="Arial" w:hAnsi="Arial"/>
          <w:sz w:val="19"/>
          <w:szCs w:val="19"/>
          <w:color w:val="auto"/>
        </w:rPr>
      </w:pPr>
      <w:r>
        <w:rPr>
          <w:rFonts w:ascii="Arial" w:cs="Arial" w:eastAsia="Arial" w:hAnsi="Arial"/>
          <w:sz w:val="22"/>
          <w:szCs w:val="22"/>
          <w:color w:val="auto"/>
        </w:rPr>
        <w:t>Normal Retirement Date under the terms of the Pension Plan; or</w:t>
      </w:r>
    </w:p>
    <w:p>
      <w:pPr>
        <w:spacing w:after="0" w:line="188" w:lineRule="exact"/>
        <w:rPr>
          <w:rFonts w:ascii="Arial" w:cs="Arial" w:eastAsia="Arial" w:hAnsi="Arial"/>
          <w:sz w:val="19"/>
          <w:szCs w:val="19"/>
          <w:color w:val="auto"/>
        </w:rPr>
      </w:pPr>
    </w:p>
    <w:p>
      <w:pPr>
        <w:jc w:val="both"/>
        <w:ind w:left="100" w:right="99" w:firstLine="2598"/>
        <w:spacing w:after="0"/>
        <w:tabs>
          <w:tab w:leader="none" w:pos="3481" w:val="left"/>
        </w:tabs>
        <w:numPr>
          <w:ilvl w:val="2"/>
          <w:numId w:val="46"/>
        </w:numPr>
        <w:rPr>
          <w:rFonts w:ascii="Arial" w:cs="Arial" w:eastAsia="Arial" w:hAnsi="Arial"/>
          <w:sz w:val="22"/>
          <w:szCs w:val="22"/>
          <w:color w:val="auto"/>
        </w:rPr>
      </w:pPr>
      <w:r>
        <w:rPr>
          <w:rFonts w:ascii="Arial" w:cs="Arial" w:eastAsia="Arial" w:hAnsi="Arial"/>
          <w:sz w:val="22"/>
          <w:szCs w:val="22"/>
          <w:color w:val="auto"/>
        </w:rPr>
        <w:t>after his or her Separation from Service, providing such Separation from Service occurred after Early or Normal Retirement Date under the terms of the Pension Plan,</w:t>
      </w:r>
    </w:p>
    <w:p>
      <w:pPr>
        <w:spacing w:after="0" w:line="186" w:lineRule="exact"/>
        <w:rPr>
          <w:sz w:val="20"/>
          <w:szCs w:val="20"/>
          <w:color w:val="auto"/>
        </w:rPr>
      </w:pPr>
    </w:p>
    <w:p>
      <w:pPr>
        <w:jc w:val="both"/>
        <w:ind w:left="100" w:right="99"/>
        <w:spacing w:after="0" w:line="246" w:lineRule="exact"/>
        <w:rPr>
          <w:sz w:val="20"/>
          <w:szCs w:val="20"/>
          <w:color w:val="auto"/>
        </w:rPr>
      </w:pPr>
      <w:r>
        <w:rPr>
          <w:rFonts w:ascii="Arial" w:cs="Arial" w:eastAsia="Arial" w:hAnsi="Arial"/>
          <w:sz w:val="19"/>
          <w:szCs w:val="19"/>
          <w:color w:val="auto"/>
        </w:rPr>
        <w:t>shall be a monthly annuity payable for the Surviving Spouse’s life. Monthly payments to the Surviving Spouse shall equal one-half of the monthly Supplemental Pension such Participant would have received (assuming, for a Participant described in Section 6.1(a), the Participant had vested) in the form of a single life annuity, if the Participant had survived (but accrued no additional benefits after death) and started his Supplemental Pension on the date Supplemental Plan (409A Non</w:t>
      </w:r>
      <w:r>
        <w:rPr>
          <w:rFonts w:ascii="MS PGothic" w:cs="MS PGothic" w:eastAsia="MS PGothic" w:hAnsi="MS PGothic"/>
          <w:sz w:val="19"/>
          <w:szCs w:val="19"/>
          <w:color w:val="auto"/>
        </w:rPr>
        <w:t>‑</w:t>
      </w:r>
      <w:r>
        <w:rPr>
          <w:rFonts w:ascii="Arial" w:cs="Arial" w:eastAsia="Arial" w:hAnsi="Arial"/>
          <w:sz w:val="19"/>
          <w:szCs w:val="19"/>
          <w:color w:val="auto"/>
        </w:rPr>
        <w:t>Grandfathered Component) benefits begin to the Surviving Spouse under Section 6.3. Notwithstanding anything in the Supplemental Plan (409A Non</w:t>
      </w:r>
      <w:r>
        <w:rPr>
          <w:rFonts w:ascii="MS PGothic" w:cs="MS PGothic" w:eastAsia="MS PGothic" w:hAnsi="MS PGothic"/>
          <w:sz w:val="19"/>
          <w:szCs w:val="19"/>
          <w:color w:val="auto"/>
        </w:rPr>
        <w:t>‑</w:t>
      </w:r>
      <w:r>
        <w:rPr>
          <w:rFonts w:ascii="Arial" w:cs="Arial" w:eastAsia="Arial" w:hAnsi="Arial"/>
          <w:sz w:val="19"/>
          <w:szCs w:val="19"/>
          <w:color w:val="auto"/>
        </w:rPr>
        <w:t>Grandfathered Component) to the contrary, the Surviving Spouse’s benefit with respect to a Participant described in (A), above, shall be determined by applying, for purposes of any adjustment for payment prior to Normal Retirement Date, the early retirement reduction factors of Section 6.03 of the Pension Plan.</w:t>
      </w:r>
    </w:p>
    <w:p>
      <w:pPr>
        <w:spacing w:after="0" w:line="189" w:lineRule="exact"/>
        <w:rPr>
          <w:sz w:val="20"/>
          <w:szCs w:val="20"/>
          <w:color w:val="auto"/>
        </w:rPr>
      </w:pPr>
    </w:p>
    <w:p>
      <w:pPr>
        <w:jc w:val="both"/>
        <w:ind w:left="100" w:right="99" w:firstLine="1949"/>
        <w:spacing w:after="0" w:line="275" w:lineRule="auto"/>
        <w:tabs>
          <w:tab w:leader="none" w:pos="2795" w:val="left"/>
        </w:tabs>
        <w:numPr>
          <w:ilvl w:val="0"/>
          <w:numId w:val="47"/>
        </w:numPr>
        <w:rPr>
          <w:rFonts w:ascii="Arial" w:cs="Arial" w:eastAsia="Arial" w:hAnsi="Arial"/>
          <w:sz w:val="19"/>
          <w:szCs w:val="19"/>
          <w:color w:val="auto"/>
        </w:rPr>
      </w:pPr>
      <w:r>
        <w:rPr>
          <w:rFonts w:ascii="Arial" w:cs="Arial" w:eastAsia="Arial" w:hAnsi="Arial"/>
          <w:sz w:val="19"/>
          <w:szCs w:val="19"/>
          <w:color w:val="auto"/>
        </w:rPr>
        <w:t>The benefit payable to the Surviving Spouse of a Participant described in Section 6.1, who dies other than under circumstances described in Section 6.2(a)(i) or 6.2(a)(iii) but after becoming eligible for an Early Supplemental Pension under Section 2.2 based on an Early Supplemental Pension Retirement Date, shall be an annuity payable for the Surviving Spouse’s life calculated as follows. Monthly payments to the Surviving Spouse shall equal one-half of the monthly Supplemental Pension in the form of a single life annuity calculated for the Participant as described in Section 2.2(b) as if the Participant had survived (but accrued no additional benefits after death) and started his Supplemental Pension on the date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60" w:name="page61"/>
    <w:bookmarkEnd w:id="60"/>
    <w:p>
      <w:pPr>
        <w:ind w:left="100" w:right="99"/>
        <w:spacing w:after="0" w:line="259" w:lineRule="exact"/>
        <w:rPr>
          <w:sz w:val="20"/>
          <w:szCs w:val="20"/>
          <w:color w:val="auto"/>
        </w:rPr>
      </w:pPr>
      <w:r>
        <w:rPr>
          <w:rFonts w:ascii="Arial" w:cs="Arial" w:eastAsia="Arial" w:hAnsi="Arial"/>
          <w:sz w:val="22"/>
          <w:szCs w:val="22"/>
          <w:color w:val="auto"/>
        </w:rPr>
        <w:t>Supplemental Plan (409A Non</w:t>
      </w:r>
      <w:r>
        <w:rPr>
          <w:rFonts w:ascii="MS PGothic" w:cs="MS PGothic" w:eastAsia="MS PGothic" w:hAnsi="MS PGothic"/>
          <w:sz w:val="22"/>
          <w:szCs w:val="22"/>
          <w:color w:val="auto"/>
        </w:rPr>
        <w:t>‑</w:t>
      </w:r>
      <w:r>
        <w:rPr>
          <w:rFonts w:ascii="Arial" w:cs="Arial" w:eastAsia="Arial" w:hAnsi="Arial"/>
          <w:sz w:val="22"/>
          <w:szCs w:val="22"/>
          <w:color w:val="auto"/>
        </w:rPr>
        <w:t>Grandfathered Component) benefits begin to the Surviving Spouse under Section 6.3.</w:t>
      </w:r>
    </w:p>
    <w:p>
      <w:pPr>
        <w:spacing w:after="0" w:line="186" w:lineRule="exact"/>
        <w:rPr>
          <w:sz w:val="20"/>
          <w:szCs w:val="20"/>
          <w:color w:val="auto"/>
        </w:rPr>
      </w:pPr>
    </w:p>
    <w:p>
      <w:pPr>
        <w:jc w:val="both"/>
        <w:ind w:left="100" w:right="99" w:firstLine="1949"/>
        <w:spacing w:after="0" w:line="245" w:lineRule="exact"/>
        <w:tabs>
          <w:tab w:leader="none" w:pos="2814" w:val="left"/>
        </w:tabs>
        <w:numPr>
          <w:ilvl w:val="1"/>
          <w:numId w:val="48"/>
        </w:numPr>
        <w:rPr>
          <w:rFonts w:ascii="Arial" w:cs="Arial" w:eastAsia="Arial" w:hAnsi="Arial"/>
          <w:sz w:val="21"/>
          <w:szCs w:val="21"/>
          <w:color w:val="auto"/>
        </w:rPr>
      </w:pPr>
      <w:r>
        <w:rPr>
          <w:rFonts w:ascii="Arial" w:cs="Arial" w:eastAsia="Arial" w:hAnsi="Arial"/>
          <w:sz w:val="21"/>
          <w:szCs w:val="21"/>
          <w:color w:val="auto"/>
        </w:rPr>
        <w:t>In addition to any other benefit due to the Surviving Spouse under this Supplemental Plan (409A Non</w:t>
      </w:r>
      <w:r>
        <w:rPr>
          <w:rFonts w:ascii="MS PGothic" w:cs="MS PGothic" w:eastAsia="MS PGothic" w:hAnsi="MS PGothic"/>
          <w:sz w:val="21"/>
          <w:szCs w:val="21"/>
          <w:color w:val="auto"/>
        </w:rPr>
        <w:t>‑</w:t>
      </w:r>
      <w:r>
        <w:rPr>
          <w:rFonts w:ascii="Arial" w:cs="Arial" w:eastAsia="Arial" w:hAnsi="Arial"/>
          <w:sz w:val="21"/>
          <w:szCs w:val="21"/>
          <w:color w:val="auto"/>
        </w:rPr>
        <w:t>Grandfathered Component), if a Participant dies while a Disabled Participant but before Early or Normal Retirement Date under the terms of the Pension Plan (as determined for purposes of the Additional Disability Pay Benefit), the Surviving Spouse shall be entitled to an additional monthly annuity payable for the Surviving Spouse’s life. Monthly payments to the Surviving Spouse shall equal one</w:t>
      </w:r>
      <w:r>
        <w:rPr>
          <w:rFonts w:ascii="MS PGothic" w:cs="MS PGothic" w:eastAsia="MS PGothic" w:hAnsi="MS PGothic"/>
          <w:sz w:val="21"/>
          <w:szCs w:val="21"/>
          <w:color w:val="auto"/>
        </w:rPr>
        <w:t>‑</w:t>
      </w:r>
      <w:r>
        <w:rPr>
          <w:rFonts w:ascii="Arial" w:cs="Arial" w:eastAsia="Arial" w:hAnsi="Arial"/>
          <w:sz w:val="21"/>
          <w:szCs w:val="21"/>
          <w:color w:val="auto"/>
        </w:rPr>
        <w:t>half of the monthly Additional Disability Pay Benefit such Disabled Participant would have received (assuming the Disabled Participant had vested) in the form of a single life annuity, if the Disabled Participant had survived (but accrued no additional benefits after death) and started his Additional Disability Pay Benefit on the date the Supplemental Plan (409A Non</w:t>
      </w:r>
      <w:r>
        <w:rPr>
          <w:rFonts w:ascii="MS PGothic" w:cs="MS PGothic" w:eastAsia="MS PGothic" w:hAnsi="MS PGothic"/>
          <w:sz w:val="21"/>
          <w:szCs w:val="21"/>
          <w:color w:val="auto"/>
        </w:rPr>
        <w:t>‑</w:t>
      </w:r>
      <w:r>
        <w:rPr>
          <w:rFonts w:ascii="Arial" w:cs="Arial" w:eastAsia="Arial" w:hAnsi="Arial"/>
          <w:sz w:val="21"/>
          <w:szCs w:val="21"/>
          <w:color w:val="auto"/>
        </w:rPr>
        <w:t>Grandfathered Component) benefits described in this Section 6.2(a)(iii) begin to the Surviving Spouse under Section 6.3. Notwithstanding anything in the Supplemental Plan (409A Non</w:t>
      </w:r>
      <w:r>
        <w:rPr>
          <w:rFonts w:ascii="MS PGothic" w:cs="MS PGothic" w:eastAsia="MS PGothic" w:hAnsi="MS PGothic"/>
          <w:sz w:val="21"/>
          <w:szCs w:val="21"/>
          <w:color w:val="auto"/>
        </w:rPr>
        <w:t>‑</w:t>
      </w:r>
      <w:r>
        <w:rPr>
          <w:rFonts w:ascii="Arial" w:cs="Arial" w:eastAsia="Arial" w:hAnsi="Arial"/>
          <w:sz w:val="21"/>
          <w:szCs w:val="21"/>
          <w:color w:val="auto"/>
        </w:rPr>
        <w:t>Grandfathered Component) to the contrary, the Surviving Spouse’s benefit described in this Section 6.2(a)(iii) shall be determined by applying, for purposes of any adjustment for payment prior to Normal Retirement Date, the early retirement reduction factors of Section 6.03 of the Pension Plan.</w:t>
      </w:r>
    </w:p>
    <w:p>
      <w:pPr>
        <w:spacing w:after="0" w:line="194" w:lineRule="exact"/>
        <w:rPr>
          <w:rFonts w:ascii="Arial" w:cs="Arial" w:eastAsia="Arial" w:hAnsi="Arial"/>
          <w:sz w:val="21"/>
          <w:szCs w:val="21"/>
          <w:color w:val="auto"/>
        </w:rPr>
      </w:pPr>
    </w:p>
    <w:p>
      <w:pPr>
        <w:jc w:val="both"/>
        <w:ind w:left="100" w:right="99" w:firstLine="1301"/>
        <w:spacing w:after="0" w:line="247" w:lineRule="exact"/>
        <w:tabs>
          <w:tab w:leader="none" w:pos="2108" w:val="left"/>
        </w:tabs>
        <w:numPr>
          <w:ilvl w:val="0"/>
          <w:numId w:val="49"/>
        </w:numPr>
        <w:rPr>
          <w:rFonts w:ascii="Arial" w:cs="Arial" w:eastAsia="Arial" w:hAnsi="Arial"/>
          <w:sz w:val="21"/>
          <w:szCs w:val="21"/>
          <w:color w:val="auto"/>
        </w:rPr>
      </w:pPr>
      <w:r>
        <w:rPr>
          <w:rFonts w:ascii="Arial" w:cs="Arial" w:eastAsia="Arial" w:hAnsi="Arial"/>
          <w:sz w:val="21"/>
          <w:szCs w:val="21"/>
          <w:u w:val="single" w:color="auto"/>
          <w:color w:val="auto"/>
        </w:rPr>
        <w:t>Non-Subsidized Death Benefits</w:t>
      </w:r>
      <w:r>
        <w:rPr>
          <w:rFonts w:ascii="Arial" w:cs="Arial" w:eastAsia="Arial" w:hAnsi="Arial"/>
          <w:sz w:val="21"/>
          <w:szCs w:val="21"/>
          <w:color w:val="auto"/>
        </w:rPr>
        <w:t>. The benefit payable to the Surviving Spouse of a Participant described in Section 6.1 who dies under circumstances other than those described in Section 6.2(a) shall be an annuity payable for the Surviving Spouse’s life with monthly payments equal to 50% of the monthly Supplemental Pension the Participant would have received in the form of a Qualified Joint and Survivor Annuity determined as if the Participant had survived (and accrued no additional benefits after his death) and started his Supplemental Pension on the date Supplemental Plan (409A Non</w:t>
      </w:r>
      <w:r>
        <w:rPr>
          <w:rFonts w:ascii="MS PGothic" w:cs="MS PGothic" w:eastAsia="MS PGothic" w:hAnsi="MS PGothic"/>
          <w:sz w:val="21"/>
          <w:szCs w:val="21"/>
          <w:color w:val="auto"/>
        </w:rPr>
        <w:t>‑</w:t>
      </w:r>
      <w:r>
        <w:rPr>
          <w:rFonts w:ascii="Arial" w:cs="Arial" w:eastAsia="Arial" w:hAnsi="Arial"/>
          <w:sz w:val="21"/>
          <w:szCs w:val="21"/>
          <w:color w:val="auto"/>
        </w:rPr>
        <w:t>Grandfathered Component) benefits begin to the Surviving Spouse under Section 6.3.</w:t>
      </w:r>
    </w:p>
    <w:p>
      <w:pPr>
        <w:spacing w:after="0" w:line="189" w:lineRule="exact"/>
        <w:rPr>
          <w:sz w:val="20"/>
          <w:szCs w:val="20"/>
          <w:color w:val="auto"/>
        </w:rPr>
      </w:pPr>
    </w:p>
    <w:p>
      <w:pPr>
        <w:ind w:left="760"/>
        <w:spacing w:after="0"/>
        <w:tabs>
          <w:tab w:leader="none" w:pos="214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21"/>
          <w:szCs w:val="21"/>
          <w:u w:val="single" w:color="auto"/>
          <w:color w:val="auto"/>
        </w:rPr>
        <w:t>Timing of Surviving Spouse’s Benefit</w:t>
      </w:r>
      <w:r>
        <w:rPr>
          <w:rFonts w:ascii="Arial" w:cs="Arial" w:eastAsia="Arial" w:hAnsi="Arial"/>
          <w:sz w:val="21"/>
          <w:szCs w:val="21"/>
          <w:color w:val="auto"/>
        </w:rPr>
        <w:t>. The benefit to which a Surviving</w:t>
      </w:r>
    </w:p>
    <w:p>
      <w:pPr>
        <w:spacing w:after="0" w:line="8" w:lineRule="exact"/>
        <w:rPr>
          <w:sz w:val="20"/>
          <w:szCs w:val="20"/>
          <w:color w:val="auto"/>
        </w:rPr>
      </w:pPr>
    </w:p>
    <w:p>
      <w:pPr>
        <w:jc w:val="both"/>
        <w:ind w:left="100" w:right="99"/>
        <w:spacing w:after="0" w:line="280" w:lineRule="auto"/>
        <w:rPr>
          <w:sz w:val="20"/>
          <w:szCs w:val="20"/>
          <w:color w:val="auto"/>
        </w:rPr>
      </w:pPr>
      <w:r>
        <w:rPr>
          <w:rFonts w:ascii="Arial" w:cs="Arial" w:eastAsia="Arial" w:hAnsi="Arial"/>
          <w:sz w:val="19"/>
          <w:szCs w:val="19"/>
          <w:color w:val="auto"/>
        </w:rPr>
        <w:t>Spouse of a Participant shall be entitled pursuant to Section 6.2(a) or (b) shall be paid monthly to such Surviving Spouse, commencing as of the first day of the month following the later of the Participant’s death or the date the Participant would have attained age 55. Payments to the Surviving Spouse shall end with the payment made for the month in which the Surviving Spouse dies.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61" w:name="page62"/>
    <w:bookmarkEnd w:id="61"/>
    <w:p>
      <w:pPr>
        <w:jc w:val="center"/>
        <w:spacing w:after="0"/>
        <w:rPr>
          <w:sz w:val="20"/>
          <w:szCs w:val="20"/>
          <w:color w:val="auto"/>
        </w:rPr>
      </w:pPr>
      <w:r>
        <w:rPr>
          <w:rFonts w:ascii="Arial" w:cs="Arial" w:eastAsia="Arial" w:hAnsi="Arial"/>
          <w:sz w:val="22"/>
          <w:szCs w:val="22"/>
          <w:b w:val="1"/>
          <w:bCs w:val="1"/>
          <w:u w:val="single" w:color="auto"/>
          <w:color w:val="auto"/>
        </w:rPr>
        <w:t>ARTICLE SEVEN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Funding</w:t>
      </w:r>
    </w:p>
    <w:p>
      <w:pPr>
        <w:spacing w:after="0" w:line="91" w:lineRule="exact"/>
        <w:rPr>
          <w:sz w:val="20"/>
          <w:szCs w:val="20"/>
          <w:color w:val="auto"/>
        </w:rPr>
      </w:pPr>
    </w:p>
    <w:p>
      <w:pPr>
        <w:jc w:val="both"/>
        <w:ind w:left="100" w:right="99" w:firstLine="1296"/>
        <w:spacing w:after="0" w:line="245" w:lineRule="auto"/>
        <w:rPr>
          <w:sz w:val="20"/>
          <w:szCs w:val="20"/>
          <w:color w:val="auto"/>
        </w:rPr>
      </w:pPr>
      <w:r>
        <w:rPr>
          <w:rFonts w:ascii="Arial" w:cs="Arial" w:eastAsia="Arial" w:hAnsi="Arial"/>
          <w:sz w:val="21"/>
          <w:szCs w:val="21"/>
          <w:color w:val="auto"/>
        </w:rPr>
        <w:t>The Company’s obligations hereunder shall constitute a general, unsecured obligation of the Company payable solely out of its general assets, and no Participant or former Participant shall have any right to any specific assets of the Company. To the extent that any Participant or former Participant acquires a right to receive payments under the Plan, such right shall be no greater than the right of an unsecured general creditor of the Company. The Board of Directors of Union Pacific may, but shall not be required to, authorize Union Pacific to establish a trust to hold assets to be used to discharge the Company’s obligations hereunder, provided that such trust shall not confer upon Participants or former Participants any rights other than the rights of unsecured general creditors of the Company.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62" w:name="page63"/>
    <w:bookmarkEnd w:id="62"/>
    <w:tbl>
      <w:tblPr>
        <w:tblLayout w:type="fixed"/>
        <w:tblInd w:w="760" w:type="dxa"/>
        <w:tblCellMar>
          <w:top w:w="0" w:type="dxa"/>
          <w:left w:w="0" w:type="dxa"/>
          <w:bottom w:w="0" w:type="dxa"/>
          <w:right w:w="0" w:type="dxa"/>
        </w:tblCellMar>
      </w:tblPr>
      <w:tr>
        <w:trPr>
          <w:trHeight w:val="281"/>
        </w:trPr>
        <w:tc>
          <w:tcPr>
            <w:tcW w:w="820" w:type="dxa"/>
            <w:vAlign w:val="bottom"/>
          </w:tcPr>
          <w:p>
            <w:pPr>
              <w:spacing w:after="0"/>
              <w:rPr>
                <w:sz w:val="24"/>
                <w:szCs w:val="24"/>
                <w:color w:val="auto"/>
              </w:rPr>
            </w:pPr>
          </w:p>
        </w:tc>
        <w:tc>
          <w:tcPr>
            <w:tcW w:w="7340" w:type="dxa"/>
            <w:vAlign w:val="bottom"/>
          </w:tcPr>
          <w:p>
            <w:pPr>
              <w:jc w:val="center"/>
              <w:ind w:right="1372"/>
              <w:spacing w:after="0"/>
              <w:rPr>
                <w:sz w:val="20"/>
                <w:szCs w:val="20"/>
                <w:color w:val="auto"/>
              </w:rPr>
            </w:pPr>
            <w:r>
              <w:rPr>
                <w:rFonts w:ascii="Arial" w:cs="Arial" w:eastAsia="Arial" w:hAnsi="Arial"/>
                <w:sz w:val="22"/>
                <w:szCs w:val="22"/>
                <w:b w:val="1"/>
                <w:bCs w:val="1"/>
                <w:u w:val="single" w:color="auto"/>
                <w:color w:val="auto"/>
              </w:rPr>
              <w:t>ARTICLE EIGHT</w:t>
            </w:r>
          </w:p>
        </w:tc>
      </w:tr>
      <w:tr>
        <w:trPr>
          <w:trHeight w:val="432"/>
        </w:trPr>
        <w:tc>
          <w:tcPr>
            <w:tcW w:w="820" w:type="dxa"/>
            <w:vAlign w:val="bottom"/>
          </w:tcPr>
          <w:p>
            <w:pPr>
              <w:spacing w:after="0"/>
              <w:rPr>
                <w:sz w:val="24"/>
                <w:szCs w:val="24"/>
                <w:color w:val="auto"/>
              </w:rPr>
            </w:pPr>
          </w:p>
        </w:tc>
        <w:tc>
          <w:tcPr>
            <w:tcW w:w="7340" w:type="dxa"/>
            <w:vAlign w:val="bottom"/>
          </w:tcPr>
          <w:p>
            <w:pPr>
              <w:jc w:val="center"/>
              <w:ind w:right="1372"/>
              <w:spacing w:after="0"/>
              <w:rPr>
                <w:sz w:val="20"/>
                <w:szCs w:val="20"/>
                <w:color w:val="auto"/>
              </w:rPr>
            </w:pPr>
            <w:r>
              <w:rPr>
                <w:rFonts w:ascii="Arial" w:cs="Arial" w:eastAsia="Arial" w:hAnsi="Arial"/>
                <w:sz w:val="22"/>
                <w:szCs w:val="22"/>
                <w:b w:val="1"/>
                <w:bCs w:val="1"/>
                <w:u w:val="single" w:color="auto"/>
                <w:color w:val="auto"/>
                <w:w w:val="91"/>
              </w:rPr>
              <w:t>Administration</w:t>
            </w:r>
          </w:p>
        </w:tc>
      </w:tr>
      <w:tr>
        <w:trPr>
          <w:trHeight w:val="324"/>
        </w:trPr>
        <w:tc>
          <w:tcPr>
            <w:tcW w:w="820" w:type="dxa"/>
            <w:vAlign w:val="bottom"/>
          </w:tcPr>
          <w:p>
            <w:pPr>
              <w:jc w:val="right"/>
              <w:ind w:right="452"/>
              <w:spacing w:after="0"/>
              <w:rPr>
                <w:sz w:val="20"/>
                <w:szCs w:val="20"/>
                <w:color w:val="auto"/>
              </w:rPr>
            </w:pPr>
            <w:r>
              <w:rPr>
                <w:rFonts w:ascii="Arial" w:cs="Arial" w:eastAsia="Arial" w:hAnsi="Arial"/>
                <w:sz w:val="22"/>
                <w:szCs w:val="22"/>
                <w:color w:val="auto"/>
                <w:w w:val="78"/>
              </w:rPr>
              <w:t>8.1</w:t>
            </w:r>
          </w:p>
        </w:tc>
        <w:tc>
          <w:tcPr>
            <w:tcW w:w="7340" w:type="dxa"/>
            <w:vAlign w:val="bottom"/>
          </w:tcPr>
          <w:p>
            <w:pPr>
              <w:ind w:left="560"/>
              <w:spacing w:after="0"/>
              <w:rPr>
                <w:sz w:val="20"/>
                <w:szCs w:val="20"/>
                <w:color w:val="auto"/>
              </w:rPr>
            </w:pPr>
            <w:r>
              <w:rPr>
                <w:rFonts w:ascii="Arial" w:cs="Arial" w:eastAsia="Arial" w:hAnsi="Arial"/>
                <w:sz w:val="22"/>
                <w:szCs w:val="22"/>
                <w:u w:val="single" w:color="auto"/>
                <w:color w:val="auto"/>
                <w:w w:val="92"/>
              </w:rPr>
              <w:t>Responsibilities and Powers of Administrator</w:t>
            </w:r>
            <w:r>
              <w:rPr>
                <w:rFonts w:ascii="Arial" w:cs="Arial" w:eastAsia="Arial" w:hAnsi="Arial"/>
                <w:sz w:val="22"/>
                <w:szCs w:val="22"/>
                <w:color w:val="auto"/>
                <w:w w:val="92"/>
              </w:rPr>
              <w:t>. Except for the responsibilities</w:t>
            </w:r>
          </w:p>
        </w:tc>
      </w:tr>
    </w:tbl>
    <w:p>
      <w:pPr>
        <w:jc w:val="both"/>
        <w:ind w:left="100" w:right="99"/>
        <w:spacing w:after="0" w:line="233" w:lineRule="auto"/>
        <w:rPr>
          <w:sz w:val="20"/>
          <w:szCs w:val="20"/>
          <w:color w:val="auto"/>
        </w:rPr>
      </w:pPr>
      <w:r>
        <w:rPr>
          <w:rFonts w:ascii="Arial" w:cs="Arial" w:eastAsia="Arial" w:hAnsi="Arial"/>
          <w:sz w:val="22"/>
          <w:szCs w:val="22"/>
          <w:color w:val="auto"/>
        </w:rPr>
        <w:t>and powers elsewhere herein given specifically to the Board of Directors of Union Pacific, the Administrator shall have all responsibilities for the operation and administration of the Supplemental Plan and shall have all powers and discretionary authority necessary to carry out those responsibilities hereunder. Without limiting the generality of the foregoing, the Administrator shall have full power and discretionary authority to:</w:t>
      </w:r>
    </w:p>
    <w:p>
      <w:pPr>
        <w:spacing w:after="0" w:line="186" w:lineRule="exact"/>
        <w:rPr>
          <w:sz w:val="20"/>
          <w:szCs w:val="20"/>
          <w:color w:val="auto"/>
        </w:rPr>
      </w:pPr>
    </w:p>
    <w:p>
      <w:pPr>
        <w:ind w:left="100" w:right="99" w:firstLine="1301"/>
        <w:spacing w:after="0" w:line="251" w:lineRule="auto"/>
        <w:tabs>
          <w:tab w:leader="none" w:pos="2095" w:val="left"/>
        </w:tabs>
        <w:numPr>
          <w:ilvl w:val="0"/>
          <w:numId w:val="50"/>
        </w:numPr>
        <w:rPr>
          <w:rFonts w:ascii="Arial" w:cs="Arial" w:eastAsia="Arial" w:hAnsi="Arial"/>
          <w:sz w:val="22"/>
          <w:szCs w:val="22"/>
          <w:color w:val="auto"/>
        </w:rPr>
      </w:pPr>
      <w:r>
        <w:rPr>
          <w:rFonts w:ascii="Arial" w:cs="Arial" w:eastAsia="Arial" w:hAnsi="Arial"/>
          <w:sz w:val="22"/>
          <w:szCs w:val="22"/>
          <w:color w:val="auto"/>
        </w:rPr>
        <w:t>keep and maintain such accounts and records with respect to Participants and former Participants as are deemed necessary or proper;</w:t>
      </w:r>
    </w:p>
    <w:p>
      <w:pPr>
        <w:spacing w:after="0" w:line="173" w:lineRule="exact"/>
        <w:rPr>
          <w:rFonts w:ascii="Arial" w:cs="Arial" w:eastAsia="Arial" w:hAnsi="Arial"/>
          <w:sz w:val="22"/>
          <w:szCs w:val="22"/>
          <w:color w:val="auto"/>
        </w:rPr>
      </w:pPr>
    </w:p>
    <w:p>
      <w:pPr>
        <w:jc w:val="both"/>
        <w:ind w:left="100" w:right="99" w:firstLine="1301"/>
        <w:spacing w:after="0" w:line="287" w:lineRule="auto"/>
        <w:tabs>
          <w:tab w:leader="none" w:pos="2121" w:val="left"/>
        </w:tabs>
        <w:numPr>
          <w:ilvl w:val="0"/>
          <w:numId w:val="50"/>
        </w:numPr>
        <w:rPr>
          <w:rFonts w:ascii="Arial" w:cs="Arial" w:eastAsia="Arial" w:hAnsi="Arial"/>
          <w:sz w:val="19"/>
          <w:szCs w:val="19"/>
          <w:color w:val="auto"/>
        </w:rPr>
      </w:pPr>
      <w:r>
        <w:rPr>
          <w:rFonts w:ascii="Arial" w:cs="Arial" w:eastAsia="Arial" w:hAnsi="Arial"/>
          <w:sz w:val="19"/>
          <w:szCs w:val="19"/>
          <w:color w:val="auto"/>
        </w:rPr>
        <w:t>determine all questions of the eligibility for participation and benefits and of the status and rights of Participants, former Participants, and any other person hereunder, make all required factual determinations, interpret and construe the Supplemental Plan in connection therewith and correct defects, resolve ambiguities therein and supply omissions thereto;</w:t>
      </w:r>
    </w:p>
    <w:p>
      <w:pPr>
        <w:spacing w:after="0" w:line="143" w:lineRule="exact"/>
        <w:rPr>
          <w:rFonts w:ascii="Arial" w:cs="Arial" w:eastAsia="Arial" w:hAnsi="Arial"/>
          <w:sz w:val="19"/>
          <w:szCs w:val="19"/>
          <w:color w:val="auto"/>
        </w:rPr>
      </w:pPr>
    </w:p>
    <w:p>
      <w:pPr>
        <w:jc w:val="both"/>
        <w:ind w:left="100" w:right="99" w:firstLine="1301"/>
        <w:spacing w:after="0"/>
        <w:tabs>
          <w:tab w:leader="none" w:pos="2122" w:val="left"/>
        </w:tabs>
        <w:numPr>
          <w:ilvl w:val="0"/>
          <w:numId w:val="50"/>
        </w:numPr>
        <w:rPr>
          <w:rFonts w:ascii="Arial" w:cs="Arial" w:eastAsia="Arial" w:hAnsi="Arial"/>
          <w:sz w:val="22"/>
          <w:szCs w:val="22"/>
          <w:color w:val="auto"/>
        </w:rPr>
      </w:pPr>
      <w:r>
        <w:rPr>
          <w:rFonts w:ascii="Arial" w:cs="Arial" w:eastAsia="Arial" w:hAnsi="Arial"/>
          <w:sz w:val="22"/>
          <w:szCs w:val="22"/>
          <w:color w:val="auto"/>
        </w:rPr>
        <w:t>adopt from time to time mortality and other tables and interest rates upon which all actuarial calculations shall be based, including the determination of the appropriate factors for the adjustment of pension payments; and</w:t>
      </w:r>
    </w:p>
    <w:p>
      <w:pPr>
        <w:spacing w:after="0" w:line="186" w:lineRule="exact"/>
        <w:rPr>
          <w:rFonts w:ascii="Arial" w:cs="Arial" w:eastAsia="Arial" w:hAnsi="Arial"/>
          <w:sz w:val="22"/>
          <w:szCs w:val="22"/>
          <w:color w:val="auto"/>
        </w:rPr>
      </w:pPr>
    </w:p>
    <w:p>
      <w:pPr>
        <w:ind w:left="2140" w:hanging="739"/>
        <w:spacing w:after="0"/>
        <w:tabs>
          <w:tab w:leader="none" w:pos="2140" w:val="left"/>
        </w:tabs>
        <w:numPr>
          <w:ilvl w:val="0"/>
          <w:numId w:val="50"/>
        </w:numPr>
        <w:rPr>
          <w:rFonts w:ascii="Arial" w:cs="Arial" w:eastAsia="Arial" w:hAnsi="Arial"/>
          <w:sz w:val="19"/>
          <w:szCs w:val="19"/>
          <w:color w:val="auto"/>
        </w:rPr>
      </w:pPr>
      <w:r>
        <w:rPr>
          <w:rFonts w:ascii="Arial" w:cs="Arial" w:eastAsia="Arial" w:hAnsi="Arial"/>
          <w:sz w:val="19"/>
          <w:szCs w:val="19"/>
          <w:color w:val="auto"/>
        </w:rPr>
        <w:t>adopt from time to time rules and regulations governing this Supplemental</w:t>
      </w:r>
    </w:p>
    <w:p>
      <w:pPr>
        <w:spacing w:after="0" w:line="42" w:lineRule="exact"/>
        <w:rPr>
          <w:rFonts w:ascii="Arial" w:cs="Arial" w:eastAsia="Arial" w:hAnsi="Arial"/>
          <w:sz w:val="19"/>
          <w:szCs w:val="19"/>
          <w:color w:val="auto"/>
        </w:rPr>
      </w:pPr>
    </w:p>
    <w:p>
      <w:pPr>
        <w:ind w:left="100"/>
        <w:spacing w:after="0"/>
        <w:rPr>
          <w:rFonts w:ascii="Arial" w:cs="Arial" w:eastAsia="Arial" w:hAnsi="Arial"/>
          <w:sz w:val="19"/>
          <w:szCs w:val="19"/>
          <w:color w:val="auto"/>
        </w:rPr>
      </w:pPr>
      <w:r>
        <w:rPr>
          <w:rFonts w:ascii="Arial" w:cs="Arial" w:eastAsia="Arial" w:hAnsi="Arial"/>
          <w:sz w:val="22"/>
          <w:szCs w:val="22"/>
          <w:color w:val="auto"/>
        </w:rPr>
        <w:t>Plan.</w:t>
      </w:r>
    </w:p>
    <w:p>
      <w:pPr>
        <w:spacing w:after="0" w:line="188" w:lineRule="exact"/>
        <w:rPr>
          <w:sz w:val="20"/>
          <w:szCs w:val="20"/>
          <w:color w:val="auto"/>
        </w:rPr>
      </w:pPr>
    </w:p>
    <w:p>
      <w:pPr>
        <w:jc w:val="both"/>
        <w:ind w:left="100" w:right="99"/>
        <w:spacing w:after="0" w:line="297" w:lineRule="auto"/>
        <w:rPr>
          <w:sz w:val="20"/>
          <w:szCs w:val="20"/>
          <w:color w:val="auto"/>
        </w:rPr>
      </w:pPr>
      <w:r>
        <w:rPr>
          <w:rFonts w:ascii="Arial" w:cs="Arial" w:eastAsia="Arial" w:hAnsi="Arial"/>
          <w:sz w:val="19"/>
          <w:szCs w:val="19"/>
          <w:color w:val="auto"/>
        </w:rPr>
        <w:t>The Administrator shall carry out all responsibilities and exercise all powers in accordance with the terms of the Supplemental Plan. The determination of the Administrator as to any questions involving the responsibilities hereunder shall be final, conclusive and binding on all persons.</w:t>
      </w:r>
    </w:p>
    <w:p>
      <w:pPr>
        <w:spacing w:after="0" w:line="134" w:lineRule="exact"/>
        <w:rPr>
          <w:sz w:val="20"/>
          <w:szCs w:val="20"/>
          <w:color w:val="auto"/>
        </w:rPr>
      </w:pPr>
    </w:p>
    <w:p>
      <w:pPr>
        <w:jc w:val="both"/>
        <w:ind w:left="100" w:right="99" w:firstLine="648"/>
        <w:spacing w:after="0" w:line="238" w:lineRule="auto"/>
        <w:rPr>
          <w:sz w:val="20"/>
          <w:szCs w:val="20"/>
          <w:color w:val="auto"/>
        </w:rPr>
      </w:pPr>
      <w:r>
        <w:rPr>
          <w:rFonts w:ascii="Arial" w:cs="Arial" w:eastAsia="Arial" w:hAnsi="Arial"/>
          <w:sz w:val="22"/>
          <w:szCs w:val="22"/>
          <w:color w:val="auto"/>
        </w:rPr>
        <w:t xml:space="preserve">8.2 </w:t>
      </w:r>
      <w:r>
        <w:rPr>
          <w:rFonts w:ascii="Arial" w:cs="Arial" w:eastAsia="Arial" w:hAnsi="Arial"/>
          <w:sz w:val="22"/>
          <w:szCs w:val="22"/>
          <w:u w:val="single" w:color="auto"/>
          <w:color w:val="auto"/>
        </w:rPr>
        <w:t>Certification and Payment of Benefits</w:t>
      </w:r>
      <w:r>
        <w:rPr>
          <w:rFonts w:ascii="Arial" w:cs="Arial" w:eastAsia="Arial" w:hAnsi="Arial"/>
          <w:sz w:val="22"/>
          <w:szCs w:val="22"/>
          <w:color w:val="auto"/>
        </w:rPr>
        <w:t>. The Administrator shall compute the amount and manner of payment of benefits to which the Participants, former or retired Participants, Surviving Spouses and beneficiaries become entitled. All payments of benefits shall be made directly by the Company upon the instructions of the Administrator.</w:t>
      </w:r>
    </w:p>
    <w:p>
      <w:pPr>
        <w:spacing w:after="0" w:line="185" w:lineRule="exact"/>
        <w:rPr>
          <w:sz w:val="20"/>
          <w:szCs w:val="20"/>
          <w:color w:val="auto"/>
        </w:rPr>
      </w:pPr>
    </w:p>
    <w:p>
      <w:pPr>
        <w:jc w:val="both"/>
        <w:ind w:left="100" w:right="99" w:firstLine="648"/>
        <w:spacing w:after="0" w:line="236" w:lineRule="auto"/>
        <w:rPr>
          <w:sz w:val="20"/>
          <w:szCs w:val="20"/>
          <w:color w:val="auto"/>
        </w:rPr>
      </w:pPr>
      <w:r>
        <w:rPr>
          <w:rFonts w:ascii="Arial" w:cs="Arial" w:eastAsia="Arial" w:hAnsi="Arial"/>
          <w:sz w:val="22"/>
          <w:szCs w:val="22"/>
          <w:color w:val="auto"/>
        </w:rPr>
        <w:t xml:space="preserve">8.3 </w:t>
      </w:r>
      <w:r>
        <w:rPr>
          <w:rFonts w:ascii="Arial" w:cs="Arial" w:eastAsia="Arial" w:hAnsi="Arial"/>
          <w:sz w:val="22"/>
          <w:szCs w:val="22"/>
          <w:u w:val="single" w:color="auto"/>
          <w:color w:val="auto"/>
        </w:rPr>
        <w:t>Reports to Board of Directors</w:t>
      </w:r>
      <w:r>
        <w:rPr>
          <w:rFonts w:ascii="Arial" w:cs="Arial" w:eastAsia="Arial" w:hAnsi="Arial"/>
          <w:sz w:val="22"/>
          <w:szCs w:val="22"/>
          <w:color w:val="auto"/>
        </w:rPr>
        <w:t>. As the Administrator deems necessary or proper or as the Board of Directors of Union Pacific may require, but in any event at least once during each calendar year, the Administrator shall report to such Board on the operation and administration of the Supplemental Plan and on any other matter concerning the Supplemental Plan deemed advisable or required by such Board.</w:t>
      </w:r>
    </w:p>
    <w:p>
      <w:pPr>
        <w:spacing w:after="0" w:line="188" w:lineRule="exact"/>
        <w:rPr>
          <w:sz w:val="20"/>
          <w:szCs w:val="20"/>
          <w:color w:val="auto"/>
        </w:rPr>
      </w:pPr>
    </w:p>
    <w:p>
      <w:pPr>
        <w:jc w:val="both"/>
        <w:ind w:left="100" w:right="99" w:firstLine="648"/>
        <w:spacing w:after="0" w:line="248" w:lineRule="auto"/>
        <w:rPr>
          <w:sz w:val="20"/>
          <w:szCs w:val="20"/>
          <w:color w:val="auto"/>
        </w:rPr>
      </w:pPr>
      <w:r>
        <w:rPr>
          <w:rFonts w:ascii="Arial" w:cs="Arial" w:eastAsia="Arial" w:hAnsi="Arial"/>
          <w:sz w:val="21"/>
          <w:szCs w:val="21"/>
          <w:color w:val="auto"/>
        </w:rPr>
        <w:t xml:space="preserve">8.4 </w:t>
      </w:r>
      <w:r>
        <w:rPr>
          <w:rFonts w:ascii="Arial" w:cs="Arial" w:eastAsia="Arial" w:hAnsi="Arial"/>
          <w:sz w:val="21"/>
          <w:szCs w:val="21"/>
          <w:u w:val="single" w:color="auto"/>
          <w:color w:val="auto"/>
        </w:rPr>
        <w:t>Designation and Delegation</w:t>
      </w:r>
      <w:r>
        <w:rPr>
          <w:rFonts w:ascii="Arial" w:cs="Arial" w:eastAsia="Arial" w:hAnsi="Arial"/>
          <w:sz w:val="21"/>
          <w:szCs w:val="21"/>
          <w:color w:val="auto"/>
        </w:rPr>
        <w:t>. The Administrator may designate other persons to carry out such of the responsibilities hereunder for the operating and administration of the Supplemental Plan as the Administrator deems advisable and delegate to the persons so designated such of the powers as the Administrator deems necessary to carry out such responsibilities. Such designation and delegation shall be subject to such terms and conditions as the Administrator deems necessary or proper. Any action or determination made or taken in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63" w:name="page64"/>
    <w:bookmarkEnd w:id="63"/>
    <w:p>
      <w:pPr>
        <w:jc w:val="both"/>
        <w:ind w:left="100" w:right="99"/>
        <w:spacing w:after="0"/>
        <w:rPr>
          <w:sz w:val="20"/>
          <w:szCs w:val="20"/>
          <w:color w:val="auto"/>
        </w:rPr>
      </w:pPr>
      <w:r>
        <w:rPr>
          <w:rFonts w:ascii="Arial" w:cs="Arial" w:eastAsia="Arial" w:hAnsi="Arial"/>
          <w:sz w:val="22"/>
          <w:szCs w:val="22"/>
          <w:color w:val="auto"/>
        </w:rPr>
        <w:t>carrying out responsibilities hereunder by the persons so designated by the Administrator shall have the same force and effect for all purposes as if such action or determinations had been made or taken by the Administrator.</w:t>
      </w:r>
    </w:p>
    <w:p>
      <w:pPr>
        <w:spacing w:after="0" w:line="186" w:lineRule="exact"/>
        <w:rPr>
          <w:sz w:val="20"/>
          <w:szCs w:val="20"/>
          <w:color w:val="auto"/>
        </w:rPr>
      </w:pPr>
    </w:p>
    <w:p>
      <w:pPr>
        <w:jc w:val="both"/>
        <w:ind w:left="100" w:right="99" w:firstLine="648"/>
        <w:spacing w:after="0" w:line="279" w:lineRule="auto"/>
        <w:rPr>
          <w:sz w:val="20"/>
          <w:szCs w:val="20"/>
          <w:color w:val="auto"/>
        </w:rPr>
      </w:pPr>
      <w:r>
        <w:rPr>
          <w:rFonts w:ascii="Arial" w:cs="Arial" w:eastAsia="Arial" w:hAnsi="Arial"/>
          <w:sz w:val="19"/>
          <w:szCs w:val="19"/>
          <w:color w:val="auto"/>
        </w:rPr>
        <w:t xml:space="preserve">8.5 </w:t>
      </w:r>
      <w:r>
        <w:rPr>
          <w:rFonts w:ascii="Arial" w:cs="Arial" w:eastAsia="Arial" w:hAnsi="Arial"/>
          <w:sz w:val="19"/>
          <w:szCs w:val="19"/>
          <w:u w:val="single" w:color="auto"/>
          <w:color w:val="auto"/>
        </w:rPr>
        <w:t>Outside Services</w:t>
      </w:r>
      <w:r>
        <w:rPr>
          <w:rFonts w:ascii="Arial" w:cs="Arial" w:eastAsia="Arial" w:hAnsi="Arial"/>
          <w:sz w:val="19"/>
          <w:szCs w:val="19"/>
          <w:color w:val="auto"/>
        </w:rPr>
        <w:t>. The Administrator may engage counsel and such clerical, medical, financial, actuarial, accounting and other specialized services as is deemed necessary or desirable for the operation and administration of the Supplemental Plan. The Administrator and persons so designated shall be entitled to rely, and shall be fully protected in any action or determination or omission taken or made or omitted in good faith in so relying, upon any opinions, reports or other advice which is furnished by counsel or other specialist engaged for that purpose.</w:t>
      </w:r>
    </w:p>
    <w:p>
      <w:pPr>
        <w:spacing w:after="0" w:line="151" w:lineRule="exact"/>
        <w:rPr>
          <w:sz w:val="20"/>
          <w:szCs w:val="20"/>
          <w:color w:val="auto"/>
        </w:rPr>
      </w:pPr>
    </w:p>
    <w:p>
      <w:pPr>
        <w:jc w:val="both"/>
        <w:ind w:left="100" w:right="99" w:firstLine="648"/>
        <w:spacing w:after="0" w:line="235" w:lineRule="auto"/>
        <w:rPr>
          <w:sz w:val="20"/>
          <w:szCs w:val="20"/>
          <w:color w:val="auto"/>
        </w:rPr>
      </w:pPr>
      <w:r>
        <w:rPr>
          <w:rFonts w:ascii="Arial" w:cs="Arial" w:eastAsia="Arial" w:hAnsi="Arial"/>
          <w:sz w:val="22"/>
          <w:szCs w:val="22"/>
          <w:color w:val="auto"/>
        </w:rPr>
        <w:t xml:space="preserve">8.6 </w:t>
      </w:r>
      <w:r>
        <w:rPr>
          <w:rFonts w:ascii="Arial" w:cs="Arial" w:eastAsia="Arial" w:hAnsi="Arial"/>
          <w:sz w:val="22"/>
          <w:szCs w:val="22"/>
          <w:u w:val="single" w:color="auto"/>
          <w:color w:val="auto"/>
        </w:rPr>
        <w:t>Expenses</w:t>
      </w:r>
      <w:r>
        <w:rPr>
          <w:rFonts w:ascii="Arial" w:cs="Arial" w:eastAsia="Arial" w:hAnsi="Arial"/>
          <w:sz w:val="22"/>
          <w:szCs w:val="22"/>
          <w:color w:val="auto"/>
        </w:rPr>
        <w:t>. All expenses, including any fees for outside services under Section 8.5, incurred by the Administrator and by persons designated by the Administrator under Section 8.4 in the operation and administration of the Supplemental Plan shall be paid by the Company. Neither the Administrator nor any other person who is an employee of the Company or an Affiliated Company shall receive any compensation solely for services in carrying out any responsibility hereunder.</w:t>
      </w:r>
    </w:p>
    <w:p>
      <w:pPr>
        <w:spacing w:after="0" w:line="160" w:lineRule="exact"/>
        <w:rPr>
          <w:sz w:val="20"/>
          <w:szCs w:val="20"/>
          <w:color w:val="auto"/>
        </w:rPr>
      </w:pPr>
    </w:p>
    <w:tbl>
      <w:tblPr>
        <w:tblLayout w:type="fixed"/>
        <w:tblInd w:w="100" w:type="dxa"/>
        <w:tblCellMar>
          <w:top w:w="0" w:type="dxa"/>
          <w:left w:w="0" w:type="dxa"/>
          <w:bottom w:w="0" w:type="dxa"/>
          <w:right w:w="0" w:type="dxa"/>
        </w:tblCellMar>
      </w:tblPr>
      <w:tr>
        <w:trPr>
          <w:trHeight w:val="253"/>
        </w:trPr>
        <w:tc>
          <w:tcPr>
            <w:tcW w:w="2040" w:type="dxa"/>
            <w:vAlign w:val="bottom"/>
          </w:tcPr>
          <w:p>
            <w:pPr>
              <w:jc w:val="right"/>
              <w:ind w:right="1012"/>
              <w:spacing w:after="0"/>
              <w:rPr>
                <w:sz w:val="20"/>
                <w:szCs w:val="20"/>
                <w:color w:val="auto"/>
              </w:rPr>
            </w:pPr>
            <w:r>
              <w:rPr>
                <w:rFonts w:ascii="Arial" w:cs="Arial" w:eastAsia="Arial" w:hAnsi="Arial"/>
                <w:sz w:val="22"/>
                <w:szCs w:val="22"/>
                <w:color w:val="auto"/>
              </w:rPr>
              <w:t>8.7</w:t>
            </w:r>
          </w:p>
        </w:tc>
        <w:tc>
          <w:tcPr>
            <w:tcW w:w="6780" w:type="dxa"/>
            <w:vAlign w:val="bottom"/>
            <w:gridSpan w:val="2"/>
          </w:tcPr>
          <w:p>
            <w:pPr>
              <w:jc w:val="right"/>
              <w:spacing w:after="0"/>
              <w:rPr>
                <w:sz w:val="20"/>
                <w:szCs w:val="20"/>
                <w:color w:val="auto"/>
              </w:rPr>
            </w:pPr>
            <w:r>
              <w:rPr>
                <w:rFonts w:ascii="Arial" w:cs="Arial" w:eastAsia="Arial" w:hAnsi="Arial"/>
                <w:sz w:val="22"/>
                <w:szCs w:val="22"/>
                <w:color w:val="auto"/>
                <w:w w:val="92"/>
              </w:rPr>
              <w:t>Bonding. No bond or other security shall be required of the Administrator or</w:t>
            </w:r>
          </w:p>
        </w:tc>
      </w:tr>
      <w:tr>
        <w:trPr>
          <w:trHeight w:val="20"/>
        </w:trPr>
        <w:tc>
          <w:tcPr>
            <w:tcW w:w="20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60" w:type="dxa"/>
            <w:vAlign w:val="bottom"/>
            <w:tcBorders>
              <w:left w:val="single" w:sz="8" w:color="auto"/>
            </w:tcBorders>
          </w:tcPr>
          <w:p>
            <w:pPr>
              <w:spacing w:after="0" w:line="20" w:lineRule="exact"/>
              <w:rPr>
                <w:sz w:val="1"/>
                <w:szCs w:val="1"/>
                <w:color w:val="auto"/>
              </w:rPr>
            </w:pPr>
          </w:p>
        </w:tc>
      </w:tr>
      <w:tr>
        <w:trPr>
          <w:trHeight w:val="274"/>
        </w:trPr>
        <w:tc>
          <w:tcPr>
            <w:tcW w:w="8820" w:type="dxa"/>
            <w:vAlign w:val="bottom"/>
            <w:gridSpan w:val="3"/>
          </w:tcPr>
          <w:p>
            <w:pPr>
              <w:jc w:val="right"/>
              <w:ind w:right="5040"/>
              <w:spacing w:after="0"/>
              <w:rPr>
                <w:sz w:val="20"/>
                <w:szCs w:val="20"/>
                <w:color w:val="auto"/>
              </w:rPr>
            </w:pPr>
            <w:r>
              <w:rPr>
                <w:rFonts w:ascii="Arial" w:cs="Arial" w:eastAsia="Arial" w:hAnsi="Arial"/>
                <w:sz w:val="22"/>
                <w:szCs w:val="22"/>
                <w:color w:val="auto"/>
                <w:w w:val="87"/>
              </w:rPr>
              <w:t>of any person designated under Section 8.4.</w:t>
            </w:r>
          </w:p>
        </w:tc>
      </w:tr>
      <w:tr>
        <w:trPr>
          <w:trHeight w:val="409"/>
        </w:trPr>
        <w:tc>
          <w:tcPr>
            <w:tcW w:w="2040" w:type="dxa"/>
            <w:vAlign w:val="bottom"/>
          </w:tcPr>
          <w:p>
            <w:pPr>
              <w:jc w:val="right"/>
              <w:ind w:right="1012"/>
              <w:spacing w:after="0"/>
              <w:rPr>
                <w:sz w:val="20"/>
                <w:szCs w:val="20"/>
                <w:color w:val="auto"/>
              </w:rPr>
            </w:pPr>
            <w:r>
              <w:rPr>
                <w:rFonts w:ascii="Arial" w:cs="Arial" w:eastAsia="Arial" w:hAnsi="Arial"/>
                <w:sz w:val="22"/>
                <w:szCs w:val="22"/>
                <w:color w:val="auto"/>
              </w:rPr>
              <w:t>8.8</w:t>
            </w:r>
          </w:p>
        </w:tc>
        <w:tc>
          <w:tcPr>
            <w:tcW w:w="6780" w:type="dxa"/>
            <w:vAlign w:val="bottom"/>
            <w:gridSpan w:val="2"/>
          </w:tcPr>
          <w:p>
            <w:pPr>
              <w:jc w:val="right"/>
              <w:spacing w:after="0"/>
              <w:rPr>
                <w:sz w:val="20"/>
                <w:szCs w:val="20"/>
                <w:color w:val="auto"/>
              </w:rPr>
            </w:pPr>
            <w:r>
              <w:rPr>
                <w:rFonts w:ascii="Arial" w:cs="Arial" w:eastAsia="Arial" w:hAnsi="Arial"/>
                <w:sz w:val="22"/>
                <w:szCs w:val="22"/>
                <w:color w:val="auto"/>
                <w:w w:val="90"/>
              </w:rPr>
              <w:t>Liability. The Administrator and persons designated by him under Section 8.4</w:t>
            </w:r>
          </w:p>
        </w:tc>
      </w:tr>
      <w:tr>
        <w:trPr>
          <w:trHeight w:val="20"/>
        </w:trPr>
        <w:tc>
          <w:tcPr>
            <w:tcW w:w="204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ind w:left="100" w:right="99"/>
        <w:spacing w:after="0" w:line="282" w:lineRule="auto"/>
        <w:rPr>
          <w:sz w:val="20"/>
          <w:szCs w:val="20"/>
          <w:color w:val="auto"/>
        </w:rPr>
      </w:pPr>
      <w:r>
        <w:rPr>
          <w:rFonts w:ascii="Arial" w:cs="Arial" w:eastAsia="Arial" w:hAnsi="Arial"/>
          <w:sz w:val="19"/>
          <w:szCs w:val="19"/>
          <w:color w:val="auto"/>
        </w:rPr>
        <w:t>shall use ordinary care and diligence in the performance of their duties. The Company shall indemnify and defend the Administrator and each other person so designated under Section 8.4 against any and all claims, loss, damages, expense (including reasonable counsel fees), and liability arising from any action or failure to act or other conduct in their official capacity, except when the same is due to the gross negligence or willful misconduct of the Administrator or other persons.</w:t>
      </w:r>
    </w:p>
    <w:p>
      <w:pPr>
        <w:spacing w:after="0" w:line="148" w:lineRule="exact"/>
        <w:rPr>
          <w:sz w:val="20"/>
          <w:szCs w:val="20"/>
          <w:color w:val="auto"/>
        </w:rPr>
      </w:pPr>
    </w:p>
    <w:p>
      <w:pPr>
        <w:jc w:val="both"/>
        <w:ind w:left="100" w:right="99" w:firstLine="648"/>
        <w:spacing w:after="0" w:line="248" w:lineRule="auto"/>
        <w:rPr>
          <w:sz w:val="20"/>
          <w:szCs w:val="20"/>
          <w:color w:val="auto"/>
        </w:rPr>
      </w:pPr>
      <w:r>
        <w:rPr>
          <w:rFonts w:ascii="Arial" w:cs="Arial" w:eastAsia="Arial" w:hAnsi="Arial"/>
          <w:sz w:val="21"/>
          <w:szCs w:val="21"/>
          <w:color w:val="auto"/>
        </w:rPr>
        <w:t xml:space="preserve">8.9 </w:t>
      </w:r>
      <w:r>
        <w:rPr>
          <w:rFonts w:ascii="Arial" w:cs="Arial" w:eastAsia="Arial" w:hAnsi="Arial"/>
          <w:sz w:val="21"/>
          <w:szCs w:val="21"/>
          <w:u w:val="single" w:color="auto"/>
          <w:color w:val="auto"/>
        </w:rPr>
        <w:t>Finality of Actions</w:t>
      </w:r>
      <w:r>
        <w:rPr>
          <w:rFonts w:ascii="Arial" w:cs="Arial" w:eastAsia="Arial" w:hAnsi="Arial"/>
          <w:sz w:val="21"/>
          <w:szCs w:val="21"/>
          <w:color w:val="auto"/>
        </w:rPr>
        <w:t>. Any action required of Union Pacific, the Company, the Board of Directors of Union Pacific, or the Chief Executive Officer of Union Pacific (the “CEO”) under this Supplemental Plan, or made by the Administrator acting on their behalf, shall be made in the Company’s, the Board’s or the CEO’s sole discretion, not in a fiduciary capacity and need not be uniformly applied to similarly situated persons. Any such action shall be final, conclusive and binding on all persons interested in the Supplemental Plan.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64" w:name="page65"/>
    <w:bookmarkEnd w:id="64"/>
    <w:tbl>
      <w:tblPr>
        <w:tblLayout w:type="fixed"/>
        <w:tblInd w:w="760" w:type="dxa"/>
        <w:tblCellMar>
          <w:top w:w="0" w:type="dxa"/>
          <w:left w:w="0" w:type="dxa"/>
          <w:bottom w:w="0" w:type="dxa"/>
          <w:right w:w="0" w:type="dxa"/>
        </w:tblCellMar>
      </w:tblPr>
      <w:tr>
        <w:trPr>
          <w:trHeight w:val="281"/>
        </w:trPr>
        <w:tc>
          <w:tcPr>
            <w:tcW w:w="820" w:type="dxa"/>
            <w:vAlign w:val="bottom"/>
          </w:tcPr>
          <w:p>
            <w:pPr>
              <w:spacing w:after="0"/>
              <w:rPr>
                <w:sz w:val="24"/>
                <w:szCs w:val="24"/>
                <w:color w:val="auto"/>
              </w:rPr>
            </w:pPr>
          </w:p>
        </w:tc>
        <w:tc>
          <w:tcPr>
            <w:tcW w:w="7340" w:type="dxa"/>
            <w:vAlign w:val="bottom"/>
          </w:tcPr>
          <w:p>
            <w:pPr>
              <w:jc w:val="center"/>
              <w:ind w:right="1372"/>
              <w:spacing w:after="0"/>
              <w:rPr>
                <w:sz w:val="20"/>
                <w:szCs w:val="20"/>
                <w:color w:val="auto"/>
              </w:rPr>
            </w:pPr>
            <w:r>
              <w:rPr>
                <w:rFonts w:ascii="Arial" w:cs="Arial" w:eastAsia="Arial" w:hAnsi="Arial"/>
                <w:sz w:val="22"/>
                <w:szCs w:val="22"/>
                <w:b w:val="1"/>
                <w:bCs w:val="1"/>
                <w:u w:val="single" w:color="auto"/>
                <w:color w:val="auto"/>
              </w:rPr>
              <w:t>ARTICLE NINE</w:t>
            </w:r>
          </w:p>
        </w:tc>
      </w:tr>
      <w:tr>
        <w:trPr>
          <w:trHeight w:val="432"/>
        </w:trPr>
        <w:tc>
          <w:tcPr>
            <w:tcW w:w="820" w:type="dxa"/>
            <w:vAlign w:val="bottom"/>
          </w:tcPr>
          <w:p>
            <w:pPr>
              <w:spacing w:after="0"/>
              <w:rPr>
                <w:sz w:val="24"/>
                <w:szCs w:val="24"/>
                <w:color w:val="auto"/>
              </w:rPr>
            </w:pPr>
          </w:p>
        </w:tc>
        <w:tc>
          <w:tcPr>
            <w:tcW w:w="7340" w:type="dxa"/>
            <w:vAlign w:val="bottom"/>
          </w:tcPr>
          <w:p>
            <w:pPr>
              <w:jc w:val="center"/>
              <w:ind w:right="1352"/>
              <w:spacing w:after="0"/>
              <w:rPr>
                <w:sz w:val="20"/>
                <w:szCs w:val="20"/>
                <w:color w:val="auto"/>
              </w:rPr>
            </w:pPr>
            <w:r>
              <w:rPr>
                <w:rFonts w:ascii="Arial" w:cs="Arial" w:eastAsia="Arial" w:hAnsi="Arial"/>
                <w:sz w:val="22"/>
                <w:szCs w:val="22"/>
                <w:b w:val="1"/>
                <w:bCs w:val="1"/>
                <w:u w:val="single" w:color="auto"/>
                <w:color w:val="auto"/>
                <w:w w:val="90"/>
              </w:rPr>
              <w:t>Amendment or Termination</w:t>
            </w:r>
          </w:p>
        </w:tc>
      </w:tr>
      <w:tr>
        <w:trPr>
          <w:trHeight w:val="324"/>
        </w:trPr>
        <w:tc>
          <w:tcPr>
            <w:tcW w:w="820" w:type="dxa"/>
            <w:vAlign w:val="bottom"/>
          </w:tcPr>
          <w:p>
            <w:pPr>
              <w:jc w:val="right"/>
              <w:ind w:right="452"/>
              <w:spacing w:after="0"/>
              <w:rPr>
                <w:sz w:val="20"/>
                <w:szCs w:val="20"/>
                <w:color w:val="auto"/>
              </w:rPr>
            </w:pPr>
            <w:r>
              <w:rPr>
                <w:rFonts w:ascii="Arial" w:cs="Arial" w:eastAsia="Arial" w:hAnsi="Arial"/>
                <w:sz w:val="22"/>
                <w:szCs w:val="22"/>
                <w:color w:val="auto"/>
                <w:w w:val="78"/>
              </w:rPr>
              <w:t>9.1</w:t>
            </w:r>
          </w:p>
        </w:tc>
        <w:tc>
          <w:tcPr>
            <w:tcW w:w="7340" w:type="dxa"/>
            <w:vAlign w:val="bottom"/>
          </w:tcPr>
          <w:p>
            <w:pPr>
              <w:ind w:left="560"/>
              <w:spacing w:after="0"/>
              <w:rPr>
                <w:sz w:val="20"/>
                <w:szCs w:val="20"/>
                <w:color w:val="auto"/>
              </w:rPr>
            </w:pPr>
            <w:r>
              <w:rPr>
                <w:rFonts w:ascii="Arial" w:cs="Arial" w:eastAsia="Arial" w:hAnsi="Arial"/>
                <w:sz w:val="22"/>
                <w:szCs w:val="22"/>
                <w:u w:val="single" w:color="auto"/>
                <w:color w:val="auto"/>
                <w:w w:val="92"/>
              </w:rPr>
              <w:t>Amendment or Termination</w:t>
            </w:r>
            <w:r>
              <w:rPr>
                <w:rFonts w:ascii="Arial" w:cs="Arial" w:eastAsia="Arial" w:hAnsi="Arial"/>
                <w:sz w:val="22"/>
                <w:szCs w:val="22"/>
                <w:color w:val="auto"/>
                <w:w w:val="92"/>
              </w:rPr>
              <w:t>. The Board of Directors of Union Pacific, acting</w:t>
            </w:r>
          </w:p>
        </w:tc>
      </w:tr>
    </w:tbl>
    <w:p>
      <w:pPr>
        <w:jc w:val="both"/>
        <w:ind w:left="100" w:right="99"/>
        <w:spacing w:after="0" w:line="271" w:lineRule="auto"/>
        <w:rPr>
          <w:sz w:val="20"/>
          <w:szCs w:val="20"/>
          <w:color w:val="auto"/>
        </w:rPr>
      </w:pPr>
      <w:r>
        <w:rPr>
          <w:rFonts w:ascii="Arial" w:cs="Arial" w:eastAsia="Arial" w:hAnsi="Arial"/>
          <w:sz w:val="19"/>
          <w:szCs w:val="19"/>
          <w:color w:val="auto"/>
        </w:rPr>
        <w:t>by written resolution, reserves the right to modify, alter, amend or terminate the Supplemental Plan from time to time and to modify, withdraw or terminate the Supplemental Plan, to any extent that it may deem advisable; provided, that no such modification, alteration, amendment or termination shall impair any rights which have accrued to Participants hereunder to the date of such modification, alteration, amendment or termination. Notwithstanding the foregoing, (i) prior to March 1, 2013 the Senior Vice President - Human Resources of Union Pacific; and (ii) on and after March 1, 2013 the Vice President-Human Resources of Union Pacific Railroad Company or such other officer or employee of Union Pacific Railroad Company or Union Pacific with similar authority, may make all technical, administrative, regulatory and compliance amendments to the Supplemental Plan, and any other amendment that will not significantly increase the cost of the Supplemental Plan to the Company, as he or she shall deem necessary or appropriate.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65" w:name="page66"/>
    <w:bookmarkEnd w:id="65"/>
    <w:p>
      <w:pPr>
        <w:jc w:val="center"/>
        <w:spacing w:after="0"/>
        <w:rPr>
          <w:sz w:val="20"/>
          <w:szCs w:val="20"/>
          <w:color w:val="auto"/>
        </w:rPr>
      </w:pPr>
      <w:r>
        <w:rPr>
          <w:rFonts w:ascii="Arial" w:cs="Arial" w:eastAsia="Arial" w:hAnsi="Arial"/>
          <w:sz w:val="22"/>
          <w:szCs w:val="22"/>
          <w:b w:val="1"/>
          <w:bCs w:val="1"/>
          <w:u w:val="single" w:color="auto"/>
          <w:color w:val="auto"/>
        </w:rPr>
        <w:t>ARTICLE TEN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General Provisions</w:t>
      </w:r>
    </w:p>
    <w:p>
      <w:pPr>
        <w:spacing w:after="0" w:line="91" w:lineRule="exact"/>
        <w:rPr>
          <w:sz w:val="20"/>
          <w:szCs w:val="20"/>
          <w:color w:val="auto"/>
        </w:rPr>
      </w:pPr>
    </w:p>
    <w:p>
      <w:pPr>
        <w:jc w:val="both"/>
        <w:ind w:left="100" w:right="99" w:firstLine="648"/>
        <w:spacing w:after="0" w:line="235" w:lineRule="auto"/>
        <w:rPr>
          <w:sz w:val="20"/>
          <w:szCs w:val="20"/>
          <w:color w:val="auto"/>
        </w:rPr>
      </w:pPr>
      <w:r>
        <w:rPr>
          <w:rFonts w:ascii="Arial" w:cs="Arial" w:eastAsia="Arial" w:hAnsi="Arial"/>
          <w:sz w:val="22"/>
          <w:szCs w:val="22"/>
          <w:color w:val="auto"/>
        </w:rPr>
        <w:t xml:space="preserve">10.1 </w:t>
      </w:r>
      <w:r>
        <w:rPr>
          <w:rFonts w:ascii="Arial" w:cs="Arial" w:eastAsia="Arial" w:hAnsi="Arial"/>
          <w:sz w:val="22"/>
          <w:szCs w:val="22"/>
          <w:u w:val="single" w:color="auto"/>
          <w:color w:val="auto"/>
        </w:rPr>
        <w:t>Certain Rights Reserved</w:t>
      </w:r>
      <w:r>
        <w:rPr>
          <w:rFonts w:ascii="Arial" w:cs="Arial" w:eastAsia="Arial" w:hAnsi="Arial"/>
          <w:sz w:val="22"/>
          <w:szCs w:val="22"/>
          <w:color w:val="auto"/>
        </w:rPr>
        <w:t>. Nothing herein contained shall confer upon any Employee or other person the right (a) to continue in Employment or service of the Company or affect any right that the Company may have to terminate the Employment or service of (or to demote or to exclude from future participation in the Supplemental Plan) any such Employee or other person at any time for any reason, (b) to participate in the Supplemental Plan, or (c) to receive an annual base salary of any particular amount.</w:t>
      </w:r>
    </w:p>
    <w:p>
      <w:pPr>
        <w:spacing w:after="0" w:line="188" w:lineRule="exact"/>
        <w:rPr>
          <w:sz w:val="20"/>
          <w:szCs w:val="20"/>
          <w:color w:val="auto"/>
        </w:rPr>
      </w:pPr>
    </w:p>
    <w:p>
      <w:pPr>
        <w:ind w:left="760"/>
        <w:spacing w:after="0"/>
        <w:tabs>
          <w:tab w:leader="none" w:pos="212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19"/>
          <w:szCs w:val="19"/>
          <w:u w:val="single" w:color="auto"/>
          <w:color w:val="auto"/>
        </w:rPr>
        <w:t>Alienability of Benefits</w:t>
      </w:r>
      <w:r>
        <w:rPr>
          <w:rFonts w:ascii="Arial" w:cs="Arial" w:eastAsia="Arial" w:hAnsi="Arial"/>
          <w:sz w:val="19"/>
          <w:szCs w:val="19"/>
          <w:color w:val="auto"/>
        </w:rPr>
        <w:t>.</w:t>
      </w:r>
    </w:p>
    <w:p>
      <w:pPr>
        <w:spacing w:after="0" w:line="206" w:lineRule="exact"/>
        <w:rPr>
          <w:sz w:val="20"/>
          <w:szCs w:val="20"/>
          <w:color w:val="auto"/>
        </w:rPr>
      </w:pPr>
    </w:p>
    <w:p>
      <w:pPr>
        <w:jc w:val="both"/>
        <w:ind w:left="100" w:right="99" w:firstLine="1301"/>
        <w:spacing w:after="0" w:line="270" w:lineRule="auto"/>
        <w:tabs>
          <w:tab w:leader="none" w:pos="2136" w:val="left"/>
        </w:tabs>
        <w:numPr>
          <w:ilvl w:val="1"/>
          <w:numId w:val="51"/>
        </w:numPr>
        <w:rPr>
          <w:rFonts w:ascii="Arial" w:cs="Arial" w:eastAsia="Arial" w:hAnsi="Arial"/>
          <w:sz w:val="19"/>
          <w:szCs w:val="19"/>
          <w:color w:val="auto"/>
        </w:rPr>
      </w:pPr>
      <w:r>
        <w:rPr>
          <w:rFonts w:ascii="Arial" w:cs="Arial" w:eastAsia="Arial" w:hAnsi="Arial"/>
          <w:sz w:val="19"/>
          <w:szCs w:val="19"/>
          <w:color w:val="auto"/>
        </w:rPr>
        <w:t>Payments under the Supplemental Plan may not be assigned, transferred, pledged or hypothecated, and to the extent permitted by law, no such payments shall be subject to legal process or attachment for the payment of any claims against any person entitled to receive the same. Compliance with the provisions and conditions of any domestic relations order assigning a portion of a Participant’s benefit to an alternate payee (as defined in Section 414(p)(8) of the Code) (“Alternate Payee”) relating to an individual’s Supplemental Plan benefits, which the Administrator</w:t>
      </w:r>
    </w:p>
    <w:p>
      <w:pPr>
        <w:spacing w:after="0" w:line="1" w:lineRule="exact"/>
        <w:rPr>
          <w:rFonts w:ascii="Arial" w:cs="Arial" w:eastAsia="Arial" w:hAnsi="Arial"/>
          <w:sz w:val="19"/>
          <w:szCs w:val="19"/>
          <w:color w:val="auto"/>
        </w:rPr>
      </w:pPr>
    </w:p>
    <w:p>
      <w:pPr>
        <w:jc w:val="both"/>
        <w:ind w:left="100" w:right="99" w:firstLine="5"/>
        <w:spacing w:after="0" w:line="271" w:lineRule="auto"/>
        <w:tabs>
          <w:tab w:leader="none" w:pos="371" w:val="left"/>
        </w:tabs>
        <w:numPr>
          <w:ilvl w:val="0"/>
          <w:numId w:val="52"/>
        </w:numPr>
        <w:rPr>
          <w:rFonts w:ascii="Arial" w:cs="Arial" w:eastAsia="Arial" w:hAnsi="Arial"/>
          <w:sz w:val="19"/>
          <w:szCs w:val="19"/>
          <w:color w:val="auto"/>
        </w:rPr>
      </w:pPr>
      <w:r>
        <w:rPr>
          <w:rFonts w:ascii="Arial" w:cs="Arial" w:eastAsia="Arial" w:hAnsi="Arial"/>
          <w:sz w:val="19"/>
          <w:szCs w:val="19"/>
          <w:color w:val="auto"/>
        </w:rPr>
        <w:t>has determined is a lawful order of a domestic relations court and (ii) has approved as consistent with the terms of the Supplemental Plan (a “DRO” or “Approved DRO”), shall not be considered a violation of this provision. An Approved DRO must identify the Alternate Payee and this Supplemental Pension Plan (409A Non-Grandfathered Component) as the plan to which the DRO applies, describe the amount payable to the Alternate Payee (or the formula by which such amount may be determined), and must not provide for any type or form of benefit not provided under the Supplemental Plan (409A Non-Grandfathered Component), require the Supplemental Plan (409A Non-Grandfathered Component) to provide increased benefits (determined on the basis of actuarial value) or require the payment of benefits to an Alternate Payee which are required to be paid to another Alternate Payee in accordance with another previously Approved DRO.</w:t>
      </w:r>
    </w:p>
    <w:p>
      <w:pPr>
        <w:spacing w:after="0" w:line="161" w:lineRule="exact"/>
        <w:rPr>
          <w:rFonts w:ascii="Arial" w:cs="Arial" w:eastAsia="Arial" w:hAnsi="Arial"/>
          <w:sz w:val="19"/>
          <w:szCs w:val="19"/>
          <w:color w:val="auto"/>
        </w:rPr>
      </w:pPr>
    </w:p>
    <w:p>
      <w:pPr>
        <w:jc w:val="both"/>
        <w:ind w:left="100" w:right="99" w:firstLine="1301"/>
        <w:spacing w:after="0" w:line="279" w:lineRule="auto"/>
        <w:tabs>
          <w:tab w:leader="none" w:pos="2121" w:val="left"/>
        </w:tabs>
        <w:numPr>
          <w:ilvl w:val="1"/>
          <w:numId w:val="52"/>
        </w:numPr>
        <w:rPr>
          <w:rFonts w:ascii="Arial" w:cs="Arial" w:eastAsia="Arial" w:hAnsi="Arial"/>
          <w:sz w:val="19"/>
          <w:szCs w:val="19"/>
          <w:color w:val="auto"/>
        </w:rPr>
      </w:pPr>
      <w:r>
        <w:rPr>
          <w:rFonts w:ascii="Arial" w:cs="Arial" w:eastAsia="Arial" w:hAnsi="Arial"/>
          <w:sz w:val="19"/>
          <w:szCs w:val="19"/>
          <w:color w:val="auto"/>
        </w:rPr>
        <w:t>The benefit assigned to an Alternate Payee in accordance with an Approved DRO shall be paid in the form of (i) an actuarially-equivalent (using factors set forth in the Pension Plan) single life annuity payable in equal monthly installments to the Alternate Payee for his or her lifetime, or (ii) subject to Section 10.2(d), a designated dollar amount or percentage of each periodic payment to the Participant from the Supplemental Plan (409A Non-Grandfathered Component) as, when and if payable. No other forms of payment to an Alternate Payee are available.</w:t>
      </w:r>
    </w:p>
    <w:p>
      <w:pPr>
        <w:spacing w:after="0" w:line="150" w:lineRule="exact"/>
        <w:rPr>
          <w:rFonts w:ascii="Arial" w:cs="Arial" w:eastAsia="Arial" w:hAnsi="Arial"/>
          <w:sz w:val="19"/>
          <w:szCs w:val="19"/>
          <w:color w:val="auto"/>
        </w:rPr>
      </w:pPr>
    </w:p>
    <w:p>
      <w:pPr>
        <w:ind w:left="2100" w:hanging="699"/>
        <w:spacing w:after="0"/>
        <w:tabs>
          <w:tab w:leader="none" w:pos="2100" w:val="left"/>
        </w:tabs>
        <w:numPr>
          <w:ilvl w:val="1"/>
          <w:numId w:val="52"/>
        </w:numPr>
        <w:rPr>
          <w:rFonts w:ascii="Arial" w:cs="Arial" w:eastAsia="Arial" w:hAnsi="Arial"/>
          <w:sz w:val="22"/>
          <w:szCs w:val="22"/>
          <w:color w:val="auto"/>
        </w:rPr>
      </w:pPr>
      <w:r>
        <w:rPr>
          <w:rFonts w:ascii="Arial" w:cs="Arial" w:eastAsia="Arial" w:hAnsi="Arial"/>
          <w:sz w:val="22"/>
          <w:szCs w:val="22"/>
          <w:color w:val="auto"/>
        </w:rPr>
        <w:t>Payment of the Alternate Payee’s benefit shall commence as follows:</w:t>
      </w:r>
    </w:p>
    <w:p>
      <w:pPr>
        <w:spacing w:after="0" w:line="206" w:lineRule="exact"/>
        <w:rPr>
          <w:rFonts w:ascii="Arial" w:cs="Arial" w:eastAsia="Arial" w:hAnsi="Arial"/>
          <w:sz w:val="22"/>
          <w:szCs w:val="22"/>
          <w:color w:val="auto"/>
        </w:rPr>
      </w:pPr>
    </w:p>
    <w:p>
      <w:pPr>
        <w:jc w:val="both"/>
        <w:ind w:left="100" w:right="99" w:firstLine="1949"/>
        <w:spacing w:after="0" w:line="248" w:lineRule="auto"/>
        <w:tabs>
          <w:tab w:leader="none" w:pos="2789" w:val="left"/>
        </w:tabs>
        <w:numPr>
          <w:ilvl w:val="2"/>
          <w:numId w:val="52"/>
        </w:numPr>
        <w:rPr>
          <w:rFonts w:ascii="Arial" w:cs="Arial" w:eastAsia="Arial" w:hAnsi="Arial"/>
          <w:sz w:val="21"/>
          <w:szCs w:val="21"/>
          <w:color w:val="auto"/>
        </w:rPr>
      </w:pPr>
      <w:r>
        <w:rPr>
          <w:rFonts w:ascii="Arial" w:cs="Arial" w:eastAsia="Arial" w:hAnsi="Arial"/>
          <w:sz w:val="21"/>
          <w:szCs w:val="21"/>
          <w:color w:val="auto"/>
        </w:rPr>
        <w:t>if the Alternate Payee’s benefit under the Supplemental Plan (409A Non-Grandfathered Component) is payable in the form of a single life annuity for the lifetime of the Alternate Payee, as of the first day of any month specified in the DRO or elected by the Alternate Payee in accordance with terms of the DRO; provided, however, that payment of such benefit shall not commence prior to the later of: (A) the first day of the month next following the date the Participant attains Earliest Retirement Age (as defined in Section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66" w:name="page67"/>
    <w:bookmarkEnd w:id="66"/>
    <w:p>
      <w:pPr>
        <w:jc w:val="both"/>
        <w:ind w:left="100" w:right="99"/>
        <w:spacing w:after="0" w:line="234" w:lineRule="auto"/>
        <w:rPr>
          <w:sz w:val="20"/>
          <w:szCs w:val="20"/>
          <w:color w:val="auto"/>
        </w:rPr>
      </w:pPr>
      <w:r>
        <w:rPr>
          <w:rFonts w:ascii="Arial" w:cs="Arial" w:eastAsia="Arial" w:hAnsi="Arial"/>
          <w:sz w:val="22"/>
          <w:szCs w:val="22"/>
          <w:color w:val="auto"/>
        </w:rPr>
        <w:t>414(p)(4)(B) of the Code); or (B) the first day of the month next following the month in which the Administrator makes the determination, as described in Section 10.2(a) above, that the domestic relations order is an Approved DRO and is able to determine the amount payable to the Alternate Payee. Furthermore payment of such benefit shall commence not later than the later of: (X) the Participant’s Normal Retirement Date; or (Y) the first day of the month next following the month in which the Administrator makes the determination, as described in Section 10.2(a) above, that the domestic relations order is an Approved DRO and is able to determine the amount payable to the Alternate Payee.</w:t>
      </w:r>
    </w:p>
    <w:p>
      <w:pPr>
        <w:spacing w:after="0" w:line="188" w:lineRule="exact"/>
        <w:rPr>
          <w:sz w:val="20"/>
          <w:szCs w:val="20"/>
          <w:color w:val="auto"/>
        </w:rPr>
      </w:pPr>
    </w:p>
    <w:p>
      <w:pPr>
        <w:jc w:val="both"/>
        <w:ind w:left="100" w:right="99" w:firstLine="1949"/>
        <w:spacing w:after="0" w:line="272" w:lineRule="auto"/>
        <w:tabs>
          <w:tab w:leader="none" w:pos="2822" w:val="left"/>
        </w:tabs>
        <w:numPr>
          <w:ilvl w:val="1"/>
          <w:numId w:val="53"/>
        </w:numPr>
        <w:rPr>
          <w:rFonts w:ascii="Arial" w:cs="Arial" w:eastAsia="Arial" w:hAnsi="Arial"/>
          <w:sz w:val="19"/>
          <w:szCs w:val="19"/>
          <w:color w:val="auto"/>
        </w:rPr>
      </w:pPr>
      <w:r>
        <w:rPr>
          <w:rFonts w:ascii="Arial" w:cs="Arial" w:eastAsia="Arial" w:hAnsi="Arial"/>
          <w:sz w:val="19"/>
          <w:szCs w:val="19"/>
          <w:color w:val="auto"/>
        </w:rPr>
        <w:t>if the DRO assigns a benefit to the Alternate Payee of a designated dollar amount or percentage of each periodic payment to the Participant from the Supplemental Plan (409A Non-Grandfathered Component) as, when and if payable, such benefit shall commence on the later of: (A) the date on which payments to the Participant from the Supplemental Plan (409A Non-Grandfathered Component) commence; or (B) the first day of the month coinciding with or next following the date specified in the DRO; provided, however, in no case shall payment of such benefit commence prior to the first day of the month next following the month in which the Administrator makes the determination, as described in Section 10.2(a) above, that the domestic relations order is an Approved DRO and is able to determine the amount payable to the Alternate Payee. Subject to Section 10.2(d), payments under the form described in this Section 10.2(c)(ii) shall cease as of the payment due for the month in which the death of the Participant or Alternate Payee occurs, whichever occurs first, or as of such earlier date specified in the DRO.</w:t>
      </w:r>
    </w:p>
    <w:p>
      <w:pPr>
        <w:spacing w:after="0" w:line="161" w:lineRule="exact"/>
        <w:rPr>
          <w:rFonts w:ascii="Arial" w:cs="Arial" w:eastAsia="Arial" w:hAnsi="Arial"/>
          <w:sz w:val="19"/>
          <w:szCs w:val="19"/>
          <w:color w:val="auto"/>
        </w:rPr>
      </w:pPr>
    </w:p>
    <w:p>
      <w:pPr>
        <w:jc w:val="both"/>
        <w:ind w:left="100" w:right="99" w:firstLine="653"/>
        <w:spacing w:after="0" w:line="279" w:lineRule="auto"/>
        <w:tabs>
          <w:tab w:leader="none" w:pos="1446" w:val="left"/>
        </w:tabs>
        <w:numPr>
          <w:ilvl w:val="0"/>
          <w:numId w:val="54"/>
        </w:numPr>
        <w:rPr>
          <w:rFonts w:ascii="Arial" w:cs="Arial" w:eastAsia="Arial" w:hAnsi="Arial"/>
          <w:sz w:val="19"/>
          <w:szCs w:val="19"/>
          <w:color w:val="auto"/>
        </w:rPr>
      </w:pPr>
      <w:r>
        <w:rPr>
          <w:rFonts w:ascii="Arial" w:cs="Arial" w:eastAsia="Arial" w:hAnsi="Arial"/>
          <w:sz w:val="19"/>
          <w:szCs w:val="19"/>
          <w:color w:val="auto"/>
        </w:rPr>
        <w:t>No Alternate Payee shall have the right with respect to any benefit payable by reason of a DRO to designate a beneficiary with respect to amounts becoming payable under the Supplemental Plan (409A Non-Grandfathered Component), except in the case of a DRO assigning a benefit to the Alternate Payee of a designated dollar amount or percentage of each periodic payment to the Participant from the Supplemental Plan (409A Non-Grandfathered Component), but only to the extent that such beneficiary could be an Alternate Payee with respect to the Participant’s benefit.</w:t>
      </w:r>
    </w:p>
    <w:p>
      <w:pPr>
        <w:spacing w:after="0" w:line="151" w:lineRule="exact"/>
        <w:rPr>
          <w:sz w:val="20"/>
          <w:szCs w:val="20"/>
          <w:color w:val="auto"/>
        </w:rPr>
      </w:pPr>
    </w:p>
    <w:p>
      <w:pPr>
        <w:jc w:val="both"/>
        <w:ind w:left="100" w:right="99" w:firstLine="648"/>
        <w:spacing w:after="0" w:line="279" w:lineRule="auto"/>
        <w:rPr>
          <w:sz w:val="20"/>
          <w:szCs w:val="20"/>
          <w:color w:val="auto"/>
        </w:rPr>
      </w:pPr>
      <w:r>
        <w:rPr>
          <w:rFonts w:ascii="Arial" w:cs="Arial" w:eastAsia="Arial" w:hAnsi="Arial"/>
          <w:sz w:val="19"/>
          <w:szCs w:val="19"/>
          <w:color w:val="auto"/>
        </w:rPr>
        <w:t xml:space="preserve">10.3 </w:t>
      </w:r>
      <w:r>
        <w:rPr>
          <w:rFonts w:ascii="Arial" w:cs="Arial" w:eastAsia="Arial" w:hAnsi="Arial"/>
          <w:sz w:val="19"/>
          <w:szCs w:val="19"/>
          <w:u w:val="single" w:color="auto"/>
          <w:color w:val="auto"/>
        </w:rPr>
        <w:t>Payment Due an Incompetent</w:t>
      </w:r>
      <w:r>
        <w:rPr>
          <w:rFonts w:ascii="Arial" w:cs="Arial" w:eastAsia="Arial" w:hAnsi="Arial"/>
          <w:sz w:val="19"/>
          <w:szCs w:val="19"/>
          <w:color w:val="auto"/>
        </w:rPr>
        <w:t>. If it shall be found that any person to whom a payment is due hereunder is unable to care for that person’s affairs because of physical or mental disability, as determined by a licensed physician, the Administrator shall have the authority to cause the payments becoming due such person to be made to the legally appointed guardian of any such person or to the spouse, brother, sister, or other person as it shall determine. Payments made pursuant to such power shall operate as a complete discharge of the Company’s obligations.</w:t>
      </w:r>
    </w:p>
    <w:p>
      <w:pPr>
        <w:spacing w:after="0" w:line="122" w:lineRule="exact"/>
        <w:rPr>
          <w:sz w:val="20"/>
          <w:szCs w:val="20"/>
          <w:color w:val="auto"/>
        </w:rPr>
      </w:pPr>
    </w:p>
    <w:tbl>
      <w:tblPr>
        <w:tblLayout w:type="fixed"/>
        <w:tblInd w:w="100" w:type="dxa"/>
        <w:tblCellMar>
          <w:top w:w="0" w:type="dxa"/>
          <w:left w:w="0" w:type="dxa"/>
          <w:bottom w:w="0" w:type="dxa"/>
          <w:right w:w="0" w:type="dxa"/>
        </w:tblCellMar>
      </w:tblPr>
      <w:tr>
        <w:trPr>
          <w:trHeight w:val="253"/>
        </w:trPr>
        <w:tc>
          <w:tcPr>
            <w:tcW w:w="1520" w:type="dxa"/>
            <w:vAlign w:val="bottom"/>
          </w:tcPr>
          <w:p>
            <w:pPr>
              <w:jc w:val="right"/>
              <w:ind w:right="372"/>
              <w:spacing w:after="0"/>
              <w:rPr>
                <w:sz w:val="20"/>
                <w:szCs w:val="20"/>
                <w:color w:val="auto"/>
              </w:rPr>
            </w:pPr>
            <w:r>
              <w:rPr>
                <w:rFonts w:ascii="Arial" w:cs="Arial" w:eastAsia="Arial" w:hAnsi="Arial"/>
                <w:sz w:val="22"/>
                <w:szCs w:val="22"/>
                <w:color w:val="auto"/>
              </w:rPr>
              <w:t>10.4</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w w:val="88"/>
              </w:rPr>
              <w:t>Governing</w:t>
            </w:r>
          </w:p>
        </w:tc>
        <w:tc>
          <w:tcPr>
            <w:tcW w:w="5820" w:type="dxa"/>
            <w:vAlign w:val="bottom"/>
            <w:gridSpan w:val="2"/>
          </w:tcPr>
          <w:p>
            <w:pPr>
              <w:ind w:left="40"/>
              <w:spacing w:after="0"/>
              <w:rPr>
                <w:sz w:val="20"/>
                <w:szCs w:val="20"/>
                <w:color w:val="auto"/>
              </w:rPr>
            </w:pPr>
            <w:r>
              <w:rPr>
                <w:rFonts w:ascii="Arial" w:cs="Arial" w:eastAsia="Arial" w:hAnsi="Arial"/>
                <w:sz w:val="22"/>
                <w:szCs w:val="22"/>
                <w:color w:val="auto"/>
                <w:w w:val="92"/>
              </w:rPr>
              <w:t>Law. The Supplemental Plan shall be construed and enforced in</w:t>
            </w:r>
          </w:p>
        </w:tc>
        <w:tc>
          <w:tcPr>
            <w:tcW w:w="0" w:type="dxa"/>
            <w:vAlign w:val="bottom"/>
          </w:tcPr>
          <w:p>
            <w:pPr>
              <w:spacing w:after="0"/>
              <w:rPr>
                <w:sz w:val="1"/>
                <w:szCs w:val="1"/>
                <w:color w:val="auto"/>
              </w:rPr>
            </w:pPr>
          </w:p>
        </w:tc>
      </w:tr>
      <w:tr>
        <w:trPr>
          <w:trHeight w:val="20"/>
        </w:trPr>
        <w:tc>
          <w:tcPr>
            <w:tcW w:w="1520" w:type="dxa"/>
            <w:vAlign w:val="bottom"/>
            <w:vMerge w:val="restart"/>
          </w:tcPr>
          <w:p>
            <w:pPr>
              <w:jc w:val="right"/>
              <w:spacing w:after="0"/>
              <w:rPr>
                <w:sz w:val="20"/>
                <w:szCs w:val="20"/>
                <w:color w:val="auto"/>
              </w:rPr>
            </w:pPr>
            <w:r>
              <w:rPr>
                <w:rFonts w:ascii="Arial" w:cs="Arial" w:eastAsia="Arial" w:hAnsi="Arial"/>
                <w:sz w:val="22"/>
                <w:szCs w:val="22"/>
                <w:color w:val="auto"/>
                <w:w w:val="90"/>
              </w:rPr>
              <w:t>accordance with</w:t>
            </w:r>
          </w:p>
        </w:tc>
        <w:tc>
          <w:tcPr>
            <w:tcW w:w="5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1520" w:type="dxa"/>
            <w:vAlign w:val="bottom"/>
            <w:vMerge w:val="continue"/>
          </w:tcPr>
          <w:p>
            <w:pPr>
              <w:spacing w:after="0"/>
              <w:rPr>
                <w:sz w:val="22"/>
                <w:szCs w:val="22"/>
                <w:color w:val="auto"/>
              </w:rPr>
            </w:pPr>
          </w:p>
        </w:tc>
        <w:tc>
          <w:tcPr>
            <w:tcW w:w="1480" w:type="dxa"/>
            <w:vAlign w:val="bottom"/>
            <w:gridSpan w:val="2"/>
          </w:tcPr>
          <w:p>
            <w:pPr>
              <w:jc w:val="right"/>
              <w:spacing w:after="0"/>
              <w:rPr>
                <w:sz w:val="20"/>
                <w:szCs w:val="20"/>
                <w:color w:val="auto"/>
              </w:rPr>
            </w:pPr>
            <w:r>
              <w:rPr>
                <w:rFonts w:ascii="Arial" w:cs="Arial" w:eastAsia="Arial" w:hAnsi="Arial"/>
                <w:sz w:val="22"/>
                <w:szCs w:val="22"/>
                <w:color w:val="auto"/>
              </w:rPr>
              <w:t>the laws of the</w:t>
            </w:r>
          </w:p>
        </w:tc>
        <w:tc>
          <w:tcPr>
            <w:tcW w:w="5820" w:type="dxa"/>
            <w:vAlign w:val="bottom"/>
            <w:gridSpan w:val="2"/>
          </w:tcPr>
          <w:p>
            <w:pPr>
              <w:ind w:left="60"/>
              <w:spacing w:after="0"/>
              <w:rPr>
                <w:sz w:val="20"/>
                <w:szCs w:val="20"/>
                <w:color w:val="auto"/>
              </w:rPr>
            </w:pPr>
            <w:r>
              <w:rPr>
                <w:rFonts w:ascii="Arial" w:cs="Arial" w:eastAsia="Arial" w:hAnsi="Arial"/>
                <w:sz w:val="22"/>
                <w:szCs w:val="22"/>
                <w:color w:val="auto"/>
                <w:w w:val="96"/>
              </w:rPr>
              <w:t>State of Nebraska (without regard to the legislative or judicial</w:t>
            </w:r>
          </w:p>
        </w:tc>
        <w:tc>
          <w:tcPr>
            <w:tcW w:w="0" w:type="dxa"/>
            <w:vAlign w:val="bottom"/>
          </w:tcPr>
          <w:p>
            <w:pPr>
              <w:spacing w:after="0"/>
              <w:rPr>
                <w:sz w:val="1"/>
                <w:szCs w:val="1"/>
                <w:color w:val="auto"/>
              </w:rPr>
            </w:pPr>
          </w:p>
        </w:tc>
      </w:tr>
    </w:tbl>
    <w:p>
      <w:pPr>
        <w:ind w:left="100"/>
        <w:spacing w:after="0"/>
        <w:rPr>
          <w:sz w:val="20"/>
          <w:szCs w:val="20"/>
          <w:color w:val="auto"/>
        </w:rPr>
      </w:pPr>
      <w:r>
        <w:rPr>
          <w:rFonts w:ascii="Arial" w:cs="Arial" w:eastAsia="Arial" w:hAnsi="Arial"/>
          <w:sz w:val="22"/>
          <w:szCs w:val="22"/>
          <w:color w:val="auto"/>
        </w:rPr>
        <w:t>conflict of laws rules of any state), except to the extent superseded by any federal law.</w:t>
      </w:r>
    </w:p>
    <w:p>
      <w:pPr>
        <w:spacing w:after="0" w:line="188" w:lineRule="exact"/>
        <w:rPr>
          <w:sz w:val="20"/>
          <w:szCs w:val="20"/>
          <w:color w:val="auto"/>
        </w:rPr>
      </w:pPr>
    </w:p>
    <w:p>
      <w:pPr>
        <w:jc w:val="both"/>
        <w:ind w:left="100" w:right="99" w:firstLine="648"/>
        <w:spacing w:after="0" w:line="287" w:lineRule="auto"/>
        <w:rPr>
          <w:sz w:val="20"/>
          <w:szCs w:val="20"/>
          <w:color w:val="auto"/>
        </w:rPr>
      </w:pPr>
      <w:r>
        <w:rPr>
          <w:rFonts w:ascii="Arial" w:cs="Arial" w:eastAsia="Arial" w:hAnsi="Arial"/>
          <w:sz w:val="19"/>
          <w:szCs w:val="19"/>
          <w:color w:val="auto"/>
        </w:rPr>
        <w:t xml:space="preserve">10.5 </w:t>
      </w:r>
      <w:r>
        <w:rPr>
          <w:rFonts w:ascii="Arial" w:cs="Arial" w:eastAsia="Arial" w:hAnsi="Arial"/>
          <w:sz w:val="19"/>
          <w:szCs w:val="19"/>
          <w:u w:val="single" w:color="auto"/>
          <w:color w:val="auto"/>
        </w:rPr>
        <w:t>Successors</w:t>
      </w:r>
      <w:r>
        <w:rPr>
          <w:rFonts w:ascii="Arial" w:cs="Arial" w:eastAsia="Arial" w:hAnsi="Arial"/>
          <w:sz w:val="19"/>
          <w:szCs w:val="19"/>
          <w:color w:val="auto"/>
        </w:rPr>
        <w:t>. This Supplemental Plan shall be binding upon any successor (whether direct or indirect, by purchase, merger, consolidated or otherwise) to all or substantially all of the business and/or assets of the Company in the same manner and to the same extent that the Company would be bound to perform if no such succession had taken place.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67" w:name="page68"/>
    <w:bookmarkEnd w:id="67"/>
    <w:p>
      <w:pPr>
        <w:jc w:val="both"/>
        <w:ind w:left="100" w:right="99" w:firstLine="648"/>
        <w:spacing w:after="0" w:line="238" w:lineRule="auto"/>
        <w:rPr>
          <w:sz w:val="20"/>
          <w:szCs w:val="20"/>
          <w:color w:val="auto"/>
        </w:rPr>
      </w:pPr>
      <w:r>
        <w:rPr>
          <w:rFonts w:ascii="Arial" w:cs="Arial" w:eastAsia="Arial" w:hAnsi="Arial"/>
          <w:sz w:val="22"/>
          <w:szCs w:val="22"/>
          <w:color w:val="auto"/>
        </w:rPr>
        <w:t xml:space="preserve">10.6 </w:t>
      </w:r>
      <w:r>
        <w:rPr>
          <w:rFonts w:ascii="Arial" w:cs="Arial" w:eastAsia="Arial" w:hAnsi="Arial"/>
          <w:sz w:val="22"/>
          <w:szCs w:val="22"/>
          <w:u w:val="single" w:color="auto"/>
          <w:color w:val="auto"/>
        </w:rPr>
        <w:t>Titles and Headings Not To Control</w:t>
      </w:r>
      <w:r>
        <w:rPr>
          <w:rFonts w:ascii="Arial" w:cs="Arial" w:eastAsia="Arial" w:hAnsi="Arial"/>
          <w:sz w:val="22"/>
          <w:szCs w:val="22"/>
          <w:color w:val="auto"/>
        </w:rPr>
        <w:t>. The titles and Articles of the Supplemental Plan and the headings of Sections and subsections of the Supplemental Plan are placed herein for convenience of reference only and, as such, shall have no force and effect in the interpretation of the Supplemental Plan.</w:t>
      </w:r>
    </w:p>
    <w:p>
      <w:pPr>
        <w:spacing w:after="0" w:line="185" w:lineRule="exact"/>
        <w:rPr>
          <w:sz w:val="20"/>
          <w:szCs w:val="20"/>
          <w:color w:val="auto"/>
        </w:rPr>
      </w:pPr>
    </w:p>
    <w:p>
      <w:pPr>
        <w:jc w:val="both"/>
        <w:ind w:left="100" w:right="99" w:firstLine="648"/>
        <w:spacing w:after="0" w:line="238" w:lineRule="auto"/>
        <w:rPr>
          <w:sz w:val="20"/>
          <w:szCs w:val="20"/>
          <w:color w:val="auto"/>
        </w:rPr>
      </w:pPr>
      <w:r>
        <w:rPr>
          <w:rFonts w:ascii="Arial" w:cs="Arial" w:eastAsia="Arial" w:hAnsi="Arial"/>
          <w:sz w:val="22"/>
          <w:szCs w:val="22"/>
          <w:color w:val="auto"/>
        </w:rPr>
        <w:t xml:space="preserve">10.7 </w:t>
      </w:r>
      <w:r>
        <w:rPr>
          <w:rFonts w:ascii="Arial" w:cs="Arial" w:eastAsia="Arial" w:hAnsi="Arial"/>
          <w:sz w:val="22"/>
          <w:szCs w:val="22"/>
          <w:u w:val="single" w:color="auto"/>
          <w:color w:val="auto"/>
        </w:rPr>
        <w:t>Severability</w:t>
      </w:r>
      <w:r>
        <w:rPr>
          <w:rFonts w:ascii="Arial" w:cs="Arial" w:eastAsia="Arial" w:hAnsi="Arial"/>
          <w:sz w:val="22"/>
          <w:szCs w:val="22"/>
          <w:color w:val="auto"/>
        </w:rPr>
        <w:t>. If any provisions of the Supplemental Plan shall be held unlawful or otherwise invalid or unenforceable in whole or in part, the unlawfulness, invalidity, or unenforceability shall not affect any provision of the Plan or part thereof, each of which shall remain in full force and effect.</w:t>
      </w:r>
    </w:p>
    <w:p>
      <w:pPr>
        <w:spacing w:after="0" w:line="185" w:lineRule="exact"/>
        <w:rPr>
          <w:sz w:val="20"/>
          <w:szCs w:val="20"/>
          <w:color w:val="auto"/>
        </w:rPr>
      </w:pPr>
    </w:p>
    <w:p>
      <w:pPr>
        <w:jc w:val="both"/>
        <w:ind w:left="100" w:right="99" w:firstLine="648"/>
        <w:spacing w:after="0" w:line="277" w:lineRule="auto"/>
        <w:rPr>
          <w:sz w:val="20"/>
          <w:szCs w:val="20"/>
          <w:color w:val="auto"/>
        </w:rPr>
      </w:pPr>
      <w:r>
        <w:rPr>
          <w:rFonts w:ascii="Arial" w:cs="Arial" w:eastAsia="Arial" w:hAnsi="Arial"/>
          <w:sz w:val="19"/>
          <w:szCs w:val="19"/>
          <w:color w:val="auto"/>
        </w:rPr>
        <w:t xml:space="preserve">10.8 </w:t>
      </w:r>
      <w:r>
        <w:rPr>
          <w:rFonts w:ascii="Arial" w:cs="Arial" w:eastAsia="Arial" w:hAnsi="Arial"/>
          <w:sz w:val="19"/>
          <w:szCs w:val="19"/>
          <w:u w:val="single" w:color="auto"/>
          <w:color w:val="auto"/>
        </w:rPr>
        <w:t>Determination and Withholding of Taxes</w:t>
      </w:r>
      <w:r>
        <w:rPr>
          <w:rFonts w:ascii="Arial" w:cs="Arial" w:eastAsia="Arial" w:hAnsi="Arial"/>
          <w:sz w:val="19"/>
          <w:szCs w:val="19"/>
          <w:color w:val="auto"/>
        </w:rPr>
        <w:t>. The Administrator shall have full authority to satisfy the responsibility of Union Pacific or any Affiliated Company to withhold taxes with respect to a Participant or former Participant, including FICA taxes, by withholding such taxes from any distributions under the Plan to the Participant or former Participant or his beneficiary or estate. The Administrator shall also have full authority, with or without the consent of the Participant of former Participant, to withhold from the individual’s compensation from any and all sources, any FICA or other taxes applicable to benefits accrued under the Supplemental Plan.</w:t>
      </w:r>
    </w:p>
    <w:p>
      <w:pPr>
        <w:spacing w:after="0" w:line="153" w:lineRule="exact"/>
        <w:rPr>
          <w:sz w:val="20"/>
          <w:szCs w:val="20"/>
          <w:color w:val="auto"/>
        </w:rPr>
      </w:pPr>
    </w:p>
    <w:p>
      <w:pPr>
        <w:jc w:val="both"/>
        <w:ind w:left="100" w:right="99" w:firstLine="648"/>
        <w:spacing w:after="0" w:line="236" w:lineRule="auto"/>
        <w:rPr>
          <w:sz w:val="20"/>
          <w:szCs w:val="20"/>
          <w:color w:val="auto"/>
        </w:rPr>
      </w:pPr>
      <w:r>
        <w:rPr>
          <w:rFonts w:ascii="Arial" w:cs="Arial" w:eastAsia="Arial" w:hAnsi="Arial"/>
          <w:sz w:val="22"/>
          <w:szCs w:val="22"/>
          <w:color w:val="auto"/>
        </w:rPr>
        <w:t xml:space="preserve">10.9 </w:t>
      </w:r>
      <w:r>
        <w:rPr>
          <w:rFonts w:ascii="Arial" w:cs="Arial" w:eastAsia="Arial" w:hAnsi="Arial"/>
          <w:sz w:val="22"/>
          <w:szCs w:val="22"/>
          <w:u w:val="single" w:color="auto"/>
          <w:color w:val="auto"/>
        </w:rPr>
        <w:t>Interpretation</w:t>
      </w:r>
      <w:r>
        <w:rPr>
          <w:rFonts w:ascii="Arial" w:cs="Arial" w:eastAsia="Arial" w:hAnsi="Arial"/>
          <w:sz w:val="22"/>
          <w:szCs w:val="22"/>
          <w:color w:val="auto"/>
        </w:rPr>
        <w:t>. This Supplemental Plan (409A Non-Grandfathered Component) is intended to satisfy the requirements of Section 409A of the Code, shall be interpreted in a manner consistent with such intent, and has been operated in reasonable good faith compliance with the requirements of Section 409A during the period of January 1, 2005 through December 31, 2008.</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68" w:name="page69"/>
    <w:bookmarkEnd w:id="68"/>
    <w:p>
      <w:pPr>
        <w:jc w:val="center"/>
        <w:spacing w:after="0"/>
        <w:rPr>
          <w:sz w:val="20"/>
          <w:szCs w:val="20"/>
          <w:color w:val="auto"/>
        </w:rPr>
      </w:pPr>
      <w:r>
        <w:rPr>
          <w:rFonts w:ascii="Arial" w:cs="Arial" w:eastAsia="Arial" w:hAnsi="Arial"/>
          <w:sz w:val="22"/>
          <w:szCs w:val="22"/>
          <w:b w:val="1"/>
          <w:bCs w:val="1"/>
          <w:u w:val="single" w:color="auto"/>
          <w:color w:val="auto"/>
        </w:rPr>
        <w:t>ARTICLE ELEVEN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Transfers to Non-Covered Employment</w:t>
      </w:r>
    </w:p>
    <w:p>
      <w:pPr>
        <w:spacing w:after="0" w:line="91" w:lineRule="exact"/>
        <w:rPr>
          <w:sz w:val="20"/>
          <w:szCs w:val="20"/>
          <w:color w:val="auto"/>
        </w:rPr>
      </w:pPr>
    </w:p>
    <w:p>
      <w:pPr>
        <w:jc w:val="both"/>
        <w:ind w:left="100" w:right="99" w:firstLine="648"/>
        <w:spacing w:after="0" w:line="247" w:lineRule="exact"/>
        <w:rPr>
          <w:sz w:val="20"/>
          <w:szCs w:val="20"/>
          <w:color w:val="auto"/>
        </w:rPr>
      </w:pPr>
      <w:r>
        <w:rPr>
          <w:rFonts w:ascii="Arial" w:cs="Arial" w:eastAsia="Arial" w:hAnsi="Arial"/>
          <w:sz w:val="19"/>
          <w:szCs w:val="19"/>
          <w:color w:val="auto"/>
        </w:rPr>
        <w:t>11.1 Notwithstanding any other provision of this Supplemental Plan (409A Non</w:t>
      </w:r>
      <w:r>
        <w:rPr>
          <w:rFonts w:ascii="MS PGothic" w:cs="MS PGothic" w:eastAsia="MS PGothic" w:hAnsi="MS PGothic"/>
          <w:sz w:val="19"/>
          <w:szCs w:val="19"/>
          <w:color w:val="auto"/>
        </w:rPr>
        <w:t>‑</w:t>
      </w:r>
      <w:r>
        <w:rPr>
          <w:rFonts w:ascii="Arial" w:cs="Arial" w:eastAsia="Arial" w:hAnsi="Arial"/>
          <w:sz w:val="19"/>
          <w:szCs w:val="19"/>
          <w:color w:val="auto"/>
        </w:rPr>
        <w:t>Grandfathered Component) to the contrary, if a Participant is transferred to the employment of an Affiliated Company that has not adopted the Supplemental Plan (“non-covered employment”), upon the approval of the Chief Executive Officer of Union Pacific, any benefits to which such Participant (or his Surviving Spouse or other beneficiary) would be entitled under the Pension Plan, the Supplemental Plan (409A Non</w:t>
      </w:r>
      <w:r>
        <w:rPr>
          <w:rFonts w:ascii="MS PGothic" w:cs="MS PGothic" w:eastAsia="MS PGothic" w:hAnsi="MS PGothic"/>
          <w:sz w:val="19"/>
          <w:szCs w:val="19"/>
          <w:color w:val="auto"/>
        </w:rPr>
        <w:t>‑</w:t>
      </w:r>
      <w:r>
        <w:rPr>
          <w:rFonts w:ascii="Arial" w:cs="Arial" w:eastAsia="Arial" w:hAnsi="Arial"/>
          <w:sz w:val="19"/>
          <w:szCs w:val="19"/>
          <w:color w:val="auto"/>
        </w:rPr>
        <w:t>Grandfathered Component), or both, by treating such Participant’s non-covered employment as if it were service covered by such Plans and by aggregating such service with the Participant’s other service covered by the Plans shall be provided to the Participant under this Section 11.1 to the extent that such benefits exceed the aggregate of (a) the Participant’s benefits under the Pension Plan, (b) the Participant’s benefits under the Supplemental Plan (409A Non</w:t>
      </w:r>
      <w:r>
        <w:rPr>
          <w:rFonts w:ascii="MS PGothic" w:cs="MS PGothic" w:eastAsia="MS PGothic" w:hAnsi="MS PGothic"/>
          <w:sz w:val="19"/>
          <w:szCs w:val="19"/>
          <w:color w:val="auto"/>
        </w:rPr>
        <w:t>‑</w:t>
      </w:r>
      <w:r>
        <w:rPr>
          <w:rFonts w:ascii="Arial" w:cs="Arial" w:eastAsia="Arial" w:hAnsi="Arial"/>
          <w:sz w:val="19"/>
          <w:szCs w:val="19"/>
          <w:color w:val="auto"/>
        </w:rPr>
        <w:t>Grandfathered Component) determined without regard to this Section 11.1, and (c) the Participant’s benefits under any pension plan of the Affiliated Company that are based on the Participant’s non-covered employment and/or employment otherwise covered by the Pension and Supplemental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69" w:name="page70"/>
    <w:bookmarkEnd w:id="69"/>
    <w:tbl>
      <w:tblPr>
        <w:tblLayout w:type="fixed"/>
        <w:tblInd w:w="760" w:type="dxa"/>
        <w:tblCellMar>
          <w:top w:w="0" w:type="dxa"/>
          <w:left w:w="0" w:type="dxa"/>
          <w:bottom w:w="0" w:type="dxa"/>
          <w:right w:w="0" w:type="dxa"/>
        </w:tblCellMar>
      </w:tblPr>
      <w:tr>
        <w:trPr>
          <w:trHeight w:val="281"/>
        </w:trPr>
        <w:tc>
          <w:tcPr>
            <w:tcW w:w="900" w:type="dxa"/>
            <w:vAlign w:val="bottom"/>
          </w:tcPr>
          <w:p>
            <w:pPr>
              <w:spacing w:after="0"/>
              <w:rPr>
                <w:sz w:val="24"/>
                <w:szCs w:val="24"/>
                <w:color w:val="auto"/>
              </w:rPr>
            </w:pPr>
          </w:p>
        </w:tc>
        <w:tc>
          <w:tcPr>
            <w:tcW w:w="7260" w:type="dxa"/>
            <w:vAlign w:val="bottom"/>
          </w:tcPr>
          <w:p>
            <w:pPr>
              <w:jc w:val="center"/>
              <w:ind w:right="1432"/>
              <w:spacing w:after="0"/>
              <w:rPr>
                <w:sz w:val="20"/>
                <w:szCs w:val="20"/>
                <w:color w:val="auto"/>
              </w:rPr>
            </w:pPr>
            <w:r>
              <w:rPr>
                <w:rFonts w:ascii="Arial" w:cs="Arial" w:eastAsia="Arial" w:hAnsi="Arial"/>
                <w:sz w:val="22"/>
                <w:szCs w:val="22"/>
                <w:b w:val="1"/>
                <w:bCs w:val="1"/>
                <w:u w:val="single" w:color="auto"/>
                <w:color w:val="auto"/>
              </w:rPr>
              <w:t>ARTICLE TWELVE</w:t>
            </w:r>
          </w:p>
        </w:tc>
      </w:tr>
      <w:tr>
        <w:trPr>
          <w:trHeight w:val="432"/>
        </w:trPr>
        <w:tc>
          <w:tcPr>
            <w:tcW w:w="900" w:type="dxa"/>
            <w:vAlign w:val="bottom"/>
          </w:tcPr>
          <w:p>
            <w:pPr>
              <w:spacing w:after="0"/>
              <w:rPr>
                <w:sz w:val="24"/>
                <w:szCs w:val="24"/>
                <w:color w:val="auto"/>
              </w:rPr>
            </w:pPr>
          </w:p>
        </w:tc>
        <w:tc>
          <w:tcPr>
            <w:tcW w:w="7260" w:type="dxa"/>
            <w:vAlign w:val="bottom"/>
          </w:tcPr>
          <w:p>
            <w:pPr>
              <w:jc w:val="center"/>
              <w:ind w:right="1452"/>
              <w:spacing w:after="0"/>
              <w:rPr>
                <w:sz w:val="20"/>
                <w:szCs w:val="20"/>
                <w:color w:val="auto"/>
              </w:rPr>
            </w:pPr>
            <w:r>
              <w:rPr>
                <w:rFonts w:ascii="Arial" w:cs="Arial" w:eastAsia="Arial" w:hAnsi="Arial"/>
                <w:sz w:val="22"/>
                <w:szCs w:val="22"/>
                <w:b w:val="1"/>
                <w:bCs w:val="1"/>
                <w:u w:val="single" w:color="auto"/>
                <w:color w:val="auto"/>
                <w:w w:val="88"/>
              </w:rPr>
              <w:t>Claims Procedure</w:t>
            </w:r>
          </w:p>
        </w:tc>
      </w:tr>
      <w:tr>
        <w:trPr>
          <w:trHeight w:val="324"/>
        </w:trPr>
        <w:tc>
          <w:tcPr>
            <w:tcW w:w="900" w:type="dxa"/>
            <w:vAlign w:val="bottom"/>
          </w:tcPr>
          <w:p>
            <w:pPr>
              <w:jc w:val="right"/>
              <w:ind w:right="412"/>
              <w:spacing w:after="0"/>
              <w:rPr>
                <w:sz w:val="20"/>
                <w:szCs w:val="20"/>
                <w:color w:val="auto"/>
              </w:rPr>
            </w:pPr>
            <w:r>
              <w:rPr>
                <w:rFonts w:ascii="Arial" w:cs="Arial" w:eastAsia="Arial" w:hAnsi="Arial"/>
                <w:sz w:val="22"/>
                <w:szCs w:val="22"/>
                <w:color w:val="auto"/>
                <w:w w:val="83"/>
              </w:rPr>
              <w:t>12.1</w:t>
            </w:r>
          </w:p>
        </w:tc>
        <w:tc>
          <w:tcPr>
            <w:tcW w:w="7260" w:type="dxa"/>
            <w:vAlign w:val="bottom"/>
          </w:tcPr>
          <w:p>
            <w:pPr>
              <w:ind w:left="520"/>
              <w:spacing w:after="0"/>
              <w:rPr>
                <w:sz w:val="20"/>
                <w:szCs w:val="20"/>
                <w:color w:val="auto"/>
              </w:rPr>
            </w:pPr>
            <w:r>
              <w:rPr>
                <w:rFonts w:ascii="Arial" w:cs="Arial" w:eastAsia="Arial" w:hAnsi="Arial"/>
                <w:sz w:val="22"/>
                <w:szCs w:val="22"/>
                <w:u w:val="single" w:color="auto"/>
                <w:color w:val="auto"/>
                <w:w w:val="97"/>
              </w:rPr>
              <w:t>Application for Benefits</w:t>
            </w:r>
            <w:r>
              <w:rPr>
                <w:rFonts w:ascii="Arial" w:cs="Arial" w:eastAsia="Arial" w:hAnsi="Arial"/>
                <w:sz w:val="22"/>
                <w:szCs w:val="22"/>
                <w:color w:val="auto"/>
                <w:w w:val="97"/>
              </w:rPr>
              <w:t>. Each Participant, former Participant, Surviving</w:t>
            </w:r>
          </w:p>
        </w:tc>
      </w:tr>
    </w:tbl>
    <w:p>
      <w:pPr>
        <w:jc w:val="both"/>
        <w:ind w:left="100" w:right="99"/>
        <w:spacing w:after="0" w:line="287" w:lineRule="auto"/>
        <w:rPr>
          <w:sz w:val="20"/>
          <w:szCs w:val="20"/>
          <w:color w:val="auto"/>
        </w:rPr>
      </w:pPr>
      <w:r>
        <w:rPr>
          <w:rFonts w:ascii="Arial" w:cs="Arial" w:eastAsia="Arial" w:hAnsi="Arial"/>
          <w:sz w:val="19"/>
          <w:szCs w:val="19"/>
          <w:color w:val="auto"/>
        </w:rPr>
        <w:t>Spouse or other beneficiary, or alternate payee under a domestic relations order believing himself or herself eligible for a benefit under this Supplemental Plan shall apply for such benefit by completing and filing with the Administrator an application for benefits on a form supplied by the Administrator.</w:t>
      </w:r>
    </w:p>
    <w:p>
      <w:pPr>
        <w:spacing w:after="0" w:line="144" w:lineRule="exact"/>
        <w:rPr>
          <w:sz w:val="20"/>
          <w:szCs w:val="20"/>
          <w:color w:val="auto"/>
        </w:rPr>
      </w:pPr>
    </w:p>
    <w:p>
      <w:pPr>
        <w:ind w:left="760"/>
        <w:spacing w:after="0"/>
        <w:tabs>
          <w:tab w:leader="none" w:pos="212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9"/>
          <w:szCs w:val="19"/>
          <w:u w:val="single" w:color="auto"/>
          <w:color w:val="auto"/>
        </w:rPr>
        <w:t>Claims</w:t>
      </w:r>
      <w:r>
        <w:rPr>
          <w:rFonts w:ascii="Arial" w:cs="Arial" w:eastAsia="Arial" w:hAnsi="Arial"/>
          <w:sz w:val="19"/>
          <w:szCs w:val="19"/>
          <w:color w:val="auto"/>
        </w:rPr>
        <w:t>. The following provisions are effective on and after January 1, 2002:</w:t>
      </w:r>
    </w:p>
    <w:p>
      <w:pPr>
        <w:spacing w:after="0" w:line="206" w:lineRule="exact"/>
        <w:rPr>
          <w:sz w:val="20"/>
          <w:szCs w:val="20"/>
          <w:color w:val="auto"/>
        </w:rPr>
      </w:pPr>
    </w:p>
    <w:p>
      <w:pPr>
        <w:ind w:left="2100" w:hanging="699"/>
        <w:spacing w:after="0"/>
        <w:tabs>
          <w:tab w:leader="none" w:pos="2100"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Claim for Benefits</w:t>
      </w:r>
      <w:r>
        <w:rPr>
          <w:rFonts w:ascii="Arial" w:cs="Arial" w:eastAsia="Arial" w:hAnsi="Arial"/>
          <w:sz w:val="19"/>
          <w:szCs w:val="19"/>
          <w:color w:val="auto"/>
        </w:rPr>
        <w:t>. A claim for Supplemental Plan benefits may be filed by:</w:t>
      </w:r>
    </w:p>
    <w:p>
      <w:pPr>
        <w:spacing w:after="0" w:line="240" w:lineRule="exact"/>
        <w:rPr>
          <w:rFonts w:ascii="Arial" w:cs="Arial" w:eastAsia="Arial" w:hAnsi="Arial"/>
          <w:sz w:val="19"/>
          <w:szCs w:val="19"/>
          <w:color w:val="auto"/>
        </w:rPr>
      </w:pPr>
    </w:p>
    <w:p>
      <w:pPr>
        <w:jc w:val="both"/>
        <w:ind w:left="100" w:right="99" w:firstLine="1949"/>
        <w:spacing w:after="0" w:line="235" w:lineRule="auto"/>
        <w:tabs>
          <w:tab w:leader="none" w:pos="2762" w:val="left"/>
        </w:tabs>
        <w:numPr>
          <w:ilvl w:val="1"/>
          <w:numId w:val="55"/>
        </w:numPr>
        <w:rPr>
          <w:rFonts w:ascii="Arial" w:cs="Arial" w:eastAsia="Arial" w:hAnsi="Arial"/>
          <w:sz w:val="22"/>
          <w:szCs w:val="22"/>
          <w:color w:val="auto"/>
        </w:rPr>
      </w:pPr>
      <w:r>
        <w:rPr>
          <w:rFonts w:ascii="Arial" w:cs="Arial" w:eastAsia="Arial" w:hAnsi="Arial"/>
          <w:sz w:val="22"/>
          <w:szCs w:val="22"/>
          <w:color w:val="auto"/>
        </w:rPr>
        <w:t>any person (or his duly authorized representative) who has applied for and/or received benefits from the Supplemental Plan pursuant to Section 12.1 and who believes that the amount and/or form of benefits provided (including no benefits) or any change in or termination or reduction of benefits previously provided results in a denial of benefits to which he is entitled for any reason (whether under the terms of the Supplemental Plan or by reason of any provision of law); or</w:t>
      </w:r>
    </w:p>
    <w:p>
      <w:pPr>
        <w:spacing w:after="0" w:line="188" w:lineRule="exact"/>
        <w:rPr>
          <w:rFonts w:ascii="Arial" w:cs="Arial" w:eastAsia="Arial" w:hAnsi="Arial"/>
          <w:sz w:val="22"/>
          <w:szCs w:val="22"/>
          <w:color w:val="auto"/>
        </w:rPr>
      </w:pPr>
    </w:p>
    <w:p>
      <w:pPr>
        <w:ind w:left="2920" w:hanging="871"/>
        <w:spacing w:after="0"/>
        <w:tabs>
          <w:tab w:leader="none" w:pos="2920" w:val="left"/>
        </w:tabs>
        <w:numPr>
          <w:ilvl w:val="1"/>
          <w:numId w:val="55"/>
        </w:numPr>
        <w:rPr>
          <w:rFonts w:ascii="Arial" w:cs="Arial" w:eastAsia="Arial" w:hAnsi="Arial"/>
          <w:sz w:val="22"/>
          <w:szCs w:val="22"/>
          <w:color w:val="auto"/>
        </w:rPr>
      </w:pPr>
      <w:r>
        <w:rPr>
          <w:rFonts w:ascii="Arial" w:cs="Arial" w:eastAsia="Arial" w:hAnsi="Arial"/>
          <w:sz w:val="22"/>
          <w:szCs w:val="22"/>
          <w:color w:val="auto"/>
        </w:rPr>
        <w:t>any  Employee  or  other  individual  (or  his  duly  authorized</w:t>
      </w:r>
    </w:p>
    <w:p>
      <w:pPr>
        <w:spacing w:after="0" w:line="8" w:lineRule="exact"/>
        <w:rPr>
          <w:rFonts w:ascii="Arial" w:cs="Arial" w:eastAsia="Arial" w:hAnsi="Arial"/>
          <w:sz w:val="22"/>
          <w:szCs w:val="22"/>
          <w:color w:val="auto"/>
        </w:rPr>
      </w:pPr>
    </w:p>
    <w:p>
      <w:pPr>
        <w:ind w:left="100"/>
        <w:spacing w:after="0"/>
        <w:rPr>
          <w:rFonts w:ascii="Arial" w:cs="Arial" w:eastAsia="Arial" w:hAnsi="Arial"/>
          <w:sz w:val="22"/>
          <w:szCs w:val="22"/>
          <w:color w:val="auto"/>
        </w:rPr>
      </w:pPr>
      <w:r>
        <w:rPr>
          <w:rFonts w:ascii="Arial" w:cs="Arial" w:eastAsia="Arial" w:hAnsi="Arial"/>
          <w:sz w:val="22"/>
          <w:szCs w:val="22"/>
          <w:color w:val="auto"/>
        </w:rPr>
        <w:t>representative) who believes himself to be entitled to benefits from the Supplemental Plan.</w:t>
      </w:r>
    </w:p>
    <w:p>
      <w:pPr>
        <w:spacing w:after="0" w:line="188" w:lineRule="exact"/>
        <w:rPr>
          <w:sz w:val="20"/>
          <w:szCs w:val="20"/>
          <w:color w:val="auto"/>
        </w:rPr>
      </w:pPr>
    </w:p>
    <w:p>
      <w:pPr>
        <w:jc w:val="both"/>
        <w:ind w:left="100" w:right="99"/>
        <w:spacing w:after="0"/>
        <w:rPr>
          <w:sz w:val="20"/>
          <w:szCs w:val="20"/>
          <w:color w:val="auto"/>
        </w:rPr>
      </w:pPr>
      <w:r>
        <w:rPr>
          <w:rFonts w:ascii="Arial" w:cs="Arial" w:eastAsia="Arial" w:hAnsi="Arial"/>
          <w:sz w:val="22"/>
          <w:szCs w:val="22"/>
          <w:color w:val="auto"/>
        </w:rPr>
        <w:t>A claim for benefits must be filed with the Administrator, in writing and in accordance with such other requirements as may be prescribed by the Administrator. Any claim shall be processed as follows:</w:t>
      </w:r>
    </w:p>
    <w:p>
      <w:pPr>
        <w:spacing w:after="0" w:line="186" w:lineRule="exact"/>
        <w:rPr>
          <w:sz w:val="20"/>
          <w:szCs w:val="20"/>
          <w:color w:val="auto"/>
        </w:rPr>
      </w:pPr>
    </w:p>
    <w:p>
      <w:pPr>
        <w:jc w:val="both"/>
        <w:ind w:left="100" w:right="99" w:firstLine="2598"/>
        <w:spacing w:after="0" w:line="245" w:lineRule="auto"/>
        <w:tabs>
          <w:tab w:leader="none" w:pos="3438" w:val="left"/>
        </w:tabs>
        <w:numPr>
          <w:ilvl w:val="0"/>
          <w:numId w:val="56"/>
        </w:numPr>
        <w:rPr>
          <w:rFonts w:ascii="Arial" w:cs="Arial" w:eastAsia="Arial" w:hAnsi="Arial"/>
          <w:sz w:val="21"/>
          <w:szCs w:val="21"/>
          <w:color w:val="auto"/>
        </w:rPr>
      </w:pPr>
      <w:r>
        <w:rPr>
          <w:rFonts w:ascii="Arial" w:cs="Arial" w:eastAsia="Arial" w:hAnsi="Arial"/>
          <w:sz w:val="21"/>
          <w:szCs w:val="21"/>
          <w:color w:val="auto"/>
        </w:rPr>
        <w:t>When a claim for benefits has been filed by the claimant (or his duly authorized representative), such claim for benefits shall be evaluated and the claimant shall be notified by the Administrator of the approval or denial within a reasonable period of time, but not later than 90 days after the receipt of such claim unless special circumstances require an extension of time for processing the claim. If such an extension of time for processing is required, written notice of the extension shall be furnished to the claimant prior to the termination of the initial 90-day period and shall specify the special circumstances requiring an extension and the date by which a final decision will be reached (which date shall not be later than 180 days after the date on which the claim was received).</w:t>
      </w:r>
    </w:p>
    <w:p>
      <w:pPr>
        <w:spacing w:after="0" w:line="185" w:lineRule="exact"/>
        <w:rPr>
          <w:rFonts w:ascii="Arial" w:cs="Arial" w:eastAsia="Arial" w:hAnsi="Arial"/>
          <w:sz w:val="21"/>
          <w:szCs w:val="21"/>
          <w:color w:val="auto"/>
        </w:rPr>
      </w:pPr>
    </w:p>
    <w:p>
      <w:pPr>
        <w:jc w:val="both"/>
        <w:ind w:left="100" w:right="99" w:firstLine="2598"/>
        <w:spacing w:after="0" w:line="275" w:lineRule="auto"/>
        <w:tabs>
          <w:tab w:leader="none" w:pos="3427" w:val="left"/>
        </w:tabs>
        <w:numPr>
          <w:ilvl w:val="0"/>
          <w:numId w:val="56"/>
        </w:numPr>
        <w:rPr>
          <w:rFonts w:ascii="Arial" w:cs="Arial" w:eastAsia="Arial" w:hAnsi="Arial"/>
          <w:sz w:val="19"/>
          <w:szCs w:val="19"/>
          <w:color w:val="auto"/>
        </w:rPr>
      </w:pPr>
      <w:r>
        <w:rPr>
          <w:rFonts w:ascii="Arial" w:cs="Arial" w:eastAsia="Arial" w:hAnsi="Arial"/>
          <w:sz w:val="19"/>
          <w:szCs w:val="19"/>
          <w:color w:val="auto"/>
        </w:rPr>
        <w:t>A claimant shall be given written notice in which the claimant shall be advised as to whether the claim is granted or denied, in whole or in part. If a claim is denied, in whole or in part, the claimant shall be given written notice which shall contain (I) the specific reasons for the denial, (II) references to the specific Supplemental Plan provisions upon which the denial is based, (III) a description of any additional material or information necessary to perfect the claim and an explanation of why such material or information is necessary, (IV) a statement that the claimant is entitled to receive, upon request and free of charge, reasonable access to, and copies of, all documents, records, and other information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70" w:name="page71"/>
    <w:bookmarkEnd w:id="70"/>
    <w:p>
      <w:pPr>
        <w:jc w:val="both"/>
        <w:ind w:left="100" w:right="99"/>
        <w:spacing w:after="0" w:line="238" w:lineRule="auto"/>
        <w:rPr>
          <w:sz w:val="20"/>
          <w:szCs w:val="20"/>
          <w:color w:val="auto"/>
        </w:rPr>
      </w:pPr>
      <w:r>
        <w:rPr>
          <w:rFonts w:ascii="Arial" w:cs="Arial" w:eastAsia="Arial" w:hAnsi="Arial"/>
          <w:sz w:val="22"/>
          <w:szCs w:val="22"/>
          <w:color w:val="auto"/>
        </w:rPr>
        <w:t>relevant to the claim, (V) the claimant’s rights to seek review of the denial and time limits and other aspects of the Supplemental Plan’s claim review procedures, and (VI) a statement of the claimant’s right to bring a civil action under ERISA section 502(a) following an adverse determination upon review.</w:t>
      </w:r>
    </w:p>
    <w:p>
      <w:pPr>
        <w:spacing w:after="0" w:line="185" w:lineRule="exact"/>
        <w:rPr>
          <w:sz w:val="20"/>
          <w:szCs w:val="20"/>
          <w:color w:val="auto"/>
        </w:rPr>
      </w:pPr>
    </w:p>
    <w:p>
      <w:pPr>
        <w:jc w:val="both"/>
        <w:ind w:left="100" w:right="99" w:firstLine="1301"/>
        <w:spacing w:after="0" w:line="244" w:lineRule="auto"/>
        <w:tabs>
          <w:tab w:leader="none" w:pos="2108" w:val="left"/>
        </w:tabs>
        <w:numPr>
          <w:ilvl w:val="0"/>
          <w:numId w:val="57"/>
        </w:numPr>
        <w:rPr>
          <w:rFonts w:ascii="Arial" w:cs="Arial" w:eastAsia="Arial" w:hAnsi="Arial"/>
          <w:sz w:val="21"/>
          <w:szCs w:val="21"/>
          <w:color w:val="auto"/>
        </w:rPr>
      </w:pPr>
      <w:r>
        <w:rPr>
          <w:rFonts w:ascii="Arial" w:cs="Arial" w:eastAsia="Arial" w:hAnsi="Arial"/>
          <w:sz w:val="21"/>
          <w:szCs w:val="21"/>
          <w:u w:val="single" w:color="auto"/>
          <w:color w:val="auto"/>
        </w:rPr>
        <w:t>Review of Claim Denial</w:t>
      </w:r>
      <w:r>
        <w:rPr>
          <w:rFonts w:ascii="Arial" w:cs="Arial" w:eastAsia="Arial" w:hAnsi="Arial"/>
          <w:sz w:val="21"/>
          <w:szCs w:val="21"/>
          <w:color w:val="auto"/>
        </w:rPr>
        <w:t>. If a claim for benefits is denied, in whole or in part, the claimant (or his duly authorized representative) shall have the right to request that the Administrator review the denial, provided that the claimant files in accordance with such requirements as may be prescribed by the Administrator a written request for review with the Administrator within 60 days after the date on which the claimant received written notification of the denial. A claimant (or his duly authorized representative) may review relevant documents, records and other information relevant to the claim (or receive copies free of charge) and may submit to the Administrator with the written request for review documents, records, written comments and other information relevant to the claim for benefits, which shall be considered upon review whether or not such information and other items were available when the claim was originally determined. Requests for review not timely filed shall be barred. A timely request for claim review shall be processed as follows:</w:t>
      </w:r>
    </w:p>
    <w:p>
      <w:pPr>
        <w:spacing w:after="0" w:line="187" w:lineRule="exact"/>
        <w:rPr>
          <w:rFonts w:ascii="Arial" w:cs="Arial" w:eastAsia="Arial" w:hAnsi="Arial"/>
          <w:sz w:val="21"/>
          <w:szCs w:val="21"/>
          <w:color w:val="auto"/>
        </w:rPr>
      </w:pPr>
    </w:p>
    <w:p>
      <w:pPr>
        <w:jc w:val="both"/>
        <w:ind w:left="100" w:right="99" w:firstLine="1949"/>
        <w:spacing w:after="0" w:line="244" w:lineRule="auto"/>
        <w:tabs>
          <w:tab w:leader="none" w:pos="2775" w:val="left"/>
        </w:tabs>
        <w:numPr>
          <w:ilvl w:val="1"/>
          <w:numId w:val="57"/>
        </w:numPr>
        <w:rPr>
          <w:rFonts w:ascii="Arial" w:cs="Arial" w:eastAsia="Arial" w:hAnsi="Arial"/>
          <w:sz w:val="21"/>
          <w:szCs w:val="21"/>
          <w:color w:val="auto"/>
        </w:rPr>
      </w:pPr>
      <w:r>
        <w:rPr>
          <w:rFonts w:ascii="Arial" w:cs="Arial" w:eastAsia="Arial" w:hAnsi="Arial"/>
          <w:sz w:val="21"/>
          <w:szCs w:val="21"/>
          <w:color w:val="auto"/>
        </w:rPr>
        <w:t>Within a reasonable period of time, but not later than 60 days after a request for review is received, the review shall be made and the claimant shall be advised in writing of the decision on review, unless special circumstances require an extension of time for processing the review. If an extension is needed, the claimant shall be given a written notification within such initial 60-day period specifying the reasons for the extension and when such review shall be completed (provided that such review shall be completed within 120 days after the date on which the request for review was filed). However, if the period for deciding the claim has been extended under this paragraph (i) due to a claimant’s failure to provide information necessary to decide a claim, the period for making a decision on review shall be tolled from the date the claimant is sent written notice of the extension until the date on which the claimant responds to the request for information (or such earlier date as may be prescribed by the Administrator in accordance with applicable law and regulations).</w:t>
      </w:r>
    </w:p>
    <w:p>
      <w:pPr>
        <w:spacing w:after="0" w:line="187" w:lineRule="exact"/>
        <w:rPr>
          <w:rFonts w:ascii="Arial" w:cs="Arial" w:eastAsia="Arial" w:hAnsi="Arial"/>
          <w:sz w:val="21"/>
          <w:szCs w:val="21"/>
          <w:color w:val="auto"/>
        </w:rPr>
      </w:pPr>
    </w:p>
    <w:p>
      <w:pPr>
        <w:jc w:val="both"/>
        <w:ind w:left="100" w:right="99" w:firstLine="1949"/>
        <w:spacing w:after="0" w:line="279" w:lineRule="auto"/>
        <w:tabs>
          <w:tab w:leader="none" w:pos="2808" w:val="left"/>
        </w:tabs>
        <w:numPr>
          <w:ilvl w:val="1"/>
          <w:numId w:val="57"/>
        </w:numPr>
        <w:rPr>
          <w:rFonts w:ascii="Arial" w:cs="Arial" w:eastAsia="Arial" w:hAnsi="Arial"/>
          <w:sz w:val="19"/>
          <w:szCs w:val="19"/>
          <w:color w:val="auto"/>
        </w:rPr>
      </w:pPr>
      <w:r>
        <w:rPr>
          <w:rFonts w:ascii="Arial" w:cs="Arial" w:eastAsia="Arial" w:hAnsi="Arial"/>
          <w:sz w:val="19"/>
          <w:szCs w:val="19"/>
          <w:color w:val="auto"/>
        </w:rPr>
        <w:t>The decision on review shall be forwarded to the claimant in writing and shall include (A) specific reasons for the decision, (B) references to the specific Plan provisions upon which the decision is based, (C) a statement that the claimant is entitled to receive, upon request and free of charge, reasonable access to, and copies of, all documents, records, and other information relevant to the claim, and (D) a statement of the claimant’s right to bring an action under ERISA section 502(a). A decision on review shall be final and binding on all persons for all purposes.</w:t>
      </w:r>
    </w:p>
    <w:p>
      <w:pPr>
        <w:spacing w:after="0" w:line="150" w:lineRule="exact"/>
        <w:rPr>
          <w:rFonts w:ascii="Arial" w:cs="Arial" w:eastAsia="Arial" w:hAnsi="Arial"/>
          <w:sz w:val="19"/>
          <w:szCs w:val="19"/>
          <w:color w:val="auto"/>
        </w:rPr>
      </w:pPr>
    </w:p>
    <w:p>
      <w:pPr>
        <w:jc w:val="both"/>
        <w:ind w:left="100" w:right="99" w:firstLine="1301"/>
        <w:spacing w:after="0" w:line="297" w:lineRule="auto"/>
        <w:tabs>
          <w:tab w:leader="none" w:pos="2095"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Exhaustion of Claims Review Process</w:t>
      </w:r>
      <w:r>
        <w:rPr>
          <w:rFonts w:ascii="Arial" w:cs="Arial" w:eastAsia="Arial" w:hAnsi="Arial"/>
          <w:sz w:val="19"/>
          <w:szCs w:val="19"/>
          <w:color w:val="auto"/>
        </w:rPr>
        <w:t>. A claimant shall have no right to seek review of a denial of benefits, or to bring any action in any court to enforce a claim for benefits prior to his filing a claim for benefits and exhausting his rights to review under this Section 12.3.</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71" w:name="page72"/>
    <w:bookmarkEnd w:id="71"/>
    <w:tbl>
      <w:tblPr>
        <w:tblLayout w:type="fixed"/>
        <w:tblInd w:w="100" w:type="dxa"/>
        <w:tblCellMar>
          <w:top w:w="0" w:type="dxa"/>
          <w:left w:w="0" w:type="dxa"/>
          <w:bottom w:w="0" w:type="dxa"/>
          <w:right w:w="0" w:type="dxa"/>
        </w:tblCellMar>
      </w:tblPr>
      <w:tr>
        <w:trPr>
          <w:trHeight w:val="239"/>
        </w:trPr>
        <w:tc>
          <w:tcPr>
            <w:tcW w:w="58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98"/>
              </w:rPr>
              <w:t>Exhibit 12(a)</w:t>
            </w:r>
          </w:p>
        </w:tc>
        <w:tc>
          <w:tcPr>
            <w:tcW w:w="0" w:type="dxa"/>
            <w:vAlign w:val="bottom"/>
          </w:tcPr>
          <w:p>
            <w:pPr>
              <w:spacing w:after="0"/>
              <w:rPr>
                <w:sz w:val="1"/>
                <w:szCs w:val="1"/>
                <w:color w:val="auto"/>
              </w:rPr>
            </w:pPr>
          </w:p>
        </w:tc>
      </w:tr>
      <w:tr>
        <w:trPr>
          <w:trHeight w:val="297"/>
        </w:trPr>
        <w:tc>
          <w:tcPr>
            <w:tcW w:w="5800" w:type="dxa"/>
            <w:vAlign w:val="bottom"/>
          </w:tcPr>
          <w:p>
            <w:pPr>
              <w:spacing w:after="0"/>
              <w:rPr>
                <w:sz w:val="20"/>
                <w:szCs w:val="20"/>
                <w:color w:val="auto"/>
              </w:rPr>
            </w:pPr>
            <w:r>
              <w:rPr>
                <w:rFonts w:ascii="Arial" w:cs="Arial" w:eastAsia="Arial" w:hAnsi="Arial"/>
                <w:sz w:val="18"/>
                <w:szCs w:val="18"/>
                <w:b w:val="1"/>
                <w:bCs w:val="1"/>
                <w:color w:val="auto"/>
              </w:rPr>
              <w:t>RATIO OF EARNINGS TO FIXED CHARGES (Unaudited)</w:t>
            </w:r>
          </w:p>
        </w:tc>
        <w:tc>
          <w:tcPr>
            <w:tcW w:w="1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5800" w:type="dxa"/>
            <w:vAlign w:val="bottom"/>
          </w:tcPr>
          <w:p>
            <w:pPr>
              <w:spacing w:after="0"/>
              <w:rPr>
                <w:sz w:val="20"/>
                <w:szCs w:val="20"/>
                <w:color w:val="auto"/>
              </w:rPr>
            </w:pPr>
            <w:r>
              <w:rPr>
                <w:rFonts w:ascii="Arial" w:cs="Arial" w:eastAsia="Arial" w:hAnsi="Arial"/>
                <w:sz w:val="18"/>
                <w:szCs w:val="18"/>
                <w:i w:val="1"/>
                <w:iCs w:val="1"/>
                <w:color w:val="auto"/>
              </w:rPr>
              <w:t>Union Pacific Corporation and Subsidiary Companies</w:t>
            </w:r>
          </w:p>
        </w:tc>
        <w:tc>
          <w:tcPr>
            <w:tcW w:w="1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3"/>
        </w:trPr>
        <w:tc>
          <w:tcPr>
            <w:tcW w:w="5800" w:type="dxa"/>
            <w:vAlign w:val="bottom"/>
            <w:tcBorders>
              <w:bottom w:val="single" w:sz="8" w:color="7F7F7F"/>
            </w:tcBorders>
          </w:tcPr>
          <w:p>
            <w:pPr>
              <w:spacing w:after="0"/>
              <w:rPr>
                <w:sz w:val="10"/>
                <w:szCs w:val="10"/>
                <w:color w:val="auto"/>
              </w:rPr>
            </w:pPr>
          </w:p>
        </w:tc>
        <w:tc>
          <w:tcPr>
            <w:tcW w:w="1340" w:type="dxa"/>
            <w:vAlign w:val="bottom"/>
            <w:tcBorders>
              <w:bottom w:val="single" w:sz="8" w:color="7F7F7F"/>
            </w:tcBorders>
          </w:tcPr>
          <w:p>
            <w:pPr>
              <w:spacing w:after="0"/>
              <w:rPr>
                <w:sz w:val="10"/>
                <w:szCs w:val="10"/>
                <w:color w:val="auto"/>
              </w:rPr>
            </w:pPr>
          </w:p>
        </w:tc>
        <w:tc>
          <w:tcPr>
            <w:tcW w:w="600" w:type="dxa"/>
            <w:vAlign w:val="bottom"/>
            <w:tcBorders>
              <w:bottom w:val="single" w:sz="8" w:color="7F7F7F"/>
            </w:tcBorders>
          </w:tcPr>
          <w:p>
            <w:pPr>
              <w:spacing w:after="0"/>
              <w:rPr>
                <w:sz w:val="10"/>
                <w:szCs w:val="10"/>
                <w:color w:val="auto"/>
              </w:rPr>
            </w:pPr>
          </w:p>
        </w:tc>
        <w:tc>
          <w:tcPr>
            <w:tcW w:w="460" w:type="dxa"/>
            <w:vAlign w:val="bottom"/>
            <w:tcBorders>
              <w:bottom w:val="single" w:sz="8" w:color="7F7F7F"/>
            </w:tcBorders>
          </w:tcPr>
          <w:p>
            <w:pPr>
              <w:spacing w:after="0"/>
              <w:rPr>
                <w:sz w:val="10"/>
                <w:szCs w:val="10"/>
                <w:color w:val="auto"/>
              </w:rPr>
            </w:pPr>
          </w:p>
        </w:tc>
        <w:tc>
          <w:tcPr>
            <w:tcW w:w="620" w:type="dxa"/>
            <w:vAlign w:val="bottom"/>
            <w:tcBorders>
              <w:bottom w:val="single" w:sz="8" w:color="7F7F7F"/>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5800" w:type="dxa"/>
            <w:vAlign w:val="bottom"/>
          </w:tcPr>
          <w:p>
            <w:pPr>
              <w:spacing w:after="0"/>
              <w:rPr>
                <w:sz w:val="20"/>
                <w:szCs w:val="20"/>
                <w:color w:val="auto"/>
              </w:rPr>
            </w:pPr>
            <w:r>
              <w:rPr>
                <w:rFonts w:ascii="Arial" w:cs="Arial" w:eastAsia="Arial" w:hAnsi="Arial"/>
                <w:sz w:val="16"/>
                <w:szCs w:val="16"/>
                <w:i w:val="1"/>
                <w:iCs w:val="1"/>
                <w:color w:val="auto"/>
              </w:rPr>
              <w:t>Millions, Except for Ratios</w:t>
            </w:r>
          </w:p>
        </w:tc>
        <w:tc>
          <w:tcPr>
            <w:tcW w:w="134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b w:val="1"/>
                <w:bCs w:val="1"/>
                <w:i w:val="1"/>
                <w:iCs w:val="1"/>
                <w:color w:val="auto"/>
              </w:rPr>
              <w:t>2017</w:t>
            </w:r>
          </w:p>
        </w:tc>
        <w:tc>
          <w:tcPr>
            <w:tcW w:w="46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i w:val="1"/>
                <w:iCs w:val="1"/>
                <w:color w:val="auto"/>
              </w:rPr>
              <w:t>2016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800" w:type="dxa"/>
            <w:vAlign w:val="bottom"/>
            <w:tcBorders>
              <w:bottom w:val="single" w:sz="8" w:color="7F7F7F"/>
            </w:tcBorders>
          </w:tcPr>
          <w:p>
            <w:pPr>
              <w:spacing w:after="0"/>
              <w:rPr>
                <w:sz w:val="20"/>
                <w:szCs w:val="20"/>
                <w:color w:val="auto"/>
              </w:rPr>
            </w:pPr>
            <w:r>
              <w:rPr>
                <w:rFonts w:ascii="Arial" w:cs="Arial" w:eastAsia="Arial" w:hAnsi="Arial"/>
                <w:sz w:val="16"/>
                <w:szCs w:val="16"/>
                <w:i w:val="1"/>
                <w:iCs w:val="1"/>
                <w:color w:val="auto"/>
              </w:rPr>
              <w:t>for the Three Months Ended September 30,</w:t>
            </w:r>
          </w:p>
        </w:tc>
        <w:tc>
          <w:tcPr>
            <w:tcW w:w="1340" w:type="dxa"/>
            <w:vAlign w:val="bottom"/>
            <w:tcBorders>
              <w:bottom w:val="single" w:sz="8" w:color="7F7F7F"/>
            </w:tcBorders>
          </w:tcPr>
          <w:p>
            <w:pPr>
              <w:spacing w:after="0"/>
              <w:rPr>
                <w:sz w:val="17"/>
                <w:szCs w:val="17"/>
                <w:color w:val="auto"/>
              </w:rPr>
            </w:pPr>
          </w:p>
        </w:tc>
        <w:tc>
          <w:tcPr>
            <w:tcW w:w="600" w:type="dxa"/>
            <w:vAlign w:val="bottom"/>
            <w:tcBorders>
              <w:bottom w:val="single" w:sz="8" w:color="7F7F7F"/>
            </w:tcBorders>
            <w:vMerge w:val="continue"/>
          </w:tcPr>
          <w:p>
            <w:pPr>
              <w:spacing w:after="0"/>
              <w:rPr>
                <w:sz w:val="17"/>
                <w:szCs w:val="17"/>
                <w:color w:val="auto"/>
              </w:rPr>
            </w:pPr>
          </w:p>
        </w:tc>
        <w:tc>
          <w:tcPr>
            <w:tcW w:w="460" w:type="dxa"/>
            <w:vAlign w:val="bottom"/>
            <w:tcBorders>
              <w:bottom w:val="single" w:sz="8" w:color="7F7F7F"/>
            </w:tcBorders>
          </w:tcPr>
          <w:p>
            <w:pPr>
              <w:spacing w:after="0"/>
              <w:rPr>
                <w:sz w:val="17"/>
                <w:szCs w:val="17"/>
                <w:color w:val="auto"/>
              </w:rPr>
            </w:pPr>
          </w:p>
        </w:tc>
        <w:tc>
          <w:tcPr>
            <w:tcW w:w="620" w:type="dxa"/>
            <w:vAlign w:val="bottom"/>
            <w:tcBorders>
              <w:bottom w:val="single" w:sz="8" w:color="7F7F7F"/>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Fixed charges:</w:t>
            </w:r>
          </w:p>
        </w:tc>
        <w:tc>
          <w:tcPr>
            <w:tcW w:w="1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800" w:type="dxa"/>
            <w:vAlign w:val="bottom"/>
          </w:tcPr>
          <w:p>
            <w:pPr>
              <w:ind w:left="100"/>
              <w:spacing w:after="0"/>
              <w:rPr>
                <w:sz w:val="20"/>
                <w:szCs w:val="20"/>
                <w:color w:val="auto"/>
              </w:rPr>
            </w:pPr>
            <w:r>
              <w:rPr>
                <w:rFonts w:ascii="Arial" w:cs="Arial" w:eastAsia="Arial" w:hAnsi="Arial"/>
                <w:sz w:val="16"/>
                <w:szCs w:val="16"/>
                <w:color w:val="auto"/>
              </w:rPr>
              <w:t>Interest expense including amortization of debt discount</w:t>
            </w:r>
          </w:p>
        </w:tc>
        <w:tc>
          <w:tcPr>
            <w:tcW w:w="1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180</w:t>
            </w:r>
          </w:p>
        </w:tc>
        <w:tc>
          <w:tcPr>
            <w:tcW w:w="460" w:type="dxa"/>
            <w:vAlign w:val="bottom"/>
          </w:tcPr>
          <w:p>
            <w:pPr>
              <w:jc w:val="right"/>
              <w:ind w:right="97"/>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tcBorders>
              <w:bottom w:val="single" w:sz="8" w:color="7F7F7F"/>
            </w:tcBorders>
            <w:shd w:val="clear" w:color="auto" w:fill="CCEEFF"/>
          </w:tcPr>
          <w:p>
            <w:pPr>
              <w:ind w:left="100"/>
              <w:spacing w:after="0"/>
              <w:rPr>
                <w:sz w:val="20"/>
                <w:szCs w:val="20"/>
                <w:color w:val="auto"/>
              </w:rPr>
            </w:pPr>
            <w:r>
              <w:rPr>
                <w:rFonts w:ascii="Arial" w:cs="Arial" w:eastAsia="Arial" w:hAnsi="Arial"/>
                <w:sz w:val="16"/>
                <w:szCs w:val="16"/>
                <w:color w:val="auto"/>
              </w:rPr>
              <w:t>Portion of rentals representing an interest factor</w:t>
            </w:r>
          </w:p>
        </w:tc>
        <w:tc>
          <w:tcPr>
            <w:tcW w:w="1340" w:type="dxa"/>
            <w:vAlign w:val="bottom"/>
            <w:tcBorders>
              <w:bottom w:val="single" w:sz="8" w:color="7F7F7F"/>
            </w:tcBorders>
            <w:shd w:val="clear" w:color="auto" w:fill="CCEEFF"/>
          </w:tcPr>
          <w:p>
            <w:pPr>
              <w:spacing w:after="0"/>
              <w:rPr>
                <w:sz w:val="18"/>
                <w:szCs w:val="18"/>
                <w:color w:val="auto"/>
              </w:rPr>
            </w:pPr>
          </w:p>
        </w:tc>
        <w:tc>
          <w:tcPr>
            <w:tcW w:w="6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w:t>
            </w:r>
          </w:p>
        </w:tc>
        <w:tc>
          <w:tcPr>
            <w:tcW w:w="460" w:type="dxa"/>
            <w:vAlign w:val="bottom"/>
            <w:tcBorders>
              <w:bottom w:val="single" w:sz="8" w:color="7F7F7F"/>
            </w:tcBorders>
            <w:shd w:val="clear" w:color="auto" w:fill="CCEEFF"/>
          </w:tcPr>
          <w:p>
            <w:pPr>
              <w:spacing w:after="0"/>
              <w:rPr>
                <w:sz w:val="18"/>
                <w:szCs w:val="18"/>
                <w:color w:val="auto"/>
              </w:rPr>
            </w:pPr>
          </w:p>
        </w:tc>
        <w:tc>
          <w:tcPr>
            <w:tcW w:w="6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80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Total fixed charges</w:t>
            </w:r>
          </w:p>
        </w:tc>
        <w:tc>
          <w:tcPr>
            <w:tcW w:w="1340" w:type="dxa"/>
            <w:vAlign w:val="bottom"/>
            <w:tcBorders>
              <w:bottom w:val="single" w:sz="8" w:color="7F7F7F"/>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7F7F7F"/>
            </w:tcBorders>
          </w:tcPr>
          <w:p>
            <w:pPr>
              <w:jc w:val="right"/>
              <w:spacing w:after="0"/>
              <w:rPr>
                <w:sz w:val="20"/>
                <w:szCs w:val="20"/>
                <w:color w:val="auto"/>
              </w:rPr>
            </w:pPr>
            <w:r>
              <w:rPr>
                <w:rFonts w:ascii="Arial" w:cs="Arial" w:eastAsia="Arial" w:hAnsi="Arial"/>
                <w:sz w:val="16"/>
                <w:szCs w:val="16"/>
                <w:b w:val="1"/>
                <w:bCs w:val="1"/>
                <w:color w:val="auto"/>
              </w:rPr>
              <w:t>199</w:t>
            </w:r>
          </w:p>
        </w:tc>
        <w:tc>
          <w:tcPr>
            <w:tcW w:w="460" w:type="dxa"/>
            <w:vAlign w:val="bottom"/>
            <w:tcBorders>
              <w:bottom w:val="single" w:sz="8" w:color="7F7F7F"/>
            </w:tcBorders>
          </w:tcPr>
          <w:p>
            <w:pPr>
              <w:jc w:val="right"/>
              <w:ind w:right="97"/>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208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Earnings available for fixed charges:</w:t>
            </w:r>
          </w:p>
        </w:tc>
        <w:tc>
          <w:tcPr>
            <w:tcW w:w="1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800" w:type="dxa"/>
            <w:vAlign w:val="bottom"/>
          </w:tcPr>
          <w:p>
            <w:pPr>
              <w:ind w:left="100"/>
              <w:spacing w:after="0"/>
              <w:rPr>
                <w:sz w:val="20"/>
                <w:szCs w:val="20"/>
                <w:color w:val="auto"/>
              </w:rPr>
            </w:pPr>
            <w:r>
              <w:rPr>
                <w:rFonts w:ascii="Arial" w:cs="Arial" w:eastAsia="Arial" w:hAnsi="Arial"/>
                <w:sz w:val="16"/>
                <w:szCs w:val="16"/>
                <w:color w:val="auto"/>
              </w:rPr>
              <w:t>Net income</w:t>
            </w:r>
          </w:p>
        </w:tc>
        <w:tc>
          <w:tcPr>
            <w:tcW w:w="1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1,194</w:t>
            </w:r>
          </w:p>
        </w:tc>
        <w:tc>
          <w:tcPr>
            <w:tcW w:w="460" w:type="dxa"/>
            <w:vAlign w:val="bottom"/>
          </w:tcPr>
          <w:p>
            <w:pPr>
              <w:jc w:val="right"/>
              <w:ind w:right="97"/>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1,131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Equity earnings net of distributions</w:t>
            </w:r>
          </w:p>
        </w:tc>
        <w:tc>
          <w:tcPr>
            <w:tcW w:w="1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37"/>
              <w:spacing w:after="0"/>
              <w:rPr>
                <w:sz w:val="20"/>
                <w:szCs w:val="20"/>
                <w:color w:val="auto"/>
              </w:rPr>
            </w:pPr>
            <w:r>
              <w:rPr>
                <w:rFonts w:ascii="Arial" w:cs="Arial" w:eastAsia="Arial" w:hAnsi="Arial"/>
                <w:sz w:val="16"/>
                <w:szCs w:val="16"/>
                <w:b w:val="1"/>
                <w:bCs w:val="1"/>
                <w:color w:val="auto"/>
              </w:rPr>
              <w:t>(38)</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0" w:type="dxa"/>
            <w:vAlign w:val="bottom"/>
          </w:tcPr>
          <w:p>
            <w:pPr>
              <w:ind w:left="100"/>
              <w:spacing w:after="0"/>
              <w:rPr>
                <w:sz w:val="20"/>
                <w:szCs w:val="20"/>
                <w:color w:val="auto"/>
              </w:rPr>
            </w:pPr>
            <w:r>
              <w:rPr>
                <w:rFonts w:ascii="Arial" w:cs="Arial" w:eastAsia="Arial" w:hAnsi="Arial"/>
                <w:sz w:val="16"/>
                <w:szCs w:val="16"/>
                <w:color w:val="auto"/>
              </w:rPr>
              <w:t>Income taxes</w:t>
            </w:r>
          </w:p>
        </w:tc>
        <w:tc>
          <w:tcPr>
            <w:tcW w:w="1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789</w:t>
            </w: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tcBorders>
              <w:bottom w:val="single" w:sz="8" w:color="7F7F7F"/>
            </w:tcBorders>
            <w:shd w:val="clear" w:color="auto" w:fill="CCEEFF"/>
          </w:tcPr>
          <w:p>
            <w:pPr>
              <w:ind w:left="100"/>
              <w:spacing w:after="0"/>
              <w:rPr>
                <w:sz w:val="20"/>
                <w:szCs w:val="20"/>
                <w:color w:val="auto"/>
              </w:rPr>
            </w:pPr>
            <w:r>
              <w:rPr>
                <w:rFonts w:ascii="Arial" w:cs="Arial" w:eastAsia="Arial" w:hAnsi="Arial"/>
                <w:sz w:val="16"/>
                <w:szCs w:val="16"/>
                <w:color w:val="auto"/>
              </w:rPr>
              <w:t>Fixed charges</w:t>
            </w:r>
          </w:p>
        </w:tc>
        <w:tc>
          <w:tcPr>
            <w:tcW w:w="1340" w:type="dxa"/>
            <w:vAlign w:val="bottom"/>
            <w:tcBorders>
              <w:bottom w:val="single" w:sz="8" w:color="7F7F7F"/>
            </w:tcBorders>
            <w:shd w:val="clear" w:color="auto" w:fill="CCEEFF"/>
          </w:tcPr>
          <w:p>
            <w:pPr>
              <w:spacing w:after="0"/>
              <w:rPr>
                <w:sz w:val="18"/>
                <w:szCs w:val="18"/>
                <w:color w:val="auto"/>
              </w:rPr>
            </w:pPr>
          </w:p>
        </w:tc>
        <w:tc>
          <w:tcPr>
            <w:tcW w:w="6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199</w:t>
            </w:r>
          </w:p>
        </w:tc>
        <w:tc>
          <w:tcPr>
            <w:tcW w:w="460" w:type="dxa"/>
            <w:vAlign w:val="bottom"/>
            <w:tcBorders>
              <w:bottom w:val="single" w:sz="8" w:color="7F7F7F"/>
            </w:tcBorders>
            <w:shd w:val="clear" w:color="auto" w:fill="CCEEFF"/>
          </w:tcPr>
          <w:p>
            <w:pPr>
              <w:spacing w:after="0"/>
              <w:rPr>
                <w:sz w:val="18"/>
                <w:szCs w:val="18"/>
                <w:color w:val="auto"/>
              </w:rPr>
            </w:pPr>
          </w:p>
        </w:tc>
        <w:tc>
          <w:tcPr>
            <w:tcW w:w="6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80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Earnings available for fixed charges</w:t>
            </w:r>
          </w:p>
        </w:tc>
        <w:tc>
          <w:tcPr>
            <w:tcW w:w="1340" w:type="dxa"/>
            <w:vAlign w:val="bottom"/>
            <w:tcBorders>
              <w:bottom w:val="single" w:sz="8" w:color="7F7F7F"/>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7F7F7F"/>
            </w:tcBorders>
          </w:tcPr>
          <w:p>
            <w:pPr>
              <w:jc w:val="right"/>
              <w:spacing w:after="0"/>
              <w:rPr>
                <w:sz w:val="20"/>
                <w:szCs w:val="20"/>
                <w:color w:val="auto"/>
              </w:rPr>
            </w:pPr>
            <w:r>
              <w:rPr>
                <w:rFonts w:ascii="Arial" w:cs="Arial" w:eastAsia="Arial" w:hAnsi="Arial"/>
                <w:sz w:val="16"/>
                <w:szCs w:val="16"/>
                <w:b w:val="1"/>
                <w:bCs w:val="1"/>
                <w:color w:val="auto"/>
              </w:rPr>
              <w:t>2,144</w:t>
            </w:r>
          </w:p>
        </w:tc>
        <w:tc>
          <w:tcPr>
            <w:tcW w:w="460" w:type="dxa"/>
            <w:vAlign w:val="bottom"/>
            <w:tcBorders>
              <w:bottom w:val="single" w:sz="8" w:color="7F7F7F"/>
            </w:tcBorders>
          </w:tcPr>
          <w:p>
            <w:pPr>
              <w:jc w:val="right"/>
              <w:ind w:right="97"/>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1,985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5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Ratio of earnings to fixed charges</w:t>
            </w:r>
          </w:p>
        </w:tc>
        <w:tc>
          <w:tcPr>
            <w:tcW w:w="13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10.8</w:t>
            </w:r>
          </w:p>
        </w:tc>
        <w:tc>
          <w:tcPr>
            <w:tcW w:w="46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18"/>
        </w:trPr>
        <w:tc>
          <w:tcPr>
            <w:tcW w:w="5800" w:type="dxa"/>
            <w:vAlign w:val="bottom"/>
            <w:tcBorders>
              <w:top w:val="single" w:sz="8" w:color="7F7F7F"/>
              <w:bottom w:val="single" w:sz="8" w:color="9A9A9A"/>
            </w:tcBorders>
          </w:tcPr>
          <w:p>
            <w:pPr>
              <w:spacing w:after="0"/>
              <w:rPr>
                <w:sz w:val="24"/>
                <w:szCs w:val="24"/>
                <w:color w:val="auto"/>
              </w:rPr>
            </w:pPr>
          </w:p>
        </w:tc>
        <w:tc>
          <w:tcPr>
            <w:tcW w:w="1340" w:type="dxa"/>
            <w:vAlign w:val="bottom"/>
            <w:tcBorders>
              <w:top w:val="single" w:sz="8" w:color="7F7F7F"/>
              <w:bottom w:val="single" w:sz="8" w:color="9A9A9A"/>
            </w:tcBorders>
          </w:tcPr>
          <w:p>
            <w:pPr>
              <w:spacing w:after="0"/>
              <w:rPr>
                <w:sz w:val="24"/>
                <w:szCs w:val="24"/>
                <w:color w:val="auto"/>
              </w:rPr>
            </w:pPr>
          </w:p>
        </w:tc>
        <w:tc>
          <w:tcPr>
            <w:tcW w:w="600" w:type="dxa"/>
            <w:vAlign w:val="bottom"/>
            <w:tcBorders>
              <w:top w:val="single" w:sz="8" w:color="7F7F7F"/>
              <w:bottom w:val="single" w:sz="8" w:color="9A9A9A"/>
            </w:tcBorders>
          </w:tcPr>
          <w:p>
            <w:pPr>
              <w:spacing w:after="0"/>
              <w:rPr>
                <w:sz w:val="24"/>
                <w:szCs w:val="24"/>
                <w:color w:val="auto"/>
              </w:rPr>
            </w:pPr>
          </w:p>
        </w:tc>
        <w:tc>
          <w:tcPr>
            <w:tcW w:w="460" w:type="dxa"/>
            <w:vAlign w:val="bottom"/>
            <w:tcBorders>
              <w:top w:val="single" w:sz="8" w:color="7F7F7F"/>
              <w:bottom w:val="single" w:sz="8" w:color="9A9A9A"/>
            </w:tcBorders>
          </w:tcPr>
          <w:p>
            <w:pPr>
              <w:spacing w:after="0"/>
              <w:rPr>
                <w:sz w:val="24"/>
                <w:szCs w:val="24"/>
                <w:color w:val="auto"/>
              </w:rPr>
            </w:pPr>
          </w:p>
        </w:tc>
        <w:tc>
          <w:tcPr>
            <w:tcW w:w="620" w:type="dxa"/>
            <w:vAlign w:val="bottom"/>
            <w:tcBorders>
              <w:top w:val="single" w:sz="8" w:color="7F7F7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0" w:type="dxa"/>
            <w:vAlign w:val="bottom"/>
            <w:tcBorders>
              <w:bottom w:val="single" w:sz="8" w:color="EEEEEE"/>
            </w:tcBorders>
          </w:tcPr>
          <w:p>
            <w:pPr>
              <w:spacing w:after="0" w:line="20" w:lineRule="exact"/>
              <w:rPr>
                <w:sz w:val="1"/>
                <w:szCs w:val="1"/>
                <w:color w:val="auto"/>
              </w:rPr>
            </w:pPr>
          </w:p>
        </w:tc>
        <w:tc>
          <w:tcPr>
            <w:tcW w:w="134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2" w:name="page73"/>
    <w:bookmarkEnd w:id="72"/>
    <w:tbl>
      <w:tblPr>
        <w:tblLayout w:type="fixed"/>
        <w:tblInd w:w="100" w:type="dxa"/>
        <w:tblCellMar>
          <w:top w:w="0" w:type="dxa"/>
          <w:left w:w="0" w:type="dxa"/>
          <w:bottom w:w="0" w:type="dxa"/>
          <w:right w:w="0" w:type="dxa"/>
        </w:tblCellMar>
      </w:tblPr>
      <w:tr>
        <w:trPr>
          <w:trHeight w:val="239"/>
        </w:trPr>
        <w:tc>
          <w:tcPr>
            <w:tcW w:w="58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Exhibit 12(b)</w:t>
            </w:r>
          </w:p>
        </w:tc>
        <w:tc>
          <w:tcPr>
            <w:tcW w:w="0" w:type="dxa"/>
            <w:vAlign w:val="bottom"/>
          </w:tcPr>
          <w:p>
            <w:pPr>
              <w:spacing w:after="0"/>
              <w:rPr>
                <w:sz w:val="1"/>
                <w:szCs w:val="1"/>
                <w:color w:val="auto"/>
              </w:rPr>
            </w:pPr>
          </w:p>
        </w:tc>
      </w:tr>
      <w:tr>
        <w:trPr>
          <w:trHeight w:val="297"/>
        </w:trPr>
        <w:tc>
          <w:tcPr>
            <w:tcW w:w="5800" w:type="dxa"/>
            <w:vAlign w:val="bottom"/>
          </w:tcPr>
          <w:p>
            <w:pPr>
              <w:spacing w:after="0"/>
              <w:rPr>
                <w:sz w:val="20"/>
                <w:szCs w:val="20"/>
                <w:color w:val="auto"/>
              </w:rPr>
            </w:pPr>
            <w:r>
              <w:rPr>
                <w:rFonts w:ascii="Arial" w:cs="Arial" w:eastAsia="Arial" w:hAnsi="Arial"/>
                <w:sz w:val="18"/>
                <w:szCs w:val="18"/>
                <w:b w:val="1"/>
                <w:bCs w:val="1"/>
                <w:color w:val="auto"/>
              </w:rPr>
              <w:t>RATIO OF EARNINGS TO FIXED CHARGES (Unaudited)</w:t>
            </w:r>
          </w:p>
        </w:tc>
        <w:tc>
          <w:tcPr>
            <w:tcW w:w="1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5800" w:type="dxa"/>
            <w:vAlign w:val="bottom"/>
          </w:tcPr>
          <w:p>
            <w:pPr>
              <w:spacing w:after="0"/>
              <w:rPr>
                <w:sz w:val="20"/>
                <w:szCs w:val="20"/>
                <w:color w:val="auto"/>
              </w:rPr>
            </w:pPr>
            <w:r>
              <w:rPr>
                <w:rFonts w:ascii="Arial" w:cs="Arial" w:eastAsia="Arial" w:hAnsi="Arial"/>
                <w:sz w:val="18"/>
                <w:szCs w:val="18"/>
                <w:i w:val="1"/>
                <w:iCs w:val="1"/>
                <w:color w:val="auto"/>
              </w:rPr>
              <w:t>Union Pacific Corporation and Subsidiary Companies</w:t>
            </w:r>
          </w:p>
        </w:tc>
        <w:tc>
          <w:tcPr>
            <w:tcW w:w="1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3"/>
        </w:trPr>
        <w:tc>
          <w:tcPr>
            <w:tcW w:w="5800" w:type="dxa"/>
            <w:vAlign w:val="bottom"/>
            <w:tcBorders>
              <w:bottom w:val="single" w:sz="8" w:color="7F7F7F"/>
            </w:tcBorders>
          </w:tcPr>
          <w:p>
            <w:pPr>
              <w:spacing w:after="0"/>
              <w:rPr>
                <w:sz w:val="10"/>
                <w:szCs w:val="10"/>
                <w:color w:val="auto"/>
              </w:rPr>
            </w:pPr>
          </w:p>
        </w:tc>
        <w:tc>
          <w:tcPr>
            <w:tcW w:w="1340" w:type="dxa"/>
            <w:vAlign w:val="bottom"/>
            <w:tcBorders>
              <w:bottom w:val="single" w:sz="8" w:color="7F7F7F"/>
            </w:tcBorders>
          </w:tcPr>
          <w:p>
            <w:pPr>
              <w:spacing w:after="0"/>
              <w:rPr>
                <w:sz w:val="10"/>
                <w:szCs w:val="10"/>
                <w:color w:val="auto"/>
              </w:rPr>
            </w:pPr>
          </w:p>
        </w:tc>
        <w:tc>
          <w:tcPr>
            <w:tcW w:w="600" w:type="dxa"/>
            <w:vAlign w:val="bottom"/>
            <w:tcBorders>
              <w:bottom w:val="single" w:sz="8" w:color="7F7F7F"/>
            </w:tcBorders>
          </w:tcPr>
          <w:p>
            <w:pPr>
              <w:spacing w:after="0"/>
              <w:rPr>
                <w:sz w:val="10"/>
                <w:szCs w:val="10"/>
                <w:color w:val="auto"/>
              </w:rPr>
            </w:pPr>
          </w:p>
        </w:tc>
        <w:tc>
          <w:tcPr>
            <w:tcW w:w="460" w:type="dxa"/>
            <w:vAlign w:val="bottom"/>
            <w:tcBorders>
              <w:bottom w:val="single" w:sz="8" w:color="7F7F7F"/>
            </w:tcBorders>
          </w:tcPr>
          <w:p>
            <w:pPr>
              <w:spacing w:after="0"/>
              <w:rPr>
                <w:sz w:val="10"/>
                <w:szCs w:val="10"/>
                <w:color w:val="auto"/>
              </w:rPr>
            </w:pPr>
          </w:p>
        </w:tc>
        <w:tc>
          <w:tcPr>
            <w:tcW w:w="620" w:type="dxa"/>
            <w:vAlign w:val="bottom"/>
            <w:tcBorders>
              <w:bottom w:val="single" w:sz="8" w:color="7F7F7F"/>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5800" w:type="dxa"/>
            <w:vAlign w:val="bottom"/>
          </w:tcPr>
          <w:p>
            <w:pPr>
              <w:spacing w:after="0"/>
              <w:rPr>
                <w:sz w:val="20"/>
                <w:szCs w:val="20"/>
                <w:color w:val="auto"/>
              </w:rPr>
            </w:pPr>
            <w:r>
              <w:rPr>
                <w:rFonts w:ascii="Arial" w:cs="Arial" w:eastAsia="Arial" w:hAnsi="Arial"/>
                <w:sz w:val="16"/>
                <w:szCs w:val="16"/>
                <w:i w:val="1"/>
                <w:iCs w:val="1"/>
                <w:color w:val="auto"/>
              </w:rPr>
              <w:t>Millions, Except for Ratios</w:t>
            </w:r>
          </w:p>
        </w:tc>
        <w:tc>
          <w:tcPr>
            <w:tcW w:w="134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b w:val="1"/>
                <w:bCs w:val="1"/>
                <w:i w:val="1"/>
                <w:iCs w:val="1"/>
                <w:color w:val="auto"/>
              </w:rPr>
              <w:t>2017</w:t>
            </w:r>
          </w:p>
        </w:tc>
        <w:tc>
          <w:tcPr>
            <w:tcW w:w="46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i w:val="1"/>
                <w:iCs w:val="1"/>
                <w:color w:val="auto"/>
              </w:rPr>
              <w:t>2016</w:t>
            </w:r>
          </w:p>
        </w:tc>
        <w:tc>
          <w:tcPr>
            <w:tcW w:w="0" w:type="dxa"/>
            <w:vAlign w:val="bottom"/>
          </w:tcPr>
          <w:p>
            <w:pPr>
              <w:spacing w:after="0"/>
              <w:rPr>
                <w:sz w:val="1"/>
                <w:szCs w:val="1"/>
                <w:color w:val="auto"/>
              </w:rPr>
            </w:pPr>
          </w:p>
        </w:tc>
      </w:tr>
      <w:tr>
        <w:trPr>
          <w:trHeight w:val="197"/>
        </w:trPr>
        <w:tc>
          <w:tcPr>
            <w:tcW w:w="5800" w:type="dxa"/>
            <w:vAlign w:val="bottom"/>
            <w:tcBorders>
              <w:bottom w:val="single" w:sz="8" w:color="7F7F7F"/>
            </w:tcBorders>
          </w:tcPr>
          <w:p>
            <w:pPr>
              <w:spacing w:after="0"/>
              <w:rPr>
                <w:sz w:val="20"/>
                <w:szCs w:val="20"/>
                <w:color w:val="auto"/>
              </w:rPr>
            </w:pPr>
            <w:r>
              <w:rPr>
                <w:rFonts w:ascii="Arial" w:cs="Arial" w:eastAsia="Arial" w:hAnsi="Arial"/>
                <w:sz w:val="16"/>
                <w:szCs w:val="16"/>
                <w:i w:val="1"/>
                <w:iCs w:val="1"/>
                <w:color w:val="auto"/>
              </w:rPr>
              <w:t>for the Nine Months Ended September 30,</w:t>
            </w:r>
          </w:p>
        </w:tc>
        <w:tc>
          <w:tcPr>
            <w:tcW w:w="1340" w:type="dxa"/>
            <w:vAlign w:val="bottom"/>
            <w:tcBorders>
              <w:bottom w:val="single" w:sz="8" w:color="7F7F7F"/>
            </w:tcBorders>
          </w:tcPr>
          <w:p>
            <w:pPr>
              <w:spacing w:after="0"/>
              <w:rPr>
                <w:sz w:val="17"/>
                <w:szCs w:val="17"/>
                <w:color w:val="auto"/>
              </w:rPr>
            </w:pPr>
          </w:p>
        </w:tc>
        <w:tc>
          <w:tcPr>
            <w:tcW w:w="600" w:type="dxa"/>
            <w:vAlign w:val="bottom"/>
            <w:tcBorders>
              <w:bottom w:val="single" w:sz="8" w:color="7F7F7F"/>
            </w:tcBorders>
            <w:vMerge w:val="continue"/>
          </w:tcPr>
          <w:p>
            <w:pPr>
              <w:spacing w:after="0"/>
              <w:rPr>
                <w:sz w:val="17"/>
                <w:szCs w:val="17"/>
                <w:color w:val="auto"/>
              </w:rPr>
            </w:pPr>
          </w:p>
        </w:tc>
        <w:tc>
          <w:tcPr>
            <w:tcW w:w="460" w:type="dxa"/>
            <w:vAlign w:val="bottom"/>
            <w:tcBorders>
              <w:bottom w:val="single" w:sz="8" w:color="7F7F7F"/>
            </w:tcBorders>
          </w:tcPr>
          <w:p>
            <w:pPr>
              <w:spacing w:after="0"/>
              <w:rPr>
                <w:sz w:val="17"/>
                <w:szCs w:val="17"/>
                <w:color w:val="auto"/>
              </w:rPr>
            </w:pPr>
          </w:p>
        </w:tc>
        <w:tc>
          <w:tcPr>
            <w:tcW w:w="620" w:type="dxa"/>
            <w:vAlign w:val="bottom"/>
            <w:tcBorders>
              <w:bottom w:val="single" w:sz="8" w:color="7F7F7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Fixed charges:</w:t>
            </w:r>
          </w:p>
        </w:tc>
        <w:tc>
          <w:tcPr>
            <w:tcW w:w="1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800" w:type="dxa"/>
            <w:vAlign w:val="bottom"/>
          </w:tcPr>
          <w:p>
            <w:pPr>
              <w:ind w:left="100"/>
              <w:spacing w:after="0"/>
              <w:rPr>
                <w:sz w:val="20"/>
                <w:szCs w:val="20"/>
                <w:color w:val="auto"/>
              </w:rPr>
            </w:pPr>
            <w:r>
              <w:rPr>
                <w:rFonts w:ascii="Arial" w:cs="Arial" w:eastAsia="Arial" w:hAnsi="Arial"/>
                <w:sz w:val="16"/>
                <w:szCs w:val="16"/>
                <w:color w:val="auto"/>
              </w:rPr>
              <w:t>Interest expense including amortization of debt discount</w:t>
            </w:r>
          </w:p>
        </w:tc>
        <w:tc>
          <w:tcPr>
            <w:tcW w:w="1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531</w:t>
            </w:r>
          </w:p>
        </w:tc>
        <w:tc>
          <w:tcPr>
            <w:tcW w:w="460" w:type="dxa"/>
            <w:vAlign w:val="bottom"/>
          </w:tcPr>
          <w:p>
            <w:pPr>
              <w:jc w:val="right"/>
              <w:ind w:right="97"/>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524</w:t>
            </w:r>
          </w:p>
        </w:tc>
        <w:tc>
          <w:tcPr>
            <w:tcW w:w="0" w:type="dxa"/>
            <w:vAlign w:val="bottom"/>
          </w:tcPr>
          <w:p>
            <w:pPr>
              <w:spacing w:after="0"/>
              <w:rPr>
                <w:sz w:val="1"/>
                <w:szCs w:val="1"/>
                <w:color w:val="auto"/>
              </w:rPr>
            </w:pPr>
          </w:p>
        </w:tc>
      </w:tr>
      <w:tr>
        <w:trPr>
          <w:trHeight w:val="210"/>
        </w:trPr>
        <w:tc>
          <w:tcPr>
            <w:tcW w:w="5800" w:type="dxa"/>
            <w:vAlign w:val="bottom"/>
            <w:tcBorders>
              <w:bottom w:val="single" w:sz="8" w:color="7F7F7F"/>
            </w:tcBorders>
            <w:shd w:val="clear" w:color="auto" w:fill="CCEEFF"/>
          </w:tcPr>
          <w:p>
            <w:pPr>
              <w:ind w:left="100"/>
              <w:spacing w:after="0"/>
              <w:rPr>
                <w:sz w:val="20"/>
                <w:szCs w:val="20"/>
                <w:color w:val="auto"/>
              </w:rPr>
            </w:pPr>
            <w:r>
              <w:rPr>
                <w:rFonts w:ascii="Arial" w:cs="Arial" w:eastAsia="Arial" w:hAnsi="Arial"/>
                <w:sz w:val="16"/>
                <w:szCs w:val="16"/>
                <w:color w:val="auto"/>
              </w:rPr>
              <w:t>Portion of rentals representing an interest factor</w:t>
            </w:r>
          </w:p>
        </w:tc>
        <w:tc>
          <w:tcPr>
            <w:tcW w:w="1340" w:type="dxa"/>
            <w:vAlign w:val="bottom"/>
            <w:tcBorders>
              <w:bottom w:val="single" w:sz="8" w:color="7F7F7F"/>
            </w:tcBorders>
            <w:shd w:val="clear" w:color="auto" w:fill="CCEEFF"/>
          </w:tcPr>
          <w:p>
            <w:pPr>
              <w:spacing w:after="0"/>
              <w:rPr>
                <w:sz w:val="18"/>
                <w:szCs w:val="18"/>
                <w:color w:val="auto"/>
              </w:rPr>
            </w:pPr>
          </w:p>
        </w:tc>
        <w:tc>
          <w:tcPr>
            <w:tcW w:w="6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57</w:t>
            </w:r>
          </w:p>
        </w:tc>
        <w:tc>
          <w:tcPr>
            <w:tcW w:w="460" w:type="dxa"/>
            <w:vAlign w:val="bottom"/>
            <w:tcBorders>
              <w:bottom w:val="single" w:sz="8" w:color="7F7F7F"/>
            </w:tcBorders>
            <w:shd w:val="clear" w:color="auto" w:fill="CCEEFF"/>
          </w:tcPr>
          <w:p>
            <w:pPr>
              <w:spacing w:after="0"/>
              <w:rPr>
                <w:sz w:val="18"/>
                <w:szCs w:val="18"/>
                <w:color w:val="auto"/>
              </w:rPr>
            </w:pPr>
          </w:p>
        </w:tc>
        <w:tc>
          <w:tcPr>
            <w:tcW w:w="6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196"/>
        </w:trPr>
        <w:tc>
          <w:tcPr>
            <w:tcW w:w="580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Total fixed charges</w:t>
            </w:r>
          </w:p>
        </w:tc>
        <w:tc>
          <w:tcPr>
            <w:tcW w:w="1340" w:type="dxa"/>
            <w:vAlign w:val="bottom"/>
            <w:tcBorders>
              <w:bottom w:val="single" w:sz="8" w:color="7F7F7F"/>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7F7F7F"/>
            </w:tcBorders>
          </w:tcPr>
          <w:p>
            <w:pPr>
              <w:jc w:val="right"/>
              <w:spacing w:after="0"/>
              <w:rPr>
                <w:sz w:val="20"/>
                <w:szCs w:val="20"/>
                <w:color w:val="auto"/>
              </w:rPr>
            </w:pPr>
            <w:r>
              <w:rPr>
                <w:rFonts w:ascii="Arial" w:cs="Arial" w:eastAsia="Arial" w:hAnsi="Arial"/>
                <w:sz w:val="16"/>
                <w:szCs w:val="16"/>
                <w:b w:val="1"/>
                <w:bCs w:val="1"/>
                <w:color w:val="auto"/>
              </w:rPr>
              <w:t>588</w:t>
            </w:r>
          </w:p>
        </w:tc>
        <w:tc>
          <w:tcPr>
            <w:tcW w:w="460" w:type="dxa"/>
            <w:vAlign w:val="bottom"/>
            <w:tcBorders>
              <w:bottom w:val="single" w:sz="8" w:color="7F7F7F"/>
            </w:tcBorders>
          </w:tcPr>
          <w:p>
            <w:pPr>
              <w:jc w:val="right"/>
              <w:ind w:right="97"/>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588</w:t>
            </w:r>
          </w:p>
        </w:tc>
        <w:tc>
          <w:tcPr>
            <w:tcW w:w="0" w:type="dxa"/>
            <w:vAlign w:val="bottom"/>
          </w:tcPr>
          <w:p>
            <w:pPr>
              <w:spacing w:after="0"/>
              <w:rPr>
                <w:sz w:val="1"/>
                <w:szCs w:val="1"/>
                <w:color w:val="auto"/>
              </w:rPr>
            </w:pPr>
          </w:p>
        </w:tc>
      </w:tr>
      <w:tr>
        <w:trPr>
          <w:trHeight w:val="203"/>
        </w:trPr>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Earnings available for fixed charges:</w:t>
            </w:r>
          </w:p>
        </w:tc>
        <w:tc>
          <w:tcPr>
            <w:tcW w:w="1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800" w:type="dxa"/>
            <w:vAlign w:val="bottom"/>
          </w:tcPr>
          <w:p>
            <w:pPr>
              <w:ind w:left="100"/>
              <w:spacing w:after="0"/>
              <w:rPr>
                <w:sz w:val="20"/>
                <w:szCs w:val="20"/>
                <w:color w:val="auto"/>
              </w:rPr>
            </w:pPr>
            <w:r>
              <w:rPr>
                <w:rFonts w:ascii="Arial" w:cs="Arial" w:eastAsia="Arial" w:hAnsi="Arial"/>
                <w:sz w:val="16"/>
                <w:szCs w:val="16"/>
                <w:color w:val="auto"/>
              </w:rPr>
              <w:t>Net income</w:t>
            </w:r>
          </w:p>
        </w:tc>
        <w:tc>
          <w:tcPr>
            <w:tcW w:w="1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3,434</w:t>
            </w:r>
          </w:p>
        </w:tc>
        <w:tc>
          <w:tcPr>
            <w:tcW w:w="460" w:type="dxa"/>
            <w:vAlign w:val="bottom"/>
          </w:tcPr>
          <w:p>
            <w:pPr>
              <w:jc w:val="right"/>
              <w:ind w:right="97"/>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3,089</w:t>
            </w:r>
          </w:p>
        </w:tc>
        <w:tc>
          <w:tcPr>
            <w:tcW w:w="0" w:type="dxa"/>
            <w:vAlign w:val="bottom"/>
          </w:tcPr>
          <w:p>
            <w:pPr>
              <w:spacing w:after="0"/>
              <w:rPr>
                <w:sz w:val="1"/>
                <w:szCs w:val="1"/>
                <w:color w:val="auto"/>
              </w:rPr>
            </w:pPr>
          </w:p>
        </w:tc>
      </w:tr>
      <w:tr>
        <w:trPr>
          <w:trHeight w:val="217"/>
        </w:trPr>
        <w:tc>
          <w:tcPr>
            <w:tcW w:w="58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Equity earnings net of distributions</w:t>
            </w:r>
          </w:p>
        </w:tc>
        <w:tc>
          <w:tcPr>
            <w:tcW w:w="1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37"/>
              <w:spacing w:after="0"/>
              <w:rPr>
                <w:sz w:val="20"/>
                <w:szCs w:val="20"/>
                <w:color w:val="auto"/>
              </w:rPr>
            </w:pPr>
            <w:r>
              <w:rPr>
                <w:rFonts w:ascii="Arial" w:cs="Arial" w:eastAsia="Arial" w:hAnsi="Arial"/>
                <w:sz w:val="16"/>
                <w:szCs w:val="16"/>
                <w:b w:val="1"/>
                <w:bCs w:val="1"/>
                <w:color w:val="auto"/>
              </w:rPr>
              <w:t>(54)</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5"/>
        </w:trPr>
        <w:tc>
          <w:tcPr>
            <w:tcW w:w="5800" w:type="dxa"/>
            <w:vAlign w:val="bottom"/>
          </w:tcPr>
          <w:p>
            <w:pPr>
              <w:ind w:left="100"/>
              <w:spacing w:after="0"/>
              <w:rPr>
                <w:sz w:val="20"/>
                <w:szCs w:val="20"/>
                <w:color w:val="auto"/>
              </w:rPr>
            </w:pPr>
            <w:r>
              <w:rPr>
                <w:rFonts w:ascii="Arial" w:cs="Arial" w:eastAsia="Arial" w:hAnsi="Arial"/>
                <w:sz w:val="16"/>
                <w:szCs w:val="16"/>
                <w:color w:val="auto"/>
              </w:rPr>
              <w:t>Income taxes</w:t>
            </w:r>
          </w:p>
        </w:tc>
        <w:tc>
          <w:tcPr>
            <w:tcW w:w="1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2,106</w:t>
            </w: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1,846</w:t>
            </w:r>
          </w:p>
        </w:tc>
        <w:tc>
          <w:tcPr>
            <w:tcW w:w="0" w:type="dxa"/>
            <w:vAlign w:val="bottom"/>
          </w:tcPr>
          <w:p>
            <w:pPr>
              <w:spacing w:after="0"/>
              <w:rPr>
                <w:sz w:val="1"/>
                <w:szCs w:val="1"/>
                <w:color w:val="auto"/>
              </w:rPr>
            </w:pPr>
          </w:p>
        </w:tc>
      </w:tr>
      <w:tr>
        <w:trPr>
          <w:trHeight w:val="210"/>
        </w:trPr>
        <w:tc>
          <w:tcPr>
            <w:tcW w:w="5800" w:type="dxa"/>
            <w:vAlign w:val="bottom"/>
            <w:tcBorders>
              <w:bottom w:val="single" w:sz="8" w:color="7F7F7F"/>
            </w:tcBorders>
            <w:shd w:val="clear" w:color="auto" w:fill="CCEEFF"/>
          </w:tcPr>
          <w:p>
            <w:pPr>
              <w:ind w:left="100"/>
              <w:spacing w:after="0"/>
              <w:rPr>
                <w:sz w:val="20"/>
                <w:szCs w:val="20"/>
                <w:color w:val="auto"/>
              </w:rPr>
            </w:pPr>
            <w:r>
              <w:rPr>
                <w:rFonts w:ascii="Arial" w:cs="Arial" w:eastAsia="Arial" w:hAnsi="Arial"/>
                <w:sz w:val="16"/>
                <w:szCs w:val="16"/>
                <w:color w:val="auto"/>
              </w:rPr>
              <w:t>Fixed charges</w:t>
            </w:r>
          </w:p>
        </w:tc>
        <w:tc>
          <w:tcPr>
            <w:tcW w:w="1340" w:type="dxa"/>
            <w:vAlign w:val="bottom"/>
            <w:tcBorders>
              <w:bottom w:val="single" w:sz="8" w:color="7F7F7F"/>
            </w:tcBorders>
            <w:shd w:val="clear" w:color="auto" w:fill="CCEEFF"/>
          </w:tcPr>
          <w:p>
            <w:pPr>
              <w:spacing w:after="0"/>
              <w:rPr>
                <w:sz w:val="18"/>
                <w:szCs w:val="18"/>
                <w:color w:val="auto"/>
              </w:rPr>
            </w:pPr>
          </w:p>
        </w:tc>
        <w:tc>
          <w:tcPr>
            <w:tcW w:w="6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588</w:t>
            </w:r>
          </w:p>
        </w:tc>
        <w:tc>
          <w:tcPr>
            <w:tcW w:w="460" w:type="dxa"/>
            <w:vAlign w:val="bottom"/>
            <w:tcBorders>
              <w:bottom w:val="single" w:sz="8" w:color="7F7F7F"/>
            </w:tcBorders>
            <w:shd w:val="clear" w:color="auto" w:fill="CCEEFF"/>
          </w:tcPr>
          <w:p>
            <w:pPr>
              <w:spacing w:after="0"/>
              <w:rPr>
                <w:sz w:val="18"/>
                <w:szCs w:val="18"/>
                <w:color w:val="auto"/>
              </w:rPr>
            </w:pPr>
          </w:p>
        </w:tc>
        <w:tc>
          <w:tcPr>
            <w:tcW w:w="6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588</w:t>
            </w:r>
          </w:p>
        </w:tc>
        <w:tc>
          <w:tcPr>
            <w:tcW w:w="0" w:type="dxa"/>
            <w:vAlign w:val="bottom"/>
          </w:tcPr>
          <w:p>
            <w:pPr>
              <w:spacing w:after="0"/>
              <w:rPr>
                <w:sz w:val="1"/>
                <w:szCs w:val="1"/>
                <w:color w:val="auto"/>
              </w:rPr>
            </w:pPr>
          </w:p>
        </w:tc>
      </w:tr>
      <w:tr>
        <w:trPr>
          <w:trHeight w:val="196"/>
        </w:trPr>
        <w:tc>
          <w:tcPr>
            <w:tcW w:w="580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Earnings available for fixed charges</w:t>
            </w:r>
          </w:p>
        </w:tc>
        <w:tc>
          <w:tcPr>
            <w:tcW w:w="1340" w:type="dxa"/>
            <w:vAlign w:val="bottom"/>
            <w:tcBorders>
              <w:bottom w:val="single" w:sz="8" w:color="7F7F7F"/>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7F7F7F"/>
            </w:tcBorders>
          </w:tcPr>
          <w:p>
            <w:pPr>
              <w:jc w:val="right"/>
              <w:spacing w:after="0"/>
              <w:rPr>
                <w:sz w:val="20"/>
                <w:szCs w:val="20"/>
                <w:color w:val="auto"/>
              </w:rPr>
            </w:pPr>
            <w:r>
              <w:rPr>
                <w:rFonts w:ascii="Arial" w:cs="Arial" w:eastAsia="Arial" w:hAnsi="Arial"/>
                <w:sz w:val="16"/>
                <w:szCs w:val="16"/>
                <w:b w:val="1"/>
                <w:bCs w:val="1"/>
                <w:color w:val="auto"/>
              </w:rPr>
              <w:t>6,074</w:t>
            </w:r>
          </w:p>
        </w:tc>
        <w:tc>
          <w:tcPr>
            <w:tcW w:w="460" w:type="dxa"/>
            <w:vAlign w:val="bottom"/>
            <w:tcBorders>
              <w:bottom w:val="single" w:sz="8" w:color="7F7F7F"/>
            </w:tcBorders>
          </w:tcPr>
          <w:p>
            <w:pPr>
              <w:jc w:val="right"/>
              <w:ind w:right="97"/>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5,466</w:t>
            </w:r>
          </w:p>
        </w:tc>
        <w:tc>
          <w:tcPr>
            <w:tcW w:w="0" w:type="dxa"/>
            <w:vAlign w:val="bottom"/>
          </w:tcPr>
          <w:p>
            <w:pPr>
              <w:spacing w:after="0"/>
              <w:rPr>
                <w:sz w:val="1"/>
                <w:szCs w:val="1"/>
                <w:color w:val="auto"/>
              </w:rPr>
            </w:pPr>
          </w:p>
        </w:tc>
      </w:tr>
      <w:tr>
        <w:trPr>
          <w:trHeight w:val="264"/>
        </w:trPr>
        <w:tc>
          <w:tcPr>
            <w:tcW w:w="5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Ratio of earnings to fixed charges</w:t>
            </w:r>
          </w:p>
        </w:tc>
        <w:tc>
          <w:tcPr>
            <w:tcW w:w="13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10.3</w:t>
            </w:r>
          </w:p>
        </w:tc>
        <w:tc>
          <w:tcPr>
            <w:tcW w:w="4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54"/>
        </w:trPr>
        <w:tc>
          <w:tcPr>
            <w:tcW w:w="5800" w:type="dxa"/>
            <w:vAlign w:val="bottom"/>
            <w:shd w:val="clear" w:color="auto" w:fill="7F7F7F"/>
          </w:tcPr>
          <w:p>
            <w:pPr>
              <w:spacing w:after="0"/>
              <w:rPr>
                <w:sz w:val="4"/>
                <w:szCs w:val="4"/>
                <w:color w:val="auto"/>
              </w:rPr>
            </w:pPr>
          </w:p>
        </w:tc>
        <w:tc>
          <w:tcPr>
            <w:tcW w:w="1340" w:type="dxa"/>
            <w:vAlign w:val="bottom"/>
            <w:shd w:val="clear" w:color="auto" w:fill="7F7F7F"/>
          </w:tcPr>
          <w:p>
            <w:pPr>
              <w:spacing w:after="0"/>
              <w:rPr>
                <w:sz w:val="4"/>
                <w:szCs w:val="4"/>
                <w:color w:val="auto"/>
              </w:rPr>
            </w:pPr>
          </w:p>
        </w:tc>
        <w:tc>
          <w:tcPr>
            <w:tcW w:w="600" w:type="dxa"/>
            <w:vAlign w:val="bottom"/>
            <w:shd w:val="clear" w:color="auto" w:fill="7F7F7F"/>
          </w:tcPr>
          <w:p>
            <w:pPr>
              <w:spacing w:after="0"/>
              <w:rPr>
                <w:sz w:val="4"/>
                <w:szCs w:val="4"/>
                <w:color w:val="auto"/>
              </w:rPr>
            </w:pPr>
          </w:p>
        </w:tc>
        <w:tc>
          <w:tcPr>
            <w:tcW w:w="460" w:type="dxa"/>
            <w:vAlign w:val="bottom"/>
            <w:shd w:val="clear" w:color="auto" w:fill="7F7F7F"/>
          </w:tcPr>
          <w:p>
            <w:pPr>
              <w:spacing w:after="0"/>
              <w:rPr>
                <w:sz w:val="4"/>
                <w:szCs w:val="4"/>
                <w:color w:val="auto"/>
              </w:rPr>
            </w:pPr>
          </w:p>
        </w:tc>
        <w:tc>
          <w:tcPr>
            <w:tcW w:w="620" w:type="dxa"/>
            <w:vAlign w:val="bottom"/>
            <w:shd w:val="clear" w:color="auto" w:fill="7F7F7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4987290</wp:posOffset>
            </wp:positionV>
            <wp:extent cx="5642610" cy="514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3" w:name="page74"/>
    <w:bookmarkEnd w:id="73"/>
    <w:p>
      <w:pPr>
        <w:jc w:val="right"/>
        <w:ind w:right="99"/>
        <w:spacing w:after="0"/>
        <w:rPr>
          <w:sz w:val="20"/>
          <w:szCs w:val="20"/>
          <w:color w:val="auto"/>
        </w:rPr>
      </w:pPr>
      <w:r>
        <w:rPr>
          <w:rFonts w:ascii="Arial" w:cs="Arial" w:eastAsia="Arial" w:hAnsi="Arial"/>
          <w:sz w:val="18"/>
          <w:szCs w:val="18"/>
          <w:b w:val="1"/>
          <w:bCs w:val="1"/>
          <w:color w:val="auto"/>
        </w:rPr>
        <w:t>Exhibit 31(a)</w:t>
      </w:r>
    </w:p>
    <w:p>
      <w:pPr>
        <w:spacing w:after="0" w:line="144" w:lineRule="exact"/>
        <w:rPr>
          <w:sz w:val="20"/>
          <w:szCs w:val="20"/>
          <w:color w:val="auto"/>
        </w:rPr>
      </w:pPr>
    </w:p>
    <w:p>
      <w:pPr>
        <w:ind w:left="100" w:right="4319"/>
        <w:spacing w:after="0" w:line="419" w:lineRule="auto"/>
        <w:rPr>
          <w:sz w:val="20"/>
          <w:szCs w:val="20"/>
          <w:color w:val="auto"/>
        </w:rPr>
      </w:pPr>
      <w:r>
        <w:rPr>
          <w:rFonts w:ascii="Arial" w:cs="Arial" w:eastAsia="Arial" w:hAnsi="Arial"/>
          <w:sz w:val="18"/>
          <w:szCs w:val="18"/>
          <w:b w:val="1"/>
          <w:bCs w:val="1"/>
          <w:color w:val="auto"/>
        </w:rPr>
        <w:t xml:space="preserve">CERTIFICATION OF PRINCIPAL EXECUTIVE OFFICER </w:t>
      </w:r>
      <w:r>
        <w:rPr>
          <w:rFonts w:ascii="Arial" w:cs="Arial" w:eastAsia="Arial" w:hAnsi="Arial"/>
          <w:sz w:val="18"/>
          <w:szCs w:val="18"/>
          <w:color w:val="auto"/>
        </w:rPr>
        <w:t>I, Lance M. Fritz, certify that:</w:t>
      </w:r>
    </w:p>
    <w:p>
      <w:pPr>
        <w:spacing w:after="0" w:line="2" w:lineRule="exact"/>
        <w:rPr>
          <w:sz w:val="20"/>
          <w:szCs w:val="20"/>
          <w:color w:val="auto"/>
        </w:rPr>
      </w:pPr>
    </w:p>
    <w:p>
      <w:pPr>
        <w:ind w:left="300" w:hanging="195"/>
        <w:spacing w:after="0"/>
        <w:tabs>
          <w:tab w:leader="none" w:pos="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Union Pacific Corporation;</w:t>
      </w:r>
    </w:p>
    <w:p>
      <w:pPr>
        <w:spacing w:after="0" w:line="144" w:lineRule="exact"/>
        <w:rPr>
          <w:rFonts w:ascii="Arial" w:cs="Arial" w:eastAsia="Arial" w:hAnsi="Arial"/>
          <w:sz w:val="18"/>
          <w:szCs w:val="18"/>
          <w:color w:val="auto"/>
        </w:rPr>
      </w:pPr>
    </w:p>
    <w:p>
      <w:pPr>
        <w:jc w:val="both"/>
        <w:ind w:left="100" w:right="99" w:firstLine="5"/>
        <w:spacing w:after="0" w:line="219" w:lineRule="auto"/>
        <w:tabs>
          <w:tab w:leader="none" w:pos="301"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Arial" w:cs="Arial" w:eastAsia="Arial" w:hAnsi="Arial"/>
          <w:sz w:val="18"/>
          <w:szCs w:val="18"/>
          <w:color w:val="auto"/>
        </w:rPr>
      </w:pPr>
    </w:p>
    <w:p>
      <w:pPr>
        <w:jc w:val="both"/>
        <w:ind w:left="100" w:right="99" w:firstLine="5"/>
        <w:spacing w:after="0" w:line="219" w:lineRule="auto"/>
        <w:tabs>
          <w:tab w:leader="none" w:pos="323"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Arial" w:cs="Arial" w:eastAsia="Arial" w:hAnsi="Arial"/>
          <w:sz w:val="18"/>
          <w:szCs w:val="18"/>
          <w:color w:val="auto"/>
        </w:rPr>
      </w:pPr>
    </w:p>
    <w:p>
      <w:pPr>
        <w:jc w:val="both"/>
        <w:ind w:left="100" w:right="99" w:firstLine="5"/>
        <w:spacing w:after="0" w:line="219" w:lineRule="auto"/>
        <w:tabs>
          <w:tab w:leader="none" w:pos="316"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Arial" w:cs="Arial" w:eastAsia="Arial" w:hAnsi="Arial"/>
          <w:sz w:val="18"/>
          <w:szCs w:val="18"/>
          <w:color w:val="auto"/>
        </w:rPr>
      </w:pPr>
    </w:p>
    <w:p>
      <w:pPr>
        <w:jc w:val="both"/>
        <w:ind w:left="760" w:right="99" w:hanging="331"/>
        <w:spacing w:after="0" w:line="215" w:lineRule="auto"/>
        <w:tabs>
          <w:tab w:leader="none" w:pos="7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6" w:lineRule="exact"/>
        <w:rPr>
          <w:rFonts w:ascii="Arial" w:cs="Arial" w:eastAsia="Arial" w:hAnsi="Arial"/>
          <w:sz w:val="18"/>
          <w:szCs w:val="18"/>
          <w:color w:val="auto"/>
        </w:rPr>
      </w:pPr>
    </w:p>
    <w:p>
      <w:pPr>
        <w:jc w:val="both"/>
        <w:ind w:left="760" w:right="99" w:hanging="331"/>
        <w:spacing w:after="0" w:line="215" w:lineRule="auto"/>
        <w:tabs>
          <w:tab w:leader="none" w:pos="7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6" w:lineRule="exact"/>
        <w:rPr>
          <w:rFonts w:ascii="Arial" w:cs="Arial" w:eastAsia="Arial" w:hAnsi="Arial"/>
          <w:sz w:val="18"/>
          <w:szCs w:val="18"/>
          <w:color w:val="auto"/>
        </w:rPr>
      </w:pPr>
    </w:p>
    <w:p>
      <w:pPr>
        <w:jc w:val="both"/>
        <w:ind w:left="760" w:right="99" w:hanging="331"/>
        <w:spacing w:after="0" w:line="219" w:lineRule="auto"/>
        <w:tabs>
          <w:tab w:leader="none" w:pos="7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Arial" w:cs="Arial" w:eastAsia="Arial" w:hAnsi="Arial"/>
          <w:sz w:val="18"/>
          <w:szCs w:val="18"/>
          <w:color w:val="auto"/>
        </w:rPr>
      </w:pPr>
    </w:p>
    <w:p>
      <w:pPr>
        <w:jc w:val="both"/>
        <w:ind w:left="760" w:right="99" w:hanging="331"/>
        <w:spacing w:after="0" w:line="215" w:lineRule="auto"/>
        <w:tabs>
          <w:tab w:leader="none" w:pos="7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Arial" w:cs="Arial" w:eastAsia="Arial" w:hAnsi="Arial"/>
          <w:sz w:val="18"/>
          <w:szCs w:val="18"/>
          <w:color w:val="auto"/>
        </w:rPr>
      </w:pPr>
    </w:p>
    <w:p>
      <w:pPr>
        <w:jc w:val="both"/>
        <w:ind w:left="100" w:right="99" w:firstLine="5"/>
        <w:spacing w:after="0" w:line="219" w:lineRule="auto"/>
        <w:tabs>
          <w:tab w:leader="none" w:pos="331"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Arial" w:cs="Arial" w:eastAsia="Arial" w:hAnsi="Arial"/>
          <w:sz w:val="18"/>
          <w:szCs w:val="18"/>
          <w:color w:val="auto"/>
        </w:rPr>
      </w:pPr>
    </w:p>
    <w:p>
      <w:pPr>
        <w:jc w:val="both"/>
        <w:ind w:left="760" w:right="99" w:hanging="331"/>
        <w:spacing w:after="0" w:line="219" w:lineRule="auto"/>
        <w:tabs>
          <w:tab w:leader="none" w:pos="7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Arial" w:cs="Arial" w:eastAsia="Arial" w:hAnsi="Arial"/>
          <w:sz w:val="18"/>
          <w:szCs w:val="18"/>
          <w:color w:val="auto"/>
        </w:rPr>
      </w:pPr>
    </w:p>
    <w:p>
      <w:pPr>
        <w:ind w:left="760" w:right="99" w:hanging="331"/>
        <w:spacing w:after="0" w:line="227" w:lineRule="auto"/>
        <w:tabs>
          <w:tab w:leader="none" w:pos="7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 October 26, 2017</w:t>
      </w:r>
    </w:p>
    <w:p>
      <w:pPr>
        <w:spacing w:after="0" w:line="126" w:lineRule="exact"/>
        <w:rPr>
          <w:sz w:val="20"/>
          <w:szCs w:val="20"/>
          <w:color w:val="auto"/>
        </w:rPr>
      </w:pPr>
    </w:p>
    <w:p>
      <w:pPr>
        <w:ind w:left="5020"/>
        <w:spacing w:after="0"/>
        <w:rPr>
          <w:sz w:val="20"/>
          <w:szCs w:val="20"/>
          <w:color w:val="auto"/>
        </w:rPr>
      </w:pPr>
      <w:r>
        <w:rPr>
          <w:rFonts w:ascii="Arial" w:cs="Arial" w:eastAsia="Arial" w:hAnsi="Arial"/>
          <w:sz w:val="18"/>
          <w:szCs w:val="18"/>
          <w:u w:val="single" w:color="auto"/>
          <w:color w:val="auto"/>
        </w:rPr>
        <w:t>/s/ Lance M. Fritz</w:t>
      </w:r>
    </w:p>
    <w:p>
      <w:pPr>
        <w:ind w:left="5020"/>
        <w:spacing w:after="0" w:line="203" w:lineRule="auto"/>
        <w:rPr>
          <w:sz w:val="20"/>
          <w:szCs w:val="20"/>
          <w:color w:val="auto"/>
        </w:rPr>
      </w:pPr>
      <w:r>
        <w:rPr>
          <w:rFonts w:ascii="Arial" w:cs="Arial" w:eastAsia="Arial" w:hAnsi="Arial"/>
          <w:sz w:val="18"/>
          <w:szCs w:val="18"/>
          <w:color w:val="auto"/>
        </w:rPr>
        <w:t>Lance M. Fritz</w:t>
      </w:r>
    </w:p>
    <w:p>
      <w:pPr>
        <w:ind w:left="5020"/>
        <w:spacing w:after="0" w:line="204" w:lineRule="auto"/>
        <w:rPr>
          <w:sz w:val="20"/>
          <w:szCs w:val="20"/>
          <w:color w:val="auto"/>
        </w:rPr>
      </w:pPr>
      <w:r>
        <w:rPr>
          <w:rFonts w:ascii="Arial" w:cs="Arial" w:eastAsia="Arial" w:hAnsi="Arial"/>
          <w:sz w:val="18"/>
          <w:szCs w:val="18"/>
          <w:color w:val="auto"/>
        </w:rPr>
        <w:t>Chairman, President and</w:t>
      </w:r>
    </w:p>
    <w:p>
      <w:pPr>
        <w:ind w:left="50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516890</wp:posOffset>
            </wp:positionV>
            <wp:extent cx="5642610" cy="514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4" w:name="page75"/>
    <w:bookmarkEnd w:id="74"/>
    <w:p>
      <w:pPr>
        <w:jc w:val="right"/>
        <w:ind w:right="99"/>
        <w:spacing w:after="0"/>
        <w:rPr>
          <w:sz w:val="20"/>
          <w:szCs w:val="20"/>
          <w:color w:val="auto"/>
        </w:rPr>
      </w:pPr>
      <w:r>
        <w:rPr>
          <w:rFonts w:ascii="Arial" w:cs="Arial" w:eastAsia="Arial" w:hAnsi="Arial"/>
          <w:sz w:val="18"/>
          <w:szCs w:val="18"/>
          <w:b w:val="1"/>
          <w:bCs w:val="1"/>
          <w:color w:val="auto"/>
        </w:rPr>
        <w:t>Exhibit 31(b)</w:t>
      </w:r>
    </w:p>
    <w:p>
      <w:pPr>
        <w:spacing w:after="0" w:line="144" w:lineRule="exact"/>
        <w:rPr>
          <w:sz w:val="20"/>
          <w:szCs w:val="20"/>
          <w:color w:val="auto"/>
        </w:rPr>
      </w:pPr>
    </w:p>
    <w:p>
      <w:pPr>
        <w:ind w:left="100" w:right="4379"/>
        <w:spacing w:after="0" w:line="419" w:lineRule="auto"/>
        <w:rPr>
          <w:sz w:val="20"/>
          <w:szCs w:val="20"/>
          <w:color w:val="auto"/>
        </w:rPr>
      </w:pPr>
      <w:r>
        <w:rPr>
          <w:rFonts w:ascii="Arial" w:cs="Arial" w:eastAsia="Arial" w:hAnsi="Arial"/>
          <w:sz w:val="18"/>
          <w:szCs w:val="18"/>
          <w:b w:val="1"/>
          <w:bCs w:val="1"/>
          <w:color w:val="auto"/>
        </w:rPr>
        <w:t xml:space="preserve">CERTIFICATION OF PRINCIPAL FINANCIAL OFFICER </w:t>
      </w:r>
      <w:r>
        <w:rPr>
          <w:rFonts w:ascii="Arial" w:cs="Arial" w:eastAsia="Arial" w:hAnsi="Arial"/>
          <w:sz w:val="18"/>
          <w:szCs w:val="18"/>
          <w:color w:val="auto"/>
        </w:rPr>
        <w:t>I, Robert M. Knight, Jr., certify that:</w:t>
      </w:r>
    </w:p>
    <w:p>
      <w:pPr>
        <w:spacing w:after="0" w:line="2" w:lineRule="exact"/>
        <w:rPr>
          <w:sz w:val="20"/>
          <w:szCs w:val="20"/>
          <w:color w:val="auto"/>
        </w:rPr>
      </w:pPr>
    </w:p>
    <w:p>
      <w:pPr>
        <w:ind w:left="300" w:hanging="195"/>
        <w:spacing w:after="0"/>
        <w:tabs>
          <w:tab w:leader="none" w:pos="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Union Pacific Corporation;</w:t>
      </w:r>
    </w:p>
    <w:p>
      <w:pPr>
        <w:spacing w:after="0" w:line="144" w:lineRule="exact"/>
        <w:rPr>
          <w:rFonts w:ascii="Arial" w:cs="Arial" w:eastAsia="Arial" w:hAnsi="Arial"/>
          <w:sz w:val="18"/>
          <w:szCs w:val="18"/>
          <w:color w:val="auto"/>
        </w:rPr>
      </w:pPr>
    </w:p>
    <w:p>
      <w:pPr>
        <w:jc w:val="both"/>
        <w:ind w:left="100" w:right="99" w:firstLine="5"/>
        <w:spacing w:after="0" w:line="219" w:lineRule="auto"/>
        <w:tabs>
          <w:tab w:leader="none" w:pos="301"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Arial" w:cs="Arial" w:eastAsia="Arial" w:hAnsi="Arial"/>
          <w:sz w:val="18"/>
          <w:szCs w:val="18"/>
          <w:color w:val="auto"/>
        </w:rPr>
      </w:pPr>
    </w:p>
    <w:p>
      <w:pPr>
        <w:jc w:val="both"/>
        <w:ind w:left="100" w:right="99" w:firstLine="5"/>
        <w:spacing w:after="0" w:line="219" w:lineRule="auto"/>
        <w:tabs>
          <w:tab w:leader="none" w:pos="323"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Arial" w:cs="Arial" w:eastAsia="Arial" w:hAnsi="Arial"/>
          <w:sz w:val="18"/>
          <w:szCs w:val="18"/>
          <w:color w:val="auto"/>
        </w:rPr>
      </w:pPr>
    </w:p>
    <w:p>
      <w:pPr>
        <w:jc w:val="both"/>
        <w:ind w:left="100" w:right="99" w:firstLine="5"/>
        <w:spacing w:after="0" w:line="219" w:lineRule="auto"/>
        <w:tabs>
          <w:tab w:leader="none" w:pos="316"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Arial" w:cs="Arial" w:eastAsia="Arial" w:hAnsi="Arial"/>
          <w:sz w:val="18"/>
          <w:szCs w:val="18"/>
          <w:color w:val="auto"/>
        </w:rPr>
      </w:pPr>
    </w:p>
    <w:p>
      <w:pPr>
        <w:jc w:val="both"/>
        <w:ind w:left="760" w:right="99" w:hanging="331"/>
        <w:spacing w:after="0" w:line="215" w:lineRule="auto"/>
        <w:tabs>
          <w:tab w:leader="none" w:pos="7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6" w:lineRule="exact"/>
        <w:rPr>
          <w:rFonts w:ascii="Arial" w:cs="Arial" w:eastAsia="Arial" w:hAnsi="Arial"/>
          <w:sz w:val="18"/>
          <w:szCs w:val="18"/>
          <w:color w:val="auto"/>
        </w:rPr>
      </w:pPr>
    </w:p>
    <w:p>
      <w:pPr>
        <w:jc w:val="both"/>
        <w:ind w:left="760" w:right="99" w:hanging="331"/>
        <w:spacing w:after="0" w:line="215" w:lineRule="auto"/>
        <w:tabs>
          <w:tab w:leader="none" w:pos="7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6" w:lineRule="exact"/>
        <w:rPr>
          <w:rFonts w:ascii="Arial" w:cs="Arial" w:eastAsia="Arial" w:hAnsi="Arial"/>
          <w:sz w:val="18"/>
          <w:szCs w:val="18"/>
          <w:color w:val="auto"/>
        </w:rPr>
      </w:pPr>
    </w:p>
    <w:p>
      <w:pPr>
        <w:jc w:val="both"/>
        <w:ind w:left="760" w:right="99" w:hanging="331"/>
        <w:spacing w:after="0" w:line="219" w:lineRule="auto"/>
        <w:tabs>
          <w:tab w:leader="none" w:pos="7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Arial" w:cs="Arial" w:eastAsia="Arial" w:hAnsi="Arial"/>
          <w:sz w:val="18"/>
          <w:szCs w:val="18"/>
          <w:color w:val="auto"/>
        </w:rPr>
      </w:pPr>
    </w:p>
    <w:p>
      <w:pPr>
        <w:jc w:val="both"/>
        <w:ind w:left="760" w:right="99" w:hanging="331"/>
        <w:spacing w:after="0" w:line="215" w:lineRule="auto"/>
        <w:tabs>
          <w:tab w:leader="none" w:pos="7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Arial" w:cs="Arial" w:eastAsia="Arial" w:hAnsi="Arial"/>
          <w:sz w:val="18"/>
          <w:szCs w:val="18"/>
          <w:color w:val="auto"/>
        </w:rPr>
      </w:pPr>
    </w:p>
    <w:p>
      <w:pPr>
        <w:jc w:val="both"/>
        <w:ind w:left="100" w:right="99" w:firstLine="5"/>
        <w:spacing w:after="0" w:line="219" w:lineRule="auto"/>
        <w:tabs>
          <w:tab w:leader="none" w:pos="331"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Arial" w:cs="Arial" w:eastAsia="Arial" w:hAnsi="Arial"/>
          <w:sz w:val="18"/>
          <w:szCs w:val="18"/>
          <w:color w:val="auto"/>
        </w:rPr>
      </w:pPr>
    </w:p>
    <w:p>
      <w:pPr>
        <w:jc w:val="both"/>
        <w:ind w:left="760" w:right="99" w:hanging="331"/>
        <w:spacing w:after="0" w:line="219" w:lineRule="auto"/>
        <w:tabs>
          <w:tab w:leader="none" w:pos="7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Arial" w:cs="Arial" w:eastAsia="Arial" w:hAnsi="Arial"/>
          <w:sz w:val="18"/>
          <w:szCs w:val="18"/>
          <w:color w:val="auto"/>
        </w:rPr>
      </w:pPr>
    </w:p>
    <w:p>
      <w:pPr>
        <w:ind w:left="760" w:right="99" w:hanging="331"/>
        <w:spacing w:after="0" w:line="227" w:lineRule="auto"/>
        <w:tabs>
          <w:tab w:leader="none" w:pos="7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 October 26, 2017</w:t>
      </w:r>
    </w:p>
    <w:p>
      <w:pPr>
        <w:spacing w:after="0" w:line="126" w:lineRule="exact"/>
        <w:rPr>
          <w:sz w:val="20"/>
          <w:szCs w:val="20"/>
          <w:color w:val="auto"/>
        </w:rPr>
      </w:pPr>
    </w:p>
    <w:p>
      <w:pPr>
        <w:ind w:left="4640"/>
        <w:spacing w:after="0"/>
        <w:rPr>
          <w:sz w:val="20"/>
          <w:szCs w:val="20"/>
          <w:color w:val="auto"/>
        </w:rPr>
      </w:pPr>
      <w:r>
        <w:rPr>
          <w:rFonts w:ascii="Arial" w:cs="Arial" w:eastAsia="Arial" w:hAnsi="Arial"/>
          <w:sz w:val="18"/>
          <w:szCs w:val="18"/>
          <w:u w:val="single" w:color="auto"/>
          <w:color w:val="auto"/>
        </w:rPr>
        <w:t>/s/ Robert M. Knight, Jr.</w:t>
      </w:r>
    </w:p>
    <w:p>
      <w:pPr>
        <w:ind w:left="4640"/>
        <w:spacing w:after="0" w:line="203" w:lineRule="auto"/>
        <w:rPr>
          <w:sz w:val="20"/>
          <w:szCs w:val="20"/>
          <w:color w:val="auto"/>
        </w:rPr>
      </w:pPr>
      <w:r>
        <w:rPr>
          <w:rFonts w:ascii="Arial" w:cs="Arial" w:eastAsia="Arial" w:hAnsi="Arial"/>
          <w:sz w:val="18"/>
          <w:szCs w:val="18"/>
          <w:color w:val="auto"/>
        </w:rPr>
        <w:t>Robert M. Knight, Jr.</w:t>
      </w:r>
    </w:p>
    <w:p>
      <w:pPr>
        <w:ind w:left="4640"/>
        <w:spacing w:after="0" w:line="204" w:lineRule="auto"/>
        <w:rPr>
          <w:sz w:val="20"/>
          <w:szCs w:val="20"/>
          <w:color w:val="auto"/>
        </w:rPr>
      </w:pPr>
      <w:r>
        <w:rPr>
          <w:rFonts w:ascii="Arial" w:cs="Arial" w:eastAsia="Arial" w:hAnsi="Arial"/>
          <w:sz w:val="18"/>
          <w:szCs w:val="18"/>
          <w:color w:val="auto"/>
        </w:rPr>
        <w:t>Executive Vice President and</w:t>
      </w:r>
    </w:p>
    <w:p>
      <w:pPr>
        <w:ind w:left="46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516890</wp:posOffset>
            </wp:positionV>
            <wp:extent cx="5642610" cy="514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5" w:name="page76"/>
    <w:bookmarkEnd w:id="75"/>
    <w:p>
      <w:pPr>
        <w:jc w:val="right"/>
        <w:ind w:right="99"/>
        <w:spacing w:after="0"/>
        <w:rPr>
          <w:sz w:val="20"/>
          <w:szCs w:val="20"/>
          <w:color w:val="auto"/>
        </w:rPr>
      </w:pPr>
      <w:r>
        <w:rPr>
          <w:rFonts w:ascii="Arial" w:cs="Arial" w:eastAsia="Arial" w:hAnsi="Arial"/>
          <w:sz w:val="18"/>
          <w:szCs w:val="18"/>
          <w:b w:val="1"/>
          <w:bCs w:val="1"/>
          <w:color w:val="auto"/>
        </w:rPr>
        <w:t>Exhibit 32</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jc w:val="center"/>
        <w:spacing w:after="0" w:line="203" w:lineRule="auto"/>
        <w:rPr>
          <w:sz w:val="20"/>
          <w:szCs w:val="20"/>
          <w:color w:val="auto"/>
        </w:rPr>
      </w:pPr>
      <w:r>
        <w:rPr>
          <w:rFonts w:ascii="Arial" w:cs="Arial" w:eastAsia="Arial" w:hAnsi="Arial"/>
          <w:sz w:val="18"/>
          <w:szCs w:val="18"/>
          <w:b w:val="1"/>
          <w:bCs w:val="1"/>
          <w:color w:val="auto"/>
        </w:rPr>
        <w:t>18 U.S.C. SECTION 1350,</w:t>
      </w:r>
    </w:p>
    <w:p>
      <w:pPr>
        <w:jc w:val="center"/>
        <w:spacing w:after="0" w:line="204" w:lineRule="auto"/>
        <w:rPr>
          <w:sz w:val="20"/>
          <w:szCs w:val="20"/>
          <w:color w:val="auto"/>
        </w:rPr>
      </w:pPr>
      <w:r>
        <w:rPr>
          <w:rFonts w:ascii="Arial" w:cs="Arial" w:eastAsia="Arial" w:hAnsi="Arial"/>
          <w:sz w:val="18"/>
          <w:szCs w:val="18"/>
          <w:b w:val="1"/>
          <w:bCs w:val="1"/>
          <w:color w:val="auto"/>
        </w:rPr>
        <w:t>AS ADOPTED PURSUANT TO</w:t>
      </w: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44" w:lineRule="exact"/>
        <w:rPr>
          <w:sz w:val="20"/>
          <w:szCs w:val="20"/>
          <w:color w:val="auto"/>
        </w:rPr>
      </w:pPr>
    </w:p>
    <w:p>
      <w:pPr>
        <w:jc w:val="both"/>
        <w:ind w:left="100" w:right="99"/>
        <w:spacing w:after="0" w:line="213" w:lineRule="auto"/>
        <w:rPr>
          <w:sz w:val="20"/>
          <w:szCs w:val="20"/>
          <w:color w:val="auto"/>
        </w:rPr>
      </w:pPr>
      <w:r>
        <w:rPr>
          <w:rFonts w:ascii="Arial" w:cs="Arial" w:eastAsia="Arial" w:hAnsi="Arial"/>
          <w:sz w:val="18"/>
          <w:szCs w:val="18"/>
          <w:color w:val="auto"/>
        </w:rPr>
        <w:t>In connection with the accompanying quarterly report of Union Pacific Corporation (the Corporation) on Form 10-Q for the period ending September 30, 2017, as filed with the Securities and Exchange Commission on the date hereof (the Report), I, Lance M. Fritz, Chairman, President and Chief Executive Officer of the Corporation, certify, pursuant to 18 U.S.C. Section 1350, as adopted pursuant to Section 906 of the Sarbanes-Oxley Act of 2002, to the best of my knowledge, that:</w:t>
      </w:r>
    </w:p>
    <w:p>
      <w:pPr>
        <w:spacing w:after="0" w:line="135" w:lineRule="exact"/>
        <w:rPr>
          <w:sz w:val="20"/>
          <w:szCs w:val="20"/>
          <w:color w:val="auto"/>
        </w:rPr>
      </w:pPr>
    </w:p>
    <w:p>
      <w:pPr>
        <w:ind w:left="760" w:right="99" w:hanging="331"/>
        <w:spacing w:after="0" w:line="227" w:lineRule="auto"/>
        <w:tabs>
          <w:tab w:leader="none" w:pos="7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5" w:lineRule="exact"/>
        <w:rPr>
          <w:rFonts w:ascii="Arial" w:cs="Arial" w:eastAsia="Arial" w:hAnsi="Arial"/>
          <w:sz w:val="18"/>
          <w:szCs w:val="18"/>
          <w:color w:val="auto"/>
        </w:rPr>
      </w:pPr>
    </w:p>
    <w:p>
      <w:pPr>
        <w:ind w:left="760" w:right="99" w:hanging="331"/>
        <w:spacing w:after="0" w:line="227" w:lineRule="auto"/>
        <w:tabs>
          <w:tab w:leader="none" w:pos="7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10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Lance M. Fritz</w:t>
      </w:r>
    </w:p>
    <w:p>
      <w:pPr>
        <w:ind w:left="100"/>
        <w:spacing w:after="0" w:line="203" w:lineRule="auto"/>
        <w:rPr>
          <w:sz w:val="20"/>
          <w:szCs w:val="20"/>
          <w:color w:val="auto"/>
        </w:rPr>
      </w:pPr>
      <w:r>
        <w:rPr>
          <w:rFonts w:ascii="Arial" w:cs="Arial" w:eastAsia="Arial" w:hAnsi="Arial"/>
          <w:sz w:val="18"/>
          <w:szCs w:val="18"/>
          <w:color w:val="auto"/>
        </w:rPr>
        <w:t>Lance M. Fritz</w:t>
      </w:r>
    </w:p>
    <w:p>
      <w:pPr>
        <w:ind w:left="100"/>
        <w:spacing w:after="0" w:line="204" w:lineRule="auto"/>
        <w:rPr>
          <w:sz w:val="20"/>
          <w:szCs w:val="20"/>
          <w:color w:val="auto"/>
        </w:rPr>
      </w:pPr>
      <w:r>
        <w:rPr>
          <w:rFonts w:ascii="Arial" w:cs="Arial" w:eastAsia="Arial" w:hAnsi="Arial"/>
          <w:sz w:val="18"/>
          <w:szCs w:val="18"/>
          <w:color w:val="auto"/>
        </w:rPr>
        <w:t>Chairman, President and</w:t>
      </w:r>
    </w:p>
    <w:p>
      <w:pPr>
        <w:ind w:left="100"/>
        <w:spacing w:after="0" w:line="203"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Union Pacific Corporation</w:t>
      </w:r>
    </w:p>
    <w:p>
      <w:pPr>
        <w:spacing w:after="0" w:line="14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October 26, 2017</w:t>
      </w:r>
    </w:p>
    <w:p>
      <w:pPr>
        <w:spacing w:after="0" w:line="144" w:lineRule="exact"/>
        <w:rPr>
          <w:sz w:val="20"/>
          <w:szCs w:val="20"/>
          <w:color w:val="auto"/>
        </w:rPr>
      </w:pPr>
    </w:p>
    <w:p>
      <w:pPr>
        <w:jc w:val="both"/>
        <w:ind w:left="100" w:right="99"/>
        <w:spacing w:after="0" w:line="219" w:lineRule="auto"/>
        <w:rPr>
          <w:sz w:val="20"/>
          <w:szCs w:val="20"/>
          <w:color w:val="auto"/>
        </w:rPr>
      </w:pPr>
      <w:r>
        <w:rPr>
          <w:rFonts w:ascii="Arial" w:cs="Arial" w:eastAsia="Arial" w:hAnsi="Arial"/>
          <w:sz w:val="18"/>
          <w:szCs w:val="18"/>
          <w:color w:val="auto"/>
        </w:rPr>
        <w:t>A signed original of this written statement required by Section 906 has been provided to the Corporation and will be retained by the Corporation and furnished to the Securities and Exchange Commission or its staff upon request.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jc w:val="center"/>
        <w:spacing w:after="0" w:line="203" w:lineRule="auto"/>
        <w:rPr>
          <w:sz w:val="20"/>
          <w:szCs w:val="20"/>
          <w:color w:val="auto"/>
        </w:rPr>
      </w:pPr>
      <w:r>
        <w:rPr>
          <w:rFonts w:ascii="Arial" w:cs="Arial" w:eastAsia="Arial" w:hAnsi="Arial"/>
          <w:sz w:val="18"/>
          <w:szCs w:val="18"/>
          <w:b w:val="1"/>
          <w:bCs w:val="1"/>
          <w:color w:val="auto"/>
        </w:rPr>
        <w:t>18 U.S.C. SECTION 1350,</w:t>
      </w:r>
    </w:p>
    <w:p>
      <w:pPr>
        <w:jc w:val="center"/>
        <w:spacing w:after="0" w:line="204" w:lineRule="auto"/>
        <w:rPr>
          <w:sz w:val="20"/>
          <w:szCs w:val="20"/>
          <w:color w:val="auto"/>
        </w:rPr>
      </w:pPr>
      <w:r>
        <w:rPr>
          <w:rFonts w:ascii="Arial" w:cs="Arial" w:eastAsia="Arial" w:hAnsi="Arial"/>
          <w:sz w:val="18"/>
          <w:szCs w:val="18"/>
          <w:b w:val="1"/>
          <w:bCs w:val="1"/>
          <w:color w:val="auto"/>
        </w:rPr>
        <w:t>AS ADOPTED PURSUANT TO</w:t>
      </w: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44" w:lineRule="exact"/>
        <w:rPr>
          <w:sz w:val="20"/>
          <w:szCs w:val="20"/>
          <w:color w:val="auto"/>
        </w:rPr>
      </w:pPr>
    </w:p>
    <w:p>
      <w:pPr>
        <w:jc w:val="both"/>
        <w:ind w:left="100" w:right="99"/>
        <w:spacing w:after="0" w:line="213" w:lineRule="auto"/>
        <w:rPr>
          <w:sz w:val="20"/>
          <w:szCs w:val="20"/>
          <w:color w:val="auto"/>
        </w:rPr>
      </w:pPr>
      <w:r>
        <w:rPr>
          <w:rFonts w:ascii="Arial" w:cs="Arial" w:eastAsia="Arial" w:hAnsi="Arial"/>
          <w:sz w:val="18"/>
          <w:szCs w:val="18"/>
          <w:color w:val="auto"/>
        </w:rPr>
        <w:t>In connection with the accompanying quarterly report of Union Pacific Corporation (the Corporation) on Form 10-Q for the period ending September 30, 2017, as filed with the Securities and Exchange Commission on the date hereof (the Report), I, Robert M. Knight, Jr., Executive Vice President and Chief Financial Officer of the Corporation, certify, pursuant to 18 U.S.C. Section 1350, as adopted pursuant to Section 906 of the Sarbanes-Oxley Act of 2002, to the best of my knowledge, that:</w:t>
      </w:r>
    </w:p>
    <w:p>
      <w:pPr>
        <w:spacing w:after="0" w:line="135" w:lineRule="exact"/>
        <w:rPr>
          <w:sz w:val="20"/>
          <w:szCs w:val="20"/>
          <w:color w:val="auto"/>
        </w:rPr>
      </w:pPr>
    </w:p>
    <w:p>
      <w:pPr>
        <w:ind w:left="760" w:right="99" w:hanging="331"/>
        <w:spacing w:after="0" w:line="227" w:lineRule="auto"/>
        <w:tabs>
          <w:tab w:leader="none" w:pos="7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5" w:lineRule="exact"/>
        <w:rPr>
          <w:rFonts w:ascii="Arial" w:cs="Arial" w:eastAsia="Arial" w:hAnsi="Arial"/>
          <w:sz w:val="18"/>
          <w:szCs w:val="18"/>
          <w:color w:val="auto"/>
        </w:rPr>
      </w:pPr>
    </w:p>
    <w:p>
      <w:pPr>
        <w:ind w:left="760" w:right="99" w:hanging="331"/>
        <w:spacing w:after="0" w:line="227" w:lineRule="auto"/>
        <w:tabs>
          <w:tab w:leader="none" w:pos="7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10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Robert M. Knight, Jr.</w:t>
      </w:r>
    </w:p>
    <w:p>
      <w:pPr>
        <w:ind w:left="100"/>
        <w:spacing w:after="0" w:line="203" w:lineRule="auto"/>
        <w:rPr>
          <w:sz w:val="20"/>
          <w:szCs w:val="20"/>
          <w:color w:val="auto"/>
        </w:rPr>
      </w:pPr>
      <w:r>
        <w:rPr>
          <w:rFonts w:ascii="Arial" w:cs="Arial" w:eastAsia="Arial" w:hAnsi="Arial"/>
          <w:sz w:val="18"/>
          <w:szCs w:val="18"/>
          <w:color w:val="auto"/>
        </w:rPr>
        <w:t>Robert M. Knight, Jr.</w:t>
      </w:r>
    </w:p>
    <w:p>
      <w:pPr>
        <w:ind w:left="100"/>
        <w:spacing w:after="0" w:line="204" w:lineRule="auto"/>
        <w:rPr>
          <w:sz w:val="20"/>
          <w:szCs w:val="20"/>
          <w:color w:val="auto"/>
        </w:rPr>
      </w:pPr>
      <w:r>
        <w:rPr>
          <w:rFonts w:ascii="Arial" w:cs="Arial" w:eastAsia="Arial" w:hAnsi="Arial"/>
          <w:sz w:val="18"/>
          <w:szCs w:val="18"/>
          <w:color w:val="auto"/>
        </w:rPr>
        <w:t>Executive Vice President and</w:t>
      </w:r>
    </w:p>
    <w:p>
      <w:pPr>
        <w:ind w:left="100"/>
        <w:spacing w:after="0" w:line="203"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Union Pacific Corporation</w:t>
      </w:r>
    </w:p>
    <w:p>
      <w:pPr>
        <w:spacing w:after="0" w:line="14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October 26, 2017</w:t>
      </w:r>
    </w:p>
    <w:p>
      <w:pPr>
        <w:spacing w:after="0" w:line="144" w:lineRule="exact"/>
        <w:rPr>
          <w:sz w:val="20"/>
          <w:szCs w:val="20"/>
          <w:color w:val="auto"/>
        </w:rPr>
      </w:pPr>
    </w:p>
    <w:p>
      <w:pPr>
        <w:jc w:val="both"/>
        <w:ind w:left="100" w:right="99"/>
        <w:spacing w:after="0" w:line="219" w:lineRule="auto"/>
        <w:rPr>
          <w:sz w:val="20"/>
          <w:szCs w:val="20"/>
          <w:color w:val="auto"/>
        </w:rPr>
      </w:pPr>
      <w:r>
        <w:rPr>
          <w:rFonts w:ascii="Arial" w:cs="Arial" w:eastAsia="Arial" w:hAnsi="Arial"/>
          <w:sz w:val="18"/>
          <w:szCs w:val="18"/>
          <w:color w:val="auto"/>
        </w:rPr>
        <w:t>A signed original of this written statement required by Section 906 has been provided to the Corporation and will be retained by the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400050</wp:posOffset>
            </wp:positionV>
            <wp:extent cx="5642610" cy="514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sectPr>
      <w:pgSz w:w="11900" w:h="16838" w:orient="portrait"/>
      <w:cols w:equalWidth="0" w:num="1">
        <w:col w:w="9019"/>
      </w:cols>
      <w:pgMar w:left="1440" w:top="1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1]"/>
      <w:numFmt w:val="lowerLetter"/>
      <w:start w:val="1"/>
    </w:lvl>
  </w:abstractNum>
  <w:abstractNum w:abstractNumId="3">
    <w:nsid w:val="22221A70"/>
    <w:multiLevelType w:val="hybridMultilevel"/>
    <w:lvl w:ilvl="0">
      <w:lvlJc w:val="left"/>
      <w:lvlText w:val="[%1]"/>
      <w:numFmt w:val="lowerLetter"/>
      <w:start w:val="1"/>
    </w:lvl>
  </w:abstractNum>
  <w:abstractNum w:abstractNumId="4">
    <w:nsid w:val="4516DDE9"/>
    <w:multiLevelType w:val="hybridMultilevel"/>
    <w:lvl w:ilvl="0">
      <w:lvlJc w:val="left"/>
      <w:lvlText w:val="[%1]"/>
      <w:numFmt w:val="lowerLetter"/>
      <w:start w:val="1"/>
    </w:lvl>
  </w:abstractNum>
  <w:abstractNum w:abstractNumId="5">
    <w:nsid w:val="3006C83E"/>
    <w:multiLevelType w:val="hybridMultilevel"/>
    <w:lvl w:ilvl="0">
      <w:lvlJc w:val="left"/>
      <w:lvlText w:val="[%1]"/>
      <w:numFmt w:val="lowerLetter"/>
      <w:start w:val="1"/>
    </w:lvl>
  </w:abstractNum>
  <w:abstractNum w:abstractNumId="6">
    <w:nsid w:val="614FD4A1"/>
    <w:multiLevelType w:val="hybridMultilevel"/>
    <w:lvl w:ilvl="0">
      <w:lvlJc w:val="left"/>
      <w:lvlText w:val="[%1]"/>
      <w:numFmt w:val="lowerLetter"/>
      <w:start w:val="1"/>
    </w:lvl>
  </w:abstractNum>
  <w:abstractNum w:abstractNumId="7">
    <w:nsid w:val="419AC241"/>
    <w:multiLevelType w:val="hybridMultilevel"/>
    <w:lvl w:ilvl="0">
      <w:lvlJc w:val="left"/>
      <w:lvlText w:val="[%1]"/>
      <w:numFmt w:val="lowerLetter"/>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1]"/>
      <w:numFmt w:val="lowerLetter"/>
      <w:start w:val="1"/>
    </w:lvl>
  </w:abstractNum>
  <w:abstractNum w:abstractNumId="10">
    <w:nsid w:val="5072367"/>
    <w:multiLevelType w:val="hybridMultilevel"/>
    <w:lvl w:ilvl="0">
      <w:lvlJc w:val="left"/>
      <w:lvlText w:val="[%1]"/>
      <w:numFmt w:val="lowerLetter"/>
      <w:start w:val="1"/>
    </w:lvl>
  </w:abstractNum>
  <w:abstractNum w:abstractNumId="11">
    <w:nsid w:val="3804823E"/>
    <w:multiLevelType w:val="hybridMultilevel"/>
    <w:lvl w:ilvl="0">
      <w:lvlJc w:val="left"/>
      <w:lvlText w:val="[%1]"/>
      <w:numFmt w:val="lowerLetter"/>
      <w:start w:val="1"/>
    </w:lvl>
  </w:abstractNum>
  <w:abstractNum w:abstractNumId="12">
    <w:nsid w:val="77465F01"/>
    <w:multiLevelType w:val="hybridMultilevel"/>
    <w:lvl w:ilvl="0">
      <w:lvlJc w:val="left"/>
      <w:lvlText w:val="[%1]"/>
      <w:numFmt w:val="lowerLetter"/>
      <w:start w:val="1"/>
    </w:lvl>
  </w:abstractNum>
  <w:abstractNum w:abstractNumId="13">
    <w:nsid w:val="7724C67E"/>
    <w:multiLevelType w:val="hybridMultilevel"/>
    <w:lvl w:ilvl="0">
      <w:lvlJc w:val="left"/>
      <w:lvlText w:val="[%1]"/>
      <w:numFmt w:val="lowerLetter"/>
      <w:start w:val="1"/>
    </w:lvl>
  </w:abstractNum>
  <w:abstractNum w:abstractNumId="14">
    <w:nsid w:val="5C482A97"/>
    <w:multiLevelType w:val="hybridMultilevel"/>
    <w:lvl w:ilvl="0">
      <w:lvlJc w:val="left"/>
      <w:lvlText w:val="(%1)"/>
      <w:numFmt w:val="lowerLetter"/>
      <w:start w:val="1"/>
    </w:lvl>
  </w:abstractNum>
  <w:abstractNum w:abstractNumId="15">
    <w:nsid w:val="2463B9EA"/>
    <w:multiLevelType w:val="hybridMultilevel"/>
    <w:lvl w:ilvl="0">
      <w:lvlJc w:val="left"/>
      <w:lvlText w:val="(%1)"/>
      <w:numFmt w:val="lowerLetter"/>
      <w:start w:val="3"/>
    </w:lvl>
    <w:lvl w:ilvl="1">
      <w:lvlJc w:val="left"/>
      <w:lvlText w:val="(%2)"/>
      <w:numFmt w:val="lowerLetter"/>
      <w:start w:val="9"/>
    </w:lvl>
  </w:abstractNum>
  <w:abstractNum w:abstractNumId="16">
    <w:nsid w:val="5E884ADC"/>
    <w:multiLevelType w:val="hybridMultilevel"/>
    <w:lvl w:ilvl="0">
      <w:lvlJc w:val="left"/>
      <w:lvlText w:val="(%1)"/>
      <w:numFmt w:val="lowerRoman"/>
      <w:start w:val="2"/>
    </w:lvl>
  </w:abstractNum>
  <w:abstractNum w:abstractNumId="17">
    <w:nsid w:val="51EAD36B"/>
    <w:multiLevelType w:val="hybridMultilevel"/>
    <w:lvl w:ilvl="0">
      <w:lvlJc w:val="left"/>
      <w:lvlText w:val="(%1)"/>
      <w:numFmt w:val="lowerLetter"/>
      <w:start w:val="10"/>
    </w:lvl>
  </w:abstractNum>
  <w:abstractNum w:abstractNumId="18">
    <w:nsid w:val="2D517796"/>
    <w:multiLevelType w:val="hybridMultilevel"/>
    <w:lvl w:ilvl="0">
      <w:lvlJc w:val="left"/>
      <w:lvlText w:val="(%1)"/>
      <w:numFmt w:val="lowerLetter"/>
      <w:start w:val="11"/>
    </w:lvl>
    <w:lvl w:ilvl="1">
      <w:lvlJc w:val="left"/>
      <w:lvlText w:val="(%2)"/>
      <w:numFmt w:val="lowerRoman"/>
      <w:start w:val="1"/>
    </w:lvl>
  </w:abstractNum>
  <w:abstractNum w:abstractNumId="19">
    <w:nsid w:val="580BD78F"/>
    <w:multiLevelType w:val="hybridMultilevel"/>
    <w:lvl w:ilvl="0">
      <w:lvlJc w:val="left"/>
      <w:lvlText w:val="(%1)"/>
      <w:numFmt w:val="lowerRoman"/>
      <w:start w:val="5"/>
    </w:lvl>
  </w:abstractNum>
  <w:abstractNum w:abstractNumId="20">
    <w:nsid w:val="153EA438"/>
    <w:multiLevelType w:val="hybridMultilevel"/>
    <w:lvl w:ilvl="0">
      <w:lvlJc w:val="left"/>
      <w:lvlText w:val="(%1)"/>
      <w:numFmt w:val="lowerLetter"/>
      <w:start w:val="12"/>
    </w:lvl>
    <w:lvl w:ilvl="1">
      <w:lvlJc w:val="left"/>
      <w:lvlText w:val="(%2)"/>
      <w:numFmt w:val="lowerRoman"/>
      <w:start w:val="1"/>
    </w:lvl>
  </w:abstractNum>
  <w:abstractNum w:abstractNumId="21">
    <w:nsid w:val="3855585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2">
    <w:nsid w:val="70A64E2A"/>
    <w:multiLevelType w:val="hybridMultilevel"/>
    <w:lvl w:ilvl="0">
      <w:lvlJc w:val="left"/>
      <w:lvlText w:val="(%1)"/>
      <w:numFmt w:val="lowerLetter"/>
      <w:start w:val="18"/>
    </w:lvl>
    <w:lvl w:ilvl="1">
      <w:lvlJc w:val="left"/>
      <w:lvlText w:val="(%2)"/>
      <w:numFmt w:val="lowerRoman"/>
      <w:start w:val="1"/>
    </w:lvl>
    <w:lvl w:ilvl="2">
      <w:lvlJc w:val="left"/>
      <w:lvlText w:val="%3"/>
      <w:numFmt w:val="upperLetter"/>
      <w:start w:val="1"/>
    </w:lvl>
  </w:abstractNum>
  <w:abstractNum w:abstractNumId="23">
    <w:nsid w:val="6A2342EC"/>
    <w:multiLevelType w:val="hybridMultilevel"/>
    <w:lvl w:ilvl="0">
      <w:lvlJc w:val="left"/>
      <w:lvlText w:val="(%1)"/>
      <w:numFmt w:val="lowerLetter"/>
      <w:start w:val="23"/>
    </w:lvl>
  </w:abstractNum>
  <w:abstractNum w:abstractNumId="24">
    <w:nsid w:val="2A487CB0"/>
    <w:multiLevelType w:val="hybridMultilevel"/>
    <w:lvl w:ilvl="0">
      <w:lvlJc w:val="left"/>
      <w:lvlText w:val="(%1)"/>
      <w:numFmt w:val="lowerLetter"/>
      <w:start w:val="1"/>
    </w:lvl>
  </w:abstractNum>
  <w:abstractNum w:abstractNumId="25">
    <w:nsid w:val="1D4ED43B"/>
    <w:multiLevelType w:val="hybridMultilevel"/>
    <w:lvl w:ilvl="0">
      <w:lvlJc w:val="left"/>
      <w:lvlText w:val="(%1)"/>
      <w:numFmt w:val="lowerLetter"/>
      <w:start w:val="1"/>
    </w:lvl>
  </w:abstractNum>
  <w:abstractNum w:abstractNumId="26">
    <w:nsid w:val="725A06FB"/>
    <w:multiLevelType w:val="hybridMultilevel"/>
    <w:lvl w:ilvl="0">
      <w:lvlJc w:val="left"/>
      <w:lvlText w:val="(%1)"/>
      <w:numFmt w:val="lowerLetter"/>
      <w:start w:val="2"/>
    </w:lvl>
    <w:lvl w:ilvl="1">
      <w:lvlJc w:val="left"/>
      <w:lvlText w:val="(%2)"/>
      <w:numFmt w:val="lowerRoman"/>
      <w:start w:val="1"/>
    </w:lvl>
  </w:abstractNum>
  <w:abstractNum w:abstractNumId="27">
    <w:nsid w:val="2CD89A32"/>
    <w:multiLevelType w:val="hybridMultilevel"/>
    <w:lvl w:ilvl="0">
      <w:lvlJc w:val="left"/>
      <w:lvlText w:val="(%1)"/>
      <w:numFmt w:val="lowerLetter"/>
      <w:start w:val="1"/>
    </w:lvl>
  </w:abstractNum>
  <w:abstractNum w:abstractNumId="28">
    <w:nsid w:val="57E4CCAF"/>
    <w:multiLevelType w:val="hybridMultilevel"/>
    <w:lvl w:ilvl="0">
      <w:lvlJc w:val="left"/>
      <w:lvlText w:val="(%1)"/>
      <w:numFmt w:val="lowerLetter"/>
      <w:start w:val="1"/>
    </w:lvl>
  </w:abstractNum>
  <w:abstractNum w:abstractNumId="29">
    <w:nsid w:val="7A6D8D3C"/>
    <w:multiLevelType w:val="hybridMultilevel"/>
    <w:lvl w:ilvl="0">
      <w:lvlJc w:val="left"/>
      <w:lvlText w:val="(%1)"/>
      <w:numFmt w:val="lowerLetter"/>
      <w:start w:val="4"/>
    </w:lvl>
  </w:abstractNum>
  <w:abstractNum w:abstractNumId="30">
    <w:nsid w:val="4B588F54"/>
    <w:multiLevelType w:val="hybridMultilevel"/>
    <w:lvl w:ilvl="0">
      <w:lvlJc w:val="left"/>
      <w:lvlText w:val="(%1)"/>
      <w:numFmt w:val="lowerLetter"/>
      <w:start w:val="1"/>
    </w:lvl>
  </w:abstractNum>
  <w:abstractNum w:abstractNumId="31">
    <w:nsid w:val="542289EC"/>
    <w:multiLevelType w:val="hybridMultilevel"/>
    <w:lvl w:ilvl="0">
      <w:lvlJc w:val="left"/>
      <w:lvlText w:val="(%1)"/>
      <w:numFmt w:val="lowerLetter"/>
      <w:start w:val="3"/>
    </w:lvl>
  </w:abstractNum>
  <w:abstractNum w:abstractNumId="32">
    <w:nsid w:val="6DE91B18"/>
    <w:multiLevelType w:val="hybridMultilevel"/>
    <w:lvl w:ilvl="0">
      <w:lvlJc w:val="left"/>
      <w:lvlText w:val="%1"/>
      <w:numFmt w:val="decimal"/>
      <w:start w:val="1"/>
    </w:lvl>
    <w:lvl w:ilvl="1">
      <w:lvlJc w:val="left"/>
      <w:lvlText w:val="(%2)"/>
      <w:numFmt w:val="lowerLetter"/>
      <w:start w:val="1"/>
    </w:lvl>
  </w:abstractNum>
  <w:abstractNum w:abstractNumId="33">
    <w:nsid w:val="38437FDB"/>
    <w:multiLevelType w:val="hybridMultilevel"/>
    <w:lvl w:ilvl="0">
      <w:lvlJc w:val="left"/>
      <w:lvlText w:val="(%1)"/>
      <w:numFmt w:val="decimal"/>
      <w:start w:val="2"/>
    </w:lvl>
    <w:lvl w:ilvl="1">
      <w:lvlJc w:val="left"/>
      <w:lvlText w:val="(%2)"/>
      <w:numFmt w:val="lowerLetter"/>
      <w:start w:val="2"/>
    </w:lvl>
  </w:abstractNum>
  <w:abstractNum w:abstractNumId="34">
    <w:nsid w:val="7644A45C"/>
    <w:multiLevelType w:val="hybridMultilevel"/>
    <w:lvl w:ilvl="0">
      <w:lvlJc w:val="left"/>
      <w:lvlText w:val="(%1)"/>
      <w:numFmt w:val="lowerLetter"/>
      <w:start w:val="1"/>
    </w:lvl>
  </w:abstractNum>
  <w:abstractNum w:abstractNumId="35">
    <w:nsid w:val="32FFF902"/>
    <w:multiLevelType w:val="hybridMultilevel"/>
    <w:lvl w:ilvl="0">
      <w:lvlJc w:val="left"/>
      <w:lvlText w:val="(%1)"/>
      <w:numFmt w:val="lowerLetter"/>
      <w:start w:val="2"/>
    </w:lvl>
  </w:abstractNum>
  <w:abstractNum w:abstractNumId="36">
    <w:nsid w:val="684A481A"/>
    <w:multiLevelType w:val="hybridMultilevel"/>
    <w:lvl w:ilvl="0">
      <w:lvlJc w:val="left"/>
      <w:lvlText w:val="(%1)"/>
      <w:numFmt w:val="upperLetter"/>
      <w:start w:val="1"/>
    </w:lvl>
  </w:abstractNum>
  <w:abstractNum w:abstractNumId="37">
    <w:nsid w:val="579478FE"/>
    <w:multiLevelType w:val="hybridMultilevel"/>
    <w:lvl w:ilvl="0">
      <w:lvlJc w:val="left"/>
      <w:lvlText w:val="(%1)"/>
      <w:numFmt w:val="upperLetter"/>
      <w:start w:val="2"/>
    </w:lvl>
  </w:abstractNum>
  <w:abstractNum w:abstractNumId="38">
    <w:nsid w:val="749ABB43"/>
    <w:multiLevelType w:val="hybridMultilevel"/>
    <w:lvl w:ilvl="0">
      <w:lvlJc w:val="left"/>
      <w:lvlText w:val="(%1)"/>
      <w:numFmt w:val="lowerLetter"/>
      <w:start w:val="1"/>
    </w:lvl>
  </w:abstractNum>
  <w:abstractNum w:abstractNumId="39">
    <w:nsid w:val="3DC240FB"/>
    <w:multiLevelType w:val="hybridMultilevel"/>
    <w:lvl w:ilvl="0">
      <w:lvlJc w:val="left"/>
      <w:lvlText w:val="%1"/>
      <w:numFmt w:val="decimal"/>
      <w:start w:val="1"/>
    </w:lvl>
    <w:lvl w:ilvl="1">
      <w:lvlJc w:val="left"/>
      <w:lvlText w:val="(%2)"/>
      <w:numFmt w:val="lowerLetter"/>
      <w:start w:val="1"/>
    </w:lvl>
  </w:abstractNum>
  <w:abstractNum w:abstractNumId="40">
    <w:nsid w:val="1BA026FA"/>
    <w:multiLevelType w:val="hybridMultilevel"/>
    <w:lvl w:ilvl="0">
      <w:lvlJc w:val="left"/>
      <w:lvlText w:val="(%1)"/>
      <w:numFmt w:val="decimal"/>
      <w:start w:val="1"/>
    </w:lvl>
    <w:lvl w:ilvl="1">
      <w:lvlJc w:val="left"/>
      <w:lvlText w:val="(%2)"/>
      <w:numFmt w:val="lowerLetter"/>
      <w:start w:val="2"/>
    </w:lvl>
  </w:abstractNum>
  <w:abstractNum w:abstractNumId="41">
    <w:nsid w:val="79A1DEAA"/>
    <w:multiLevelType w:val="hybridMultilevel"/>
    <w:lvl w:ilvl="0">
      <w:lvlJc w:val="left"/>
      <w:lvlText w:val="%1."/>
      <w:numFmt w:val="lowerLetter"/>
      <w:start w:val="3"/>
    </w:lvl>
  </w:abstractNum>
  <w:abstractNum w:abstractNumId="42">
    <w:nsid w:val="75C6C33A"/>
    <w:multiLevelType w:val="hybridMultilevel"/>
    <w:lvl w:ilvl="0">
      <w:lvlJc w:val="left"/>
      <w:lvlText w:val="(%1)"/>
      <w:numFmt w:val="lowerLetter"/>
      <w:start w:val="1"/>
    </w:lvl>
  </w:abstractNum>
  <w:abstractNum w:abstractNumId="43">
    <w:nsid w:val="12E685FB"/>
    <w:multiLevelType w:val="hybridMultilevel"/>
    <w:lvl w:ilvl="0">
      <w:lvlJc w:val="left"/>
      <w:lvlText w:val="(%1)"/>
      <w:numFmt w:val="lowerLetter"/>
      <w:start w:val="1"/>
    </w:lvl>
    <w:lvl w:ilvl="1">
      <w:lvlJc w:val="left"/>
      <w:lvlText w:val="(%2)"/>
      <w:numFmt w:val="lowerRoman"/>
      <w:start w:val="1"/>
    </w:lvl>
  </w:abstractNum>
  <w:abstractNum w:abstractNumId="44">
    <w:nsid w:val="70C6A529"/>
    <w:multiLevelType w:val="hybridMultilevel"/>
    <w:lvl w:ilvl="0">
      <w:lvlJc w:val="left"/>
      <w:lvlText w:val="(%1)"/>
      <w:numFmt w:val="lowerLetter"/>
      <w:start w:val="2"/>
    </w:lvl>
  </w:abstractNum>
  <w:abstractNum w:abstractNumId="45">
    <w:nsid w:val="520EEDD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6">
    <w:nsid w:val="374A3FE6"/>
    <w:multiLevelType w:val="hybridMultilevel"/>
    <w:lvl w:ilvl="0">
      <w:lvlJc w:val="left"/>
      <w:lvlText w:val="(%1)"/>
      <w:numFmt w:val="lowerRoman"/>
      <w:start w:val="2"/>
    </w:lvl>
  </w:abstractNum>
  <w:abstractNum w:abstractNumId="47">
    <w:nsid w:val="4F4EF005"/>
    <w:multiLevelType w:val="hybridMultilevel"/>
    <w:lvl w:ilvl="0">
      <w:lvlJc w:val="left"/>
      <w:lvlText w:val="%1"/>
      <w:numFmt w:val="lowerLetter"/>
      <w:start w:val="1"/>
    </w:lvl>
    <w:lvl w:ilvl="1">
      <w:lvlJc w:val="left"/>
      <w:lvlText w:val="(%2)"/>
      <w:numFmt w:val="lowerLetter"/>
      <w:start w:val="61"/>
    </w:lvl>
  </w:abstractNum>
  <w:abstractNum w:abstractNumId="48">
    <w:nsid w:val="23F9C13C"/>
    <w:multiLevelType w:val="hybridMultilevel"/>
    <w:lvl w:ilvl="0">
      <w:lvlJc w:val="left"/>
      <w:lvlText w:val="(%1)"/>
      <w:numFmt w:val="lowerLetter"/>
      <w:start w:val="2"/>
    </w:lvl>
    <w:lvl w:ilvl="1">
      <w:lvlJc w:val="left"/>
      <w:lvlText w:val="%2"/>
      <w:numFmt w:val="lowerLetter"/>
      <w:start w:val="1"/>
    </w:lvl>
  </w:abstractNum>
  <w:abstractNum w:abstractNumId="49">
    <w:nsid w:val="649BB77C"/>
    <w:multiLevelType w:val="hybridMultilevel"/>
    <w:lvl w:ilvl="0">
      <w:lvlJc w:val="left"/>
      <w:lvlText w:val="(%1)"/>
      <w:numFmt w:val="lowerLetter"/>
      <w:start w:val="1"/>
    </w:lvl>
  </w:abstractNum>
  <w:abstractNum w:abstractNumId="50">
    <w:nsid w:val="275AC79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51">
    <w:nsid w:val="39386575"/>
    <w:multiLevelType w:val="hybridMultilevel"/>
    <w:lvl w:ilvl="0">
      <w:lvlJc w:val="left"/>
      <w:lvlText w:val="(%1)"/>
      <w:numFmt w:val="lowerLetter"/>
      <w:start w:val="9"/>
    </w:lvl>
    <w:lvl w:ilvl="1">
      <w:lvlJc w:val="left"/>
      <w:lvlText w:val="(%2)"/>
      <w:numFmt w:val="lowerLetter"/>
      <w:start w:val="2"/>
    </w:lvl>
    <w:lvl w:ilvl="2">
      <w:lvlJc w:val="left"/>
      <w:lvlText w:val="(%3)"/>
      <w:numFmt w:val="lowerLetter"/>
      <w:start w:val="9"/>
    </w:lvl>
  </w:abstractNum>
  <w:abstractNum w:abstractNumId="52">
    <w:nsid w:val="1CF10FD8"/>
    <w:multiLevelType w:val="hybridMultilevel"/>
    <w:lvl w:ilvl="0">
      <w:lvlJc w:val="left"/>
      <w:lvlText w:val="%1"/>
      <w:numFmt w:val="lowerLetter"/>
      <w:start w:val="1"/>
    </w:lvl>
    <w:lvl w:ilvl="1">
      <w:lvlJc w:val="left"/>
      <w:lvlText w:val="(%2)"/>
      <w:numFmt w:val="lowerLetter"/>
      <w:start w:val="35"/>
    </w:lvl>
  </w:abstractNum>
  <w:abstractNum w:abstractNumId="53">
    <w:nsid w:val="180115BE"/>
    <w:multiLevelType w:val="hybridMultilevel"/>
    <w:lvl w:ilvl="0">
      <w:lvlJc w:val="left"/>
      <w:lvlText w:val="(%1)"/>
      <w:numFmt w:val="lowerLetter"/>
      <w:start w:val="4"/>
    </w:lvl>
    <w:lvl w:ilvl="1">
      <w:lvlJc w:val="left"/>
      <w:lvlText w:val="%2"/>
      <w:numFmt w:val="lowerLetter"/>
      <w:start w:val="1"/>
    </w:lvl>
  </w:abstractNum>
  <w:abstractNum w:abstractNumId="54">
    <w:nsid w:val="235BA861"/>
    <w:multiLevelType w:val="hybridMultilevel"/>
    <w:lvl w:ilvl="0">
      <w:lvlJc w:val="left"/>
      <w:lvlText w:val="(%1)"/>
      <w:numFmt w:val="lowerLetter"/>
      <w:start w:val="1"/>
    </w:lvl>
    <w:lvl w:ilvl="1">
      <w:lvlJc w:val="left"/>
      <w:lvlText w:val="(%2)"/>
      <w:numFmt w:val="lowerRoman"/>
      <w:start w:val="1"/>
    </w:lvl>
  </w:abstractNum>
  <w:abstractNum w:abstractNumId="55">
    <w:nsid w:val="47398C89"/>
    <w:multiLevelType w:val="hybridMultilevel"/>
    <w:lvl w:ilvl="0">
      <w:lvlJc w:val="left"/>
      <w:lvlText w:val="(%1)"/>
      <w:numFmt w:val="upperLetter"/>
      <w:start w:val="1"/>
    </w:lvl>
  </w:abstractNum>
  <w:abstractNum w:abstractNumId="56">
    <w:nsid w:val="354FE9F9"/>
    <w:multiLevelType w:val="hybridMultilevel"/>
    <w:lvl w:ilvl="0">
      <w:lvlJc w:val="left"/>
      <w:lvlText w:val="(%1)"/>
      <w:numFmt w:val="lowerLetter"/>
      <w:start w:val="2"/>
    </w:lvl>
    <w:lvl w:ilvl="1">
      <w:lvlJc w:val="left"/>
      <w:lvlText w:val="(%2)"/>
      <w:numFmt w:val="lowerRoman"/>
      <w:start w:val="1"/>
    </w:lvl>
  </w:abstractNum>
  <w:abstractNum w:abstractNumId="57">
    <w:nsid w:val="15B5AF5C"/>
    <w:multiLevelType w:val="hybridMultilevel"/>
    <w:lvl w:ilvl="0">
      <w:lvlJc w:val="left"/>
      <w:lvlText w:val="%1."/>
      <w:numFmt w:val="decimal"/>
      <w:start w:val="1"/>
    </w:lvl>
    <w:lvl w:ilvl="1">
      <w:lvlJc w:val="left"/>
      <w:lvlText w:val="(%2)"/>
      <w:numFmt w:val="lowerLetter"/>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54" Type="http://schemas.openxmlformats.org/officeDocument/2006/relationships/hyperlink" Target="http://www.sec.gov/Archives/edgar/data/100885/000119312514280047/d761509dex3a.htm" TargetMode="External"/><Relationship Id="rId55" Type="http://schemas.openxmlformats.org/officeDocument/2006/relationships/hyperlink" Target="http://www.sec.gov/Archives/edgar/data/100885/000010088515000208/unp-20151119ex32a605ee0.htm" TargetMode="External"/><Relationship Id="rId56" Type="http://schemas.openxmlformats.org/officeDocument/2006/relationships/hyperlink" Target="http://www.sec.gov/Archives/edgar/data/100885/000010088517000207/unp-20170919xex4_1.htm" TargetMode="External"/><Relationship Id="rId57" Type="http://schemas.openxmlformats.org/officeDocument/2006/relationships/hyperlink" Target="http://www.sec.gov/Archives/edgar/data/100885/000010088517000207/unp-20170919xex4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2020-01-18T15:17:21Z</dcterms:created>
  <dcterms:modified xsi:type="dcterms:W3CDTF">2020-01-18T15:17:21Z</dcterms:modified>
</cp:coreProperties>
</file>