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Powers Carrie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1400 DOUGLAS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OMAHA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68179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UNION PACIFIC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UNP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VP &amp; CONTROLLER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09"/>
        <w:gridCol w:w="900"/>
        <w:gridCol w:w="771"/>
        <w:gridCol w:w="598"/>
        <w:gridCol w:w="342"/>
        <w:gridCol w:w="824"/>
        <w:gridCol w:w="437"/>
        <w:gridCol w:w="834"/>
        <w:gridCol w:w="1256"/>
        <w:gridCol w:w="976"/>
        <w:gridCol w:w="105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0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05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0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5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5.506</w:t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286.96</w:t>
            </w:r>
            <w:r>
              <w:rPr/>
              <w:t xml:space="preserve"> </w:t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8,135.902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0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967.705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05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Managed Account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Purchase pursuant to the 2021 Employee Stock Purchase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Trevor L. Kingston, Attorney-in-Fact For: Carrie J. Powers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68591" TargetMode="External"/><Relationship Id="rId5" Type="http://schemas.openxmlformats.org/officeDocument/2006/relationships/hyperlink" Target="http://www.sec.gov/cgi-bin/browse-edgar?action=getcompany&amp;CIK=00001008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581</Words>
  <Characters>3151</Characters>
  <CharactersWithSpaces>3669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