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360045</wp:posOffset>
            </wp:positionV>
            <wp:extent cx="6480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386080</wp:posOffset>
            </wp:positionV>
            <wp:extent cx="6480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 to ____________</w:t>
      </w:r>
    </w:p>
    <w:p>
      <w:pPr>
        <w:spacing w:after="0" w:line="119" w:lineRule="exact"/>
        <w:rPr>
          <w:sz w:val="24"/>
          <w:szCs w:val="24"/>
          <w:color w:val="auto"/>
        </w:rPr>
      </w:pPr>
    </w:p>
    <w:p>
      <w:pPr>
        <w:ind w:left="4240"/>
        <w:spacing w:after="0"/>
        <w:rPr>
          <w:sz w:val="20"/>
          <w:szCs w:val="20"/>
          <w:color w:val="auto"/>
        </w:rPr>
      </w:pPr>
      <w:r>
        <w:rPr>
          <w:rFonts w:ascii="Arial" w:cs="Arial" w:eastAsia="Arial" w:hAnsi="Arial"/>
          <w:sz w:val="18"/>
          <w:szCs w:val="18"/>
          <w:b w:val="1"/>
          <w:bCs w:val="1"/>
          <w:i w:val="1"/>
          <w:iCs w:val="1"/>
          <w:color w:val="auto"/>
        </w:rPr>
        <w:t>Commission File Number 1-6075</w:t>
      </w:r>
    </w:p>
    <w:p>
      <w:pPr>
        <w:spacing w:after="0" w:line="11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UNION PACIFIC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5"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9"/>
              </w:rPr>
              <w:t>Utah</w:t>
            </w:r>
          </w:p>
        </w:tc>
        <w:tc>
          <w:tcPr>
            <w:tcW w:w="3720" w:type="dxa"/>
            <w:vAlign w:val="bottom"/>
          </w:tcPr>
          <w:p>
            <w:pPr>
              <w:jc w:val="right"/>
              <w:ind w:right="810"/>
              <w:spacing w:after="0"/>
              <w:rPr>
                <w:sz w:val="20"/>
                <w:szCs w:val="20"/>
                <w:color w:val="auto"/>
              </w:rPr>
            </w:pPr>
            <w:r>
              <w:rPr>
                <w:rFonts w:ascii="Arial" w:cs="Arial" w:eastAsia="Arial" w:hAnsi="Arial"/>
                <w:sz w:val="18"/>
                <w:szCs w:val="18"/>
                <w:b w:val="1"/>
                <w:bCs w:val="1"/>
                <w:color w:val="auto"/>
              </w:rPr>
              <w:t>13-2626465</w:t>
            </w:r>
          </w:p>
        </w:tc>
      </w:tr>
      <w:tr>
        <w:trPr>
          <w:trHeight w:val="262"/>
        </w:trPr>
        <w:tc>
          <w:tcPr>
            <w:tcW w:w="5600" w:type="dxa"/>
            <w:vAlign w:val="bottom"/>
          </w:tcPr>
          <w:p>
            <w:pPr>
              <w:jc w:val="center"/>
              <w:ind w:right="87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(I.R.S. Employer Identification No.)</w:t>
            </w:r>
          </w:p>
        </w:tc>
      </w:tr>
      <w:tr>
        <w:trPr>
          <w:trHeight w:val="426"/>
        </w:trPr>
        <w:tc>
          <w:tcPr>
            <w:tcW w:w="5600" w:type="dxa"/>
            <w:vAlign w:val="bottom"/>
          </w:tcPr>
          <w:p>
            <w:pPr>
              <w:jc w:val="center"/>
              <w:ind w:right="850"/>
              <w:spacing w:after="0"/>
              <w:rPr>
                <w:sz w:val="20"/>
                <w:szCs w:val="20"/>
                <w:color w:val="auto"/>
              </w:rPr>
            </w:pPr>
            <w:r>
              <w:rPr>
                <w:rFonts w:ascii="Arial" w:cs="Arial" w:eastAsia="Arial" w:hAnsi="Arial"/>
                <w:sz w:val="18"/>
                <w:szCs w:val="18"/>
                <w:b w:val="1"/>
                <w:bCs w:val="1"/>
                <w:color w:val="auto"/>
                <w:w w:val="99"/>
              </w:rPr>
              <w:t>1400 Douglas Street, Omaha, Nebraska</w:t>
            </w:r>
          </w:p>
        </w:tc>
        <w:tc>
          <w:tcPr>
            <w:tcW w:w="3720" w:type="dxa"/>
            <w:vAlign w:val="bottom"/>
          </w:tcPr>
          <w:p>
            <w:pPr>
              <w:jc w:val="right"/>
              <w:ind w:right="1050"/>
              <w:spacing w:after="0"/>
              <w:rPr>
                <w:sz w:val="20"/>
                <w:szCs w:val="20"/>
                <w:color w:val="auto"/>
              </w:rPr>
            </w:pPr>
            <w:r>
              <w:rPr>
                <w:rFonts w:ascii="Arial" w:cs="Arial" w:eastAsia="Arial" w:hAnsi="Arial"/>
                <w:sz w:val="18"/>
                <w:szCs w:val="18"/>
                <w:b w:val="1"/>
                <w:bCs w:val="1"/>
                <w:color w:val="auto"/>
              </w:rPr>
              <w:t>68179</w:t>
            </w:r>
          </w:p>
        </w:tc>
      </w:tr>
      <w:tr>
        <w:trPr>
          <w:trHeight w:val="262"/>
        </w:trPr>
        <w:tc>
          <w:tcPr>
            <w:tcW w:w="5600" w:type="dxa"/>
            <w:vAlign w:val="bottom"/>
          </w:tcPr>
          <w:p>
            <w:pPr>
              <w:jc w:val="center"/>
              <w:ind w:right="850"/>
              <w:spacing w:after="0"/>
              <w:rPr>
                <w:sz w:val="20"/>
                <w:szCs w:val="20"/>
                <w:color w:val="auto"/>
              </w:rPr>
            </w:pPr>
            <w:r>
              <w:rPr>
                <w:rFonts w:ascii="Arial" w:cs="Arial" w:eastAsia="Arial" w:hAnsi="Arial"/>
                <w:sz w:val="18"/>
                <w:szCs w:val="18"/>
                <w:color w:val="auto"/>
                <w:w w:val="99"/>
              </w:rPr>
              <w:t>(Address of principal executive offices)</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(Zip Code)</w:t>
            </w:r>
          </w:p>
        </w:tc>
      </w:tr>
    </w:tbl>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(402) 544-5000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0"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95"/>
        </w:trPr>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9"/>
              </w:rPr>
              <w:t>Common Stock (Par Value $2.50 per share)</w:t>
            </w:r>
          </w:p>
        </w:tc>
        <w:tc>
          <w:tcPr>
            <w:tcW w:w="17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UNP</w:t>
            </w:r>
          </w:p>
        </w:tc>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6"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4"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50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6">
            <w:col w:w="2620" w:space="720"/>
            <w:col w:w="160" w:space="220"/>
            <w:col w:w="2020" w:space="720"/>
            <w:col w:w="160" w:space="260"/>
            <w:col w:w="1740" w:space="580"/>
            <w:col w:w="2040"/>
          </w:cols>
          <w:pgMar w:left="320" w:top="229" w:right="339" w:bottom="1440" w:gutter="0" w:footer="0" w:header="0"/>
          <w:type w:val="continuous"/>
        </w:sectPr>
      </w:pPr>
    </w:p>
    <w:p>
      <w:pPr>
        <w:spacing w:after="0" w:line="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2" w:lineRule="exact"/>
        <w:rPr>
          <w:sz w:val="24"/>
          <w:szCs w:val="24"/>
          <w:color w:val="auto"/>
        </w:rPr>
      </w:pPr>
    </w:p>
    <w:p>
      <w:pPr>
        <w:sectPr>
          <w:pgSz w:w="11900" w:h="16838" w:orient="portrait"/>
          <w:cols w:equalWidth="0" w:num="4">
            <w:col w:w="2760" w:space="580"/>
            <w:col w:w="160" w:space="220"/>
            <w:col w:w="2220" w:space="520"/>
            <w:col w:w="4780"/>
          </w:cols>
          <w:pgMar w:left="320" w:top="229" w:right="339" w:bottom="1440" w:gutter="0" w:footer="0" w:header="0"/>
          <w:type w:val="continuous"/>
        </w:sectPr>
      </w:pPr>
    </w:p>
    <w:p>
      <w:pPr>
        <w:spacing w:after="0" w:line="5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As of April 17, 2026, there were 593,713,213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5"/>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0" w:type="dxa"/>
            <w:vAlign w:val="bottom"/>
            <w:gridSpan w:val="16"/>
          </w:tcPr>
          <w:p>
            <w:pPr>
              <w:jc w:val="center"/>
              <w:ind w:right="3640"/>
              <w:spacing w:after="0"/>
              <w:rPr>
                <w:sz w:val="20"/>
                <w:szCs w:val="20"/>
                <w:color w:val="auto"/>
              </w:rPr>
            </w:pPr>
            <w:r>
              <w:rPr>
                <w:rFonts w:ascii="Arial" w:cs="Arial" w:eastAsia="Arial" w:hAnsi="Arial"/>
                <w:sz w:val="18"/>
                <w:szCs w:val="18"/>
                <w:b w:val="1"/>
                <w:bCs w:val="1"/>
                <w:color w:val="auto"/>
                <w:w w:val="98"/>
              </w:rPr>
              <w:t>UNION PACIFIC CORPORATION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60" w:type="dxa"/>
            <w:vAlign w:val="bottom"/>
            <w:gridSpan w:val="15"/>
          </w:tcPr>
          <w:p>
            <w:pPr>
              <w:jc w:val="center"/>
              <w:ind w:right="3780"/>
              <w:spacing w:after="0"/>
              <w:rPr>
                <w:sz w:val="20"/>
                <w:szCs w:val="20"/>
                <w:color w:val="auto"/>
              </w:rPr>
            </w:pPr>
            <w:r>
              <w:rPr>
                <w:rFonts w:ascii="Arial" w:cs="Arial" w:eastAsia="Arial" w:hAnsi="Arial"/>
                <w:sz w:val="18"/>
                <w:szCs w:val="18"/>
                <w:b w:val="1"/>
                <w:bCs w:val="1"/>
                <w:color w:val="auto"/>
                <w:w w:val="99"/>
              </w:rPr>
              <w:t>AND SUBSIDIARY COMPANIES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Borders>
              <w:bottom w:val="single" w:sz="8" w:color="0000FF"/>
            </w:tcBorders>
            <w:gridSpan w:val="9"/>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6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82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9"/>
              </w:rPr>
              <w:t>Condensed Consolidated Financial Statements:</w:t>
            </w:r>
          </w:p>
        </w:tc>
        <w:tc>
          <w:tcPr>
            <w:tcW w:w="6040" w:type="dxa"/>
            <w:vAlign w:val="bottom"/>
            <w:gridSpan w:val="14"/>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CONDENSED CONSOLIDATED STATEMENTS OF INCOME (Unaudited)</w:t>
            </w:r>
          </w:p>
        </w:tc>
        <w:tc>
          <w:tcPr>
            <w:tcW w:w="3780" w:type="dxa"/>
            <w:vAlign w:val="bottom"/>
            <w:gridSpan w:val="8"/>
          </w:tcPr>
          <w:p>
            <w:pPr>
              <w:spacing w:after="0"/>
              <w:rPr>
                <w:sz w:val="21"/>
                <w:szCs w:val="21"/>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13"/>
          </w:tcPr>
          <w:p>
            <w:pPr>
              <w:spacing w:after="0" w:line="196" w:lineRule="exact"/>
              <w:rPr>
                <w:sz w:val="20"/>
                <w:szCs w:val="20"/>
                <w:color w:val="auto"/>
              </w:rPr>
            </w:pPr>
            <w:r>
              <w:rPr>
                <w:rFonts w:ascii="Arial" w:cs="Arial" w:eastAsia="Arial" w:hAnsi="Arial"/>
                <w:sz w:val="18"/>
                <w:szCs w:val="18"/>
                <w:color w:val="0000FF"/>
                <w:w w:val="99"/>
              </w:rPr>
              <w:t>For the three months ended March 31, 2026 and 2025</w:t>
            </w:r>
          </w:p>
        </w:tc>
        <w:tc>
          <w:tcPr>
            <w:tcW w:w="5040" w:type="dxa"/>
            <w:vAlign w:val="bottom"/>
            <w:gridSpan w:val="11"/>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COMPREHENSIVE INCOME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34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For the three months ended March 31, 2026 and 2025</w:t>
            </w:r>
          </w:p>
        </w:tc>
        <w:tc>
          <w:tcPr>
            <w:tcW w:w="2880" w:type="dxa"/>
            <w:vAlign w:val="bottom"/>
            <w:tcBorders>
              <w:top w:val="single" w:sz="8" w:color="0000FF"/>
            </w:tcBorders>
            <w:gridSpan w:val="9"/>
          </w:tcPr>
          <w:p>
            <w:pPr>
              <w:spacing w:after="0"/>
              <w:rPr>
                <w:sz w:val="17"/>
                <w:szCs w:val="17"/>
                <w:color w:val="auto"/>
              </w:rPr>
            </w:pPr>
          </w:p>
        </w:tc>
        <w:tc>
          <w:tcPr>
            <w:tcW w:w="2160" w:type="dxa"/>
            <w:vAlign w:val="bottom"/>
            <w:gridSpan w:val="2"/>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FINANCIAL POSITION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52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At March 31, 2026, and December 31, 2025</w:t>
            </w:r>
          </w:p>
        </w:tc>
        <w:tc>
          <w:tcPr>
            <w:tcW w:w="3200" w:type="dxa"/>
            <w:vAlign w:val="bottom"/>
            <w:tcBorders>
              <w:top w:val="single" w:sz="8" w:color="0000FF"/>
            </w:tcBorders>
            <w:gridSpan w:val="9"/>
          </w:tcPr>
          <w:p>
            <w:pPr>
              <w:spacing w:after="0"/>
              <w:rPr>
                <w:sz w:val="17"/>
                <w:szCs w:val="17"/>
                <w:color w:val="auto"/>
              </w:rPr>
            </w:pPr>
          </w:p>
        </w:tc>
        <w:tc>
          <w:tcPr>
            <w:tcW w:w="2660" w:type="dxa"/>
            <w:vAlign w:val="bottom"/>
            <w:gridSpan w:val="4"/>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34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For the three months ended March 31, 2026 and 2025</w:t>
            </w:r>
          </w:p>
        </w:tc>
        <w:tc>
          <w:tcPr>
            <w:tcW w:w="1720" w:type="dxa"/>
            <w:vAlign w:val="bottom"/>
            <w:tcBorders>
              <w:top w:val="single" w:sz="8" w:color="0000FF"/>
            </w:tcBorders>
            <w:gridSpan w:val="5"/>
          </w:tcPr>
          <w:p>
            <w:pPr>
              <w:spacing w:after="0"/>
              <w:rPr>
                <w:sz w:val="17"/>
                <w:szCs w:val="17"/>
                <w:color w:val="auto"/>
              </w:rPr>
            </w:pPr>
          </w:p>
        </w:tc>
        <w:tc>
          <w:tcPr>
            <w:tcW w:w="3320" w:type="dxa"/>
            <w:vAlign w:val="bottom"/>
            <w:gridSpan w:val="6"/>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8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CONDENSED CONSOLIDATED STATEMENTS OF CHANGES IN COMMON SHAREHOLDERS’ EQUITY (Unaudited)</w:t>
            </w:r>
          </w:p>
        </w:tc>
        <w:tc>
          <w:tcPr>
            <w:tcW w:w="200" w:type="dxa"/>
            <w:vAlign w:val="bottom"/>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13"/>
          </w:tcPr>
          <w:p>
            <w:pPr>
              <w:spacing w:after="0" w:line="196" w:lineRule="exact"/>
              <w:rPr>
                <w:sz w:val="20"/>
                <w:szCs w:val="20"/>
                <w:color w:val="auto"/>
              </w:rPr>
            </w:pPr>
            <w:r>
              <w:rPr>
                <w:rFonts w:ascii="Arial" w:cs="Arial" w:eastAsia="Arial" w:hAnsi="Arial"/>
                <w:sz w:val="18"/>
                <w:szCs w:val="18"/>
                <w:color w:val="0000FF"/>
                <w:w w:val="99"/>
              </w:rPr>
              <w:t>For the three months ended March 31, 2026 and 2025</w:t>
            </w:r>
          </w:p>
        </w:tc>
        <w:tc>
          <w:tcPr>
            <w:tcW w:w="5040" w:type="dxa"/>
            <w:vAlign w:val="bottom"/>
            <w:gridSpan w:val="11"/>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6"/>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200" w:type="dxa"/>
            <w:vAlign w:val="bottom"/>
            <w:gridSpan w:val="2"/>
          </w:tcPr>
          <w:p>
            <w:pPr>
              <w:spacing w:after="0"/>
              <w:rPr>
                <w:sz w:val="20"/>
                <w:szCs w:val="20"/>
                <w:color w:val="auto"/>
              </w:rPr>
            </w:pPr>
            <w:r>
              <w:rPr>
                <w:rFonts w:ascii="Arial" w:cs="Arial" w:eastAsia="Arial" w:hAnsi="Arial"/>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7"/>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2"/>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gridSpan w:val="5"/>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15"/>
          </w:tcPr>
          <w:p>
            <w:pPr>
              <w:ind w:left="20"/>
              <w:spacing w:after="0"/>
              <w:rPr>
                <w:sz w:val="20"/>
                <w:szCs w:val="20"/>
                <w:color w:val="auto"/>
              </w:rPr>
            </w:pPr>
            <w:r>
              <w:rPr>
                <w:rFonts w:ascii="Arial" w:cs="Arial" w:eastAsia="Arial" w:hAnsi="Arial"/>
                <w:sz w:val="18"/>
                <w:szCs w:val="18"/>
                <w:color w:val="0000FF"/>
              </w:rPr>
              <w:t>Controls and Procedures</w:t>
            </w:r>
          </w:p>
        </w:tc>
        <w:tc>
          <w:tcPr>
            <w:tcW w:w="5140" w:type="dxa"/>
            <w:vAlign w:val="bottom"/>
            <w:gridSpan w:val="12"/>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5"/>
          </w:tcPr>
          <w:p>
            <w:pPr>
              <w:jc w:val="center"/>
              <w:ind w:right="3800"/>
              <w:spacing w:after="0"/>
              <w:rPr>
                <w:sz w:val="20"/>
                <w:szCs w:val="20"/>
                <w:color w:val="auto"/>
              </w:rPr>
            </w:pPr>
            <w:r>
              <w:rPr>
                <w:rFonts w:ascii="Arial" w:cs="Arial" w:eastAsia="Arial" w:hAnsi="Arial"/>
                <w:sz w:val="18"/>
                <w:szCs w:val="18"/>
                <w:b w:val="1"/>
                <w:bCs w:val="1"/>
                <w:color w:val="0000FF"/>
                <w:w w:val="98"/>
              </w:rPr>
              <w:t>PART II. OTHER INFORMATION</w:t>
            </w: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400" w:type="dxa"/>
            <w:vAlign w:val="bottom"/>
            <w:gridSpan w:val="12"/>
          </w:tcPr>
          <w:p>
            <w:pPr>
              <w:ind w:left="20"/>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6"/>
          </w:tcPr>
          <w:p>
            <w:pPr>
              <w:spacing w:after="0"/>
              <w:rPr>
                <w:sz w:val="24"/>
                <w:szCs w:val="24"/>
                <w:color w:val="auto"/>
              </w:rPr>
            </w:pPr>
          </w:p>
        </w:tc>
        <w:tc>
          <w:tcPr>
            <w:tcW w:w="3800" w:type="dxa"/>
            <w:vAlign w:val="bottom"/>
            <w:gridSpan w:val="9"/>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ind w:left="20"/>
              <w:spacing w:after="0"/>
              <w:rPr>
                <w:sz w:val="20"/>
                <w:szCs w:val="20"/>
                <w:color w:val="auto"/>
              </w:rPr>
            </w:pPr>
            <w:r>
              <w:rPr>
                <w:rFonts w:ascii="Arial" w:cs="Arial" w:eastAsia="Arial" w:hAnsi="Arial"/>
                <w:sz w:val="18"/>
                <w:szCs w:val="18"/>
                <w:color w:val="0000FF"/>
              </w:rPr>
              <w:t>Risk Factors</w:t>
            </w:r>
          </w:p>
        </w:tc>
        <w:tc>
          <w:tcPr>
            <w:tcW w:w="8360" w:type="dxa"/>
            <w:vAlign w:val="bottom"/>
            <w:gridSpan w:val="20"/>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7"/>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860" w:type="dxa"/>
            <w:vAlign w:val="bottom"/>
            <w:gridSpan w:val="17"/>
          </w:tcPr>
          <w:p>
            <w:pPr>
              <w:ind w:left="20"/>
              <w:spacing w:after="0"/>
              <w:rPr>
                <w:sz w:val="20"/>
                <w:szCs w:val="20"/>
                <w:color w:val="auto"/>
              </w:rPr>
            </w:pPr>
            <w:r>
              <w:rPr>
                <w:rFonts w:ascii="Arial" w:cs="Arial" w:eastAsia="Arial" w:hAnsi="Arial"/>
                <w:sz w:val="18"/>
                <w:szCs w:val="18"/>
                <w:color w:val="0000FF"/>
              </w:rPr>
              <w:t>Defaults Upon Senior Securities</w:t>
            </w:r>
          </w:p>
        </w:tc>
        <w:tc>
          <w:tcPr>
            <w:tcW w:w="5000" w:type="dxa"/>
            <w:vAlign w:val="bottom"/>
            <w:gridSpan w:val="10"/>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ind w:left="20"/>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24"/>
                <w:szCs w:val="24"/>
                <w:color w:val="auto"/>
              </w:rPr>
            </w:pPr>
          </w:p>
        </w:tc>
        <w:tc>
          <w:tcPr>
            <w:tcW w:w="7300" w:type="dxa"/>
            <w:vAlign w:val="bottom"/>
            <w:gridSpan w:val="17"/>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20" w:type="dxa"/>
            <w:vAlign w:val="bottom"/>
            <w:gridSpan w:val="1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ind w:left="20"/>
              <w:spacing w:after="0"/>
              <w:rPr>
                <w:sz w:val="20"/>
                <w:szCs w:val="20"/>
                <w:color w:val="auto"/>
              </w:rPr>
            </w:pPr>
            <w:r>
              <w:rPr>
                <w:rFonts w:ascii="Arial" w:cs="Arial" w:eastAsia="Arial" w:hAnsi="Arial"/>
                <w:sz w:val="18"/>
                <w:szCs w:val="18"/>
                <w:color w:val="0000FF"/>
              </w:rPr>
              <w:t>Other Information</w:t>
            </w:r>
          </w:p>
        </w:tc>
        <w:tc>
          <w:tcPr>
            <w:tcW w:w="7920" w:type="dxa"/>
            <w:vAlign w:val="bottom"/>
            <w:gridSpan w:val="19"/>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460" w:type="dxa"/>
            <w:vAlign w:val="bottom"/>
            <w:gridSpan w:val="21"/>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gridSpan w:val="4"/>
          </w:tcPr>
          <w:p>
            <w:pPr>
              <w:ind w:left="20"/>
              <w:spacing w:after="0"/>
              <w:rPr>
                <w:sz w:val="20"/>
                <w:szCs w:val="20"/>
                <w:color w:val="auto"/>
              </w:rPr>
            </w:pPr>
            <w:r>
              <w:rPr>
                <w:rFonts w:ascii="Arial" w:cs="Arial" w:eastAsia="Arial" w:hAnsi="Arial"/>
                <w:sz w:val="18"/>
                <w:szCs w:val="18"/>
                <w:color w:val="0000FF"/>
                <w:w w:val="95"/>
              </w:rPr>
              <w:t>Exhibits</w:t>
            </w:r>
          </w:p>
        </w:tc>
        <w:tc>
          <w:tcPr>
            <w:tcW w:w="760" w:type="dxa"/>
            <w:vAlign w:val="bottom"/>
            <w:gridSpan w:val="2"/>
          </w:tcPr>
          <w:p>
            <w:pPr>
              <w:spacing w:after="0"/>
              <w:rPr>
                <w:sz w:val="24"/>
                <w:szCs w:val="24"/>
                <w:color w:val="auto"/>
              </w:rPr>
            </w:pPr>
          </w:p>
        </w:tc>
        <w:tc>
          <w:tcPr>
            <w:tcW w:w="8460" w:type="dxa"/>
            <w:vAlign w:val="bottom"/>
            <w:gridSpan w:val="21"/>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0000FF"/>
                <w:w w:val="97"/>
              </w:rPr>
              <w:t>Signatures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860" w:type="dxa"/>
            <w:vAlign w:val="bottom"/>
            <w:gridSpan w:val="27"/>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10720" w:type="dxa"/>
            <w:vAlign w:val="bottom"/>
            <w:gridSpan w:val="28"/>
          </w:tcPr>
          <w:p>
            <w:pPr>
              <w:spacing w:after="0"/>
              <w:rPr>
                <w:sz w:val="20"/>
                <w:szCs w:val="20"/>
                <w:color w:val="auto"/>
              </w:rPr>
            </w:pPr>
            <w:r>
              <w:rPr>
                <w:rFonts w:ascii="Arial" w:cs="Arial" w:eastAsia="Arial" w:hAnsi="Arial"/>
                <w:sz w:val="18"/>
                <w:szCs w:val="18"/>
                <w:color w:val="auto"/>
              </w:rPr>
              <w:t>Certifications</w:t>
            </w:r>
          </w:p>
        </w:tc>
        <w:tc>
          <w:tcPr>
            <w:tcW w:w="500" w:type="dxa"/>
            <w:vAlign w:val="bottom"/>
            <w:gridSpan w:val="3"/>
          </w:tcPr>
          <w:p>
            <w:pPr>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20" w:type="dxa"/>
            <w:vAlign w:val="bottom"/>
            <w:gridSpan w:val="16"/>
          </w:tcPr>
          <w:p>
            <w:pPr>
              <w:jc w:val="center"/>
              <w:ind w:left="457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three months ended March 31,</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Freight revenues</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5,893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5,691</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6,217</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1,227</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services and materials</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Fuel</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Equipment and other rents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3,759</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2,458</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Other income, net (Note 6)</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2,229</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2,127</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1,701</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and per share (Note 7):</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Earnings per share - basic</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 diluted</w:t>
            </w:r>
          </w:p>
        </w:tc>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Weighted average number of shares - basic</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593.0</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601.0</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 diluted</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593.6</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r>
      <w:tr>
        <w:trPr>
          <w:trHeight w:val="469"/>
        </w:trPr>
        <w:tc>
          <w:tcPr>
            <w:tcW w:w="75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5"/>
        </w:trPr>
        <w:tc>
          <w:tcPr>
            <w:tcW w:w="7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63"/>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1,701</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plans</w:t>
            </w:r>
          </w:p>
        </w:tc>
        <w:tc>
          <w:tcPr>
            <w:tcW w:w="1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7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income/(loss) [a]</w:t>
            </w:r>
          </w:p>
        </w:tc>
        <w:tc>
          <w:tcPr>
            <w:tcW w:w="1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bl>
    <w:p>
      <w:pPr>
        <w:spacing w:after="0" w:line="258" w:lineRule="exact"/>
        <w:rPr>
          <w:sz w:val="20"/>
          <w:szCs w:val="20"/>
          <w:color w:val="auto"/>
        </w:rPr>
      </w:pPr>
    </w:p>
    <w:p>
      <w:pPr>
        <w:ind w:right="1820" w:firstLine="8"/>
        <w:spacing w:after="0" w:line="383" w:lineRule="auto"/>
        <w:tabs>
          <w:tab w:leader="none" w:pos="31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($0.1) million and ($0.2) million during the three months ended March 31, 2026 and 2025, respectively. The accompanying notes are an integral part of these unaudited Condensed Consolidated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share and per share amounts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Short-term investments (Note 12)</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7"/>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(Note 9)</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838</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1"/>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6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2,954</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r>
      <w:tr>
        <w:trPr>
          <w:trHeight w:val="263"/>
        </w:trPr>
        <w:tc>
          <w:tcPr>
            <w:tcW w:w="7580" w:type="dxa"/>
            <w:vAlign w:val="bottom"/>
          </w:tcPr>
          <w:p>
            <w:pPr>
              <w:ind w:left="20"/>
              <w:spacing w:after="0"/>
              <w:rPr>
                <w:sz w:val="20"/>
                <w:szCs w:val="20"/>
                <w:color w:val="auto"/>
              </w:rPr>
            </w:pPr>
            <w:r>
              <w:rPr>
                <w:rFonts w:ascii="Arial" w:cs="Arial" w:eastAsia="Arial" w:hAnsi="Arial"/>
                <w:sz w:val="18"/>
                <w:szCs w:val="18"/>
                <w:color w:val="auto"/>
              </w:rPr>
              <w:t>Properties, net (Note 10)</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59,955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59,645</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6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r>
      <w:tr>
        <w:trPr>
          <w:trHeight w:val="263"/>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69,644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69,698</w:t>
            </w:r>
          </w:p>
        </w:tc>
      </w:tr>
      <w:tr>
        <w:trPr>
          <w:trHeight w:val="26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Liabilities and common shareholders' equity</w:t>
            </w:r>
          </w:p>
        </w:tc>
        <w:tc>
          <w:tcPr>
            <w:tcW w:w="1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Accounts payable and other current liabilities (Note 11)</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3,735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71"/>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Debt due within one year (Note 13)</w:t>
            </w:r>
          </w:p>
        </w:tc>
        <w:tc>
          <w:tcPr>
            <w:tcW w:w="1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64"/>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4,602</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due after one year (Note 13)</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29,784</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r>
      <w:tr>
        <w:trPr>
          <w:trHeight w:val="262"/>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r>
      <w:tr>
        <w:trPr>
          <w:trHeight w:val="262"/>
        </w:trPr>
        <w:tc>
          <w:tcPr>
            <w:tcW w:w="7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1,746</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83"/>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13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r>
      <w:tr>
        <w:trPr>
          <w:trHeight w:val="257"/>
        </w:trPr>
        <w:tc>
          <w:tcPr>
            <w:tcW w:w="7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1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50,226</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51,231</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shareholders' equity:</w:t>
            </w:r>
          </w:p>
        </w:tc>
        <w:tc>
          <w:tcPr>
            <w:tcW w:w="1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7"/>
        </w:trPr>
        <w:tc>
          <w:tcPr>
            <w:tcW w:w="7580" w:type="dxa"/>
            <w:vAlign w:val="bottom"/>
          </w:tcPr>
          <w:p>
            <w:pPr>
              <w:ind w:left="180"/>
              <w:spacing w:after="0"/>
              <w:rPr>
                <w:sz w:val="20"/>
                <w:szCs w:val="20"/>
                <w:color w:val="auto"/>
              </w:rPr>
            </w:pPr>
            <w:r>
              <w:rPr>
                <w:rFonts w:ascii="Arial" w:cs="Arial" w:eastAsia="Arial" w:hAnsi="Arial"/>
                <w:sz w:val="18"/>
                <w:szCs w:val="18"/>
                <w:color w:val="auto"/>
              </w:rPr>
              <w:t>Common shares, $2.50 par value, 1,400,000,000 authorized; 1,113,365,803 and</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1,113,161,191 issued; 593,675,922 and 593,245,884 outstanding, respectively</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Paid-in-surplus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5,621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5,589</w:t>
            </w:r>
          </w:p>
        </w:tc>
      </w:tr>
      <w:tr>
        <w:trPr>
          <w:trHeight w:val="278"/>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70,411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69,529</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(58,844)</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(58,843)</w:t>
            </w:r>
          </w:p>
        </w:tc>
      </w:tr>
      <w:tr>
        <w:trPr>
          <w:trHeight w:val="271"/>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8)</w:t>
            </w:r>
          </w:p>
        </w:tc>
        <w:tc>
          <w:tcPr>
            <w:tcW w:w="1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64"/>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common shareholders' equity</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18,467</w:t>
            </w:r>
          </w:p>
        </w:tc>
      </w:tr>
      <w:tr>
        <w:trPr>
          <w:trHeight w:val="263"/>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common shareholders' equity</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69,644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69,698</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7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1,701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5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2"/>
        </w:trPr>
        <w:tc>
          <w:tcPr>
            <w:tcW w:w="7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633</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8"/>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and other income taxes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2"/>
        </w:trPr>
        <w:tc>
          <w:tcPr>
            <w:tcW w:w="7340" w:type="dxa"/>
            <w:vAlign w:val="bottom"/>
          </w:tcPr>
          <w:p>
            <w:pPr>
              <w:ind w:left="180"/>
              <w:spacing w:after="0"/>
              <w:rPr>
                <w:sz w:val="20"/>
                <w:szCs w:val="20"/>
                <w:color w:val="auto"/>
              </w:rPr>
            </w:pPr>
            <w:r>
              <w:rPr>
                <w:rFonts w:ascii="Arial" w:cs="Arial" w:eastAsia="Arial" w:hAnsi="Arial"/>
                <w:sz w:val="18"/>
                <w:szCs w:val="18"/>
                <w:color w:val="auto"/>
              </w:rPr>
              <w:t>Other operating activities, net</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8"/>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8"/>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and supplies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8"/>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64"/>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and other taxes</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2,440</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repaid</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issued (Note 13)</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Share repurchase programs (Note 15)</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share repurchase programs pending final settlement (Note 15)</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financing activities, net</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(529)</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1"/>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1,280</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7"/>
        </w:trPr>
        <w:tc>
          <w:tcPr>
            <w:tcW w:w="734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7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investments accrued but not yet paid</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7"/>
        </w:trPr>
        <w:tc>
          <w:tcPr>
            <w:tcW w:w="734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1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7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63"/>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Interest, net of amounts capitalized</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to the Condensed Consolidated Statement of Financial Position:</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63"/>
        </w:trPr>
        <w:tc>
          <w:tcPr>
            <w:tcW w:w="7340" w:type="dxa"/>
            <w:vAlign w:val="bottom"/>
          </w:tcPr>
          <w:p>
            <w:pPr>
              <w:ind w:left="180"/>
              <w:spacing w:after="0"/>
              <w:rPr>
                <w:sz w:val="20"/>
                <w:szCs w:val="20"/>
                <w:color w:val="auto"/>
              </w:rPr>
            </w:pPr>
            <w:r>
              <w:rPr>
                <w:rFonts w:ascii="Arial" w:cs="Arial" w:eastAsia="Arial" w:hAnsi="Arial"/>
                <w:sz w:val="18"/>
                <w:szCs w:val="18"/>
                <w:color w:val="auto"/>
              </w:rPr>
              <w:t>Restricted cash equivalents in other current assets</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1"/>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Restricted cash equivalents in other assets</w:t>
            </w:r>
          </w:p>
        </w:tc>
        <w:tc>
          <w:tcPr>
            <w:tcW w:w="1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 equivalents per above</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Common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Common</w:t>
            </w:r>
          </w:p>
        </w:tc>
        <w:tc>
          <w:tcPr>
            <w:tcW w:w="8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Treasury</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Common</w:t>
            </w:r>
          </w:p>
        </w:tc>
        <w:tc>
          <w:tcPr>
            <w:tcW w:w="2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i w:val="1"/>
                <w:iCs w:val="1"/>
                <w:color w:val="auto"/>
              </w:rPr>
              <w:t>Paid-in-   Retained   Treasury</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060" w:type="dxa"/>
            <w:vAlign w:val="bottom"/>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shares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shares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surplus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earnings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stock</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AOCI [a]</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41"/>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($1.34 per share)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1,113.2</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50"/>
        </w:trPr>
        <w:tc>
          <w:tcPr>
            <w:tcW w:w="35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1,113.2</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41"/>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($1.38 per share)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1,113.4</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70,411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19,418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AOCI = accumulated other comprehensive income/loss (Note 8)</w:t>
      </w:r>
    </w:p>
    <w:p>
      <w:pPr>
        <w:spacing w:after="0" w:line="19" w:lineRule="exact"/>
        <w:rPr>
          <w:rFonts w:ascii="Arial" w:cs="Arial" w:eastAsia="Arial" w:hAnsi="Arial"/>
          <w:sz w:val="16"/>
          <w:szCs w:val="16"/>
          <w:i w:val="1"/>
          <w:iCs w:val="1"/>
          <w:color w:val="auto"/>
        </w:rPr>
      </w:pPr>
    </w:p>
    <w:p>
      <w:pPr>
        <w:ind w:left="320" w:hanging="312"/>
        <w:spacing w:after="0"/>
        <w:tabs>
          <w:tab w:leader="none" w:pos="3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ESPP = employee stock purchase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2025 Annual Report on Form 10-K. Our Consolidated Statement of Financial Position at December 31, 2025, is derived from audited financial statements. The results of operations for the three months ended March 31, 2026, are not necessarily indicative of the results for the entire year ending December 31, 2026.</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2024, the FASB issued Accounting Standards Update No. (ASU) 2024-03, </w:t>
      </w:r>
      <w:r>
        <w:rPr>
          <w:rFonts w:ascii="Arial" w:cs="Arial" w:eastAsia="Arial" w:hAnsi="Arial"/>
          <w:sz w:val="18"/>
          <w:szCs w:val="18"/>
          <w:i w:val="1"/>
          <w:iCs w:val="1"/>
          <w:color w:val="auto"/>
        </w:rPr>
        <w:t>Income Statement - Reporting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 Expense Disaggregation Disclosures (Subtopic 220-40): Disaggregation of Income Statement Expenses, </w:t>
      </w:r>
      <w:r>
        <w:rPr>
          <w:rFonts w:ascii="Arial" w:cs="Arial" w:eastAsia="Arial" w:hAnsi="Arial"/>
          <w:sz w:val="18"/>
          <w:szCs w:val="18"/>
          <w:color w:val="auto"/>
        </w:rPr>
        <w:t>which requires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of additional information about specific expense categories in the notes to the financial statements. The ASU is effective for fiscal years beginning after December 15, 2026, and interim periods within fiscal years beginning after December 15, 2027, may be adopted on a prospective or retrospective basis, and early adoption is permitted. The Company is currently evaluating the effect that the new guidance will have on our related disclosures.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Internal-Use Software</w:t>
      </w:r>
      <w:r>
        <w:rPr>
          <w:rFonts w:ascii="Arial" w:cs="Arial" w:eastAsia="Arial" w:hAnsi="Arial"/>
          <w:sz w:val="18"/>
          <w:szCs w:val="18"/>
          <w:color w:val="auto"/>
        </w:rPr>
        <w:t>, which details the criteria for capitalization of internal-use software costs.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for fiscal years beginning after December 15, 2027, and interim periods within those fiscal years, may be adopted on a prospective, modified, or retrospective transition approach, and early adoption is permitted. The Company is currently evaluating the effect that the new guidance will have on our consolidated financial statements and related disclosures.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2025, the FASB issued ASU 2025-10, </w:t>
      </w:r>
      <w:r>
        <w:rPr>
          <w:rFonts w:ascii="Arial" w:cs="Arial" w:eastAsia="Arial" w:hAnsi="Arial"/>
          <w:sz w:val="18"/>
          <w:szCs w:val="18"/>
          <w:i w:val="1"/>
          <w:iCs w:val="1"/>
          <w:color w:val="auto"/>
        </w:rPr>
        <w:t>Government Grants (Topic 832): Accounting for Government Grants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Entities</w:t>
      </w:r>
      <w:r>
        <w:rPr>
          <w:rFonts w:ascii="Arial" w:cs="Arial" w:eastAsia="Arial" w:hAnsi="Arial"/>
          <w:sz w:val="18"/>
          <w:szCs w:val="18"/>
          <w:color w:val="auto"/>
        </w:rPr>
        <w:t>, which provides recognition, measurement, and presentation authoritative guidance for grants received by a business entity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government. The ASU is effective for fiscal years beginning after December 15, 2028, and interim reporting periods within those fiscal years, may be adopted on a modified prospective, modified retrospective, or retrospective approach, and early adoption is permitted. The Company is currently evaluating the effect that the new guidance will have on our consolidated financial statements and related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Operations and Segmentation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revenues are primarily derived from contracts with customers for the transportation of freight from origin to destination.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$729 million and $719 million for the three months ended March 31, 2026 and 2025, respectively.</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significant segment expenses as monitored by the CODM are shown in the table below. This breakout of revenues and expenses is used by the CODM to monitor and assess the financial performance of our rail network by comparing actual results to prior years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8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Bulk</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2,191</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2,082</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28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freight revenues</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5,893</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subsidiary revenues</w:t>
            </w:r>
          </w:p>
        </w:tc>
        <w:tc>
          <w:tcPr>
            <w:tcW w:w="28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Accessorial revenues</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6,217</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w:t>
            </w:r>
          </w:p>
        </w:tc>
        <w:tc>
          <w:tcPr>
            <w:tcW w:w="28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Administrative [a]</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8"/>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 fuel</w:t>
            </w:r>
          </w:p>
        </w:tc>
        <w:tc>
          <w:tcPr>
            <w:tcW w:w="28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Acquisition-related (Note 17)</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28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633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8"/>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1,701</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bl>
    <w:p>
      <w:pPr>
        <w:spacing w:after="0" w:line="190" w:lineRule="exact"/>
        <w:rPr>
          <w:sz w:val="20"/>
          <w:szCs w:val="20"/>
          <w:color w:val="auto"/>
        </w:rPr>
      </w:pPr>
    </w:p>
    <w:p>
      <w:pPr>
        <w:ind w:left="340" w:right="20" w:hanging="332"/>
        <w:spacing w:after="0" w:line="255" w:lineRule="auto"/>
        <w:tabs>
          <w:tab w:leader="none" w:pos="331"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and administrative includes compensation and benefits, purchased services and materials, equipment and other rents, non-locomotive fuel, and other expenses.</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Other segment items includes car hire and leases, casualty costs, state and local taxes, subsidiary expense, and other overhead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several stock-based compensation plans where employees receive nonvested stock options, nonvested retention shares, and nonvested stock units. We refer to the nonvested shares and stock units collectively as “retention awards”. Employees may also participate in our employee stock purchase plan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before tax:</w:t>
            </w:r>
          </w:p>
        </w:tc>
        <w:tc>
          <w:tcPr>
            <w:tcW w:w="2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63"/>
        </w:trPr>
        <w:tc>
          <w:tcPr>
            <w:tcW w:w="690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8"/>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Retention awards</w:t>
            </w:r>
          </w:p>
        </w:tc>
        <w:tc>
          <w:tcPr>
            <w:tcW w:w="25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ESPP [a]</w:t>
            </w:r>
          </w:p>
        </w:tc>
        <w:tc>
          <w:tcPr>
            <w:tcW w:w="2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before tax</w:t>
            </w:r>
          </w:p>
        </w:tc>
        <w:tc>
          <w:tcPr>
            <w:tcW w:w="2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income tax benefits from equity compensation plans</w:t>
            </w:r>
          </w:p>
        </w:tc>
        <w:tc>
          <w:tcPr>
            <w:tcW w:w="2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pacing w:after="0" w:line="177" w:lineRule="exact"/>
        <w:rPr>
          <w:sz w:val="20"/>
          <w:szCs w:val="20"/>
          <w:color w:val="auto"/>
        </w:rPr>
      </w:pPr>
    </w:p>
    <w:p>
      <w:pPr>
        <w:ind w:left="340" w:hanging="332"/>
        <w:spacing w:after="0" w:line="301"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with the June 10, 2025, purchase (for employee services rendered in May 2025), the Company match was changed from 40% to 20% of amounts contributed by the employee up to a maximum employee contribution of 5% of monthly salary (limited to $15,000 annually).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At March 31, 2026, outstanding stock options are not subject to performance or market-based vesting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23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Weighted-average assumptions</w:t>
            </w:r>
          </w:p>
        </w:tc>
        <w:tc>
          <w:tcPr>
            <w:tcW w:w="2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2026</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2025</w:t>
            </w: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2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r>
      <w:tr>
        <w:trPr>
          <w:trHeight w:val="26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Volatility</w:t>
            </w:r>
          </w:p>
        </w:tc>
        <w:tc>
          <w:tcPr>
            <w:tcW w:w="2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r>
      <w:tr>
        <w:trPr>
          <w:trHeight w:val="26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of options granted</w:t>
            </w:r>
          </w:p>
        </w:tc>
        <w:tc>
          <w:tcPr>
            <w:tcW w:w="2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50.32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48.70</w:t>
            </w: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three months ended March 31, 2026,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23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Weighted-</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Aggregate</w:t>
            </w:r>
          </w:p>
        </w:tc>
      </w:tr>
      <w:tr>
        <w:trPr>
          <w:trHeight w:val="216"/>
        </w:trPr>
        <w:tc>
          <w:tcPr>
            <w:tcW w:w="4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Options</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average</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remaining contractual term</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intrinsic value</w:t>
            </w:r>
          </w:p>
        </w:tc>
      </w:tr>
      <w:tr>
        <w:trPr>
          <w:trHeight w:val="237"/>
        </w:trPr>
        <w:tc>
          <w:tcPr>
            <w:tcW w:w="4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(thous.)</w:t>
            </w: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exercise price</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(in yrs.)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(millions)</w:t>
            </w:r>
          </w:p>
        </w:tc>
      </w:tr>
      <w:tr>
        <w:trPr>
          <w:trHeight w:val="23"/>
        </w:trPr>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210.29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58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251.45</w:t>
            </w:r>
          </w:p>
        </w:tc>
        <w:tc>
          <w:tcPr>
            <w:tcW w:w="224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3"/>
        </w:trPr>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146.82</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248.62</w:t>
            </w:r>
          </w:p>
        </w:tc>
        <w:tc>
          <w:tcPr>
            <w:tcW w:w="224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3"/>
        </w:trPr>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224.10</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49</w:t>
            </w:r>
          </w:p>
        </w:tc>
      </w:tr>
      <w:tr>
        <w:trPr>
          <w:trHeight w:val="240"/>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Vested or expected to vest at March 31, 2026</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223.87</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9"/>
              </w:rPr>
              <w:t>49</w:t>
            </w:r>
          </w:p>
        </w:tc>
      </w:tr>
      <w:tr>
        <w:trPr>
          <w:trHeight w:val="23"/>
        </w:trPr>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March 31, 2026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211.41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49</w:t>
            </w:r>
          </w:p>
        </w:tc>
      </w:tr>
      <w:tr>
        <w:trPr>
          <w:trHeight w:val="20"/>
        </w:trPr>
        <w:tc>
          <w:tcPr>
            <w:tcW w:w="4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2026, there was $27 million of unrecognized compensation expense related to nonvested stock options, which is expected to be recognized over a weighted-average period of 1.5 years. Additional information regarding stock option exercises appears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234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6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2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6760" w:type="dxa"/>
            <w:vAlign w:val="bottom"/>
          </w:tcPr>
          <w:p>
            <w:pPr>
              <w:ind w:left="20"/>
              <w:spacing w:after="0"/>
              <w:rPr>
                <w:sz w:val="20"/>
                <w:szCs w:val="20"/>
                <w:color w:val="auto"/>
              </w:rPr>
            </w:pPr>
            <w:r>
              <w:rPr>
                <w:rFonts w:ascii="Arial" w:cs="Arial" w:eastAsia="Arial" w:hAnsi="Arial"/>
                <w:sz w:val="18"/>
                <w:szCs w:val="18"/>
                <w:color w:val="auto"/>
              </w:rPr>
              <w:t>Cash received from option exercises</w:t>
            </w:r>
          </w:p>
        </w:tc>
        <w:tc>
          <w:tcPr>
            <w:tcW w:w="2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repurchased for employee payroll taxes</w:t>
            </w:r>
          </w:p>
        </w:tc>
        <w:tc>
          <w:tcPr>
            <w:tcW w:w="26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6760" w:type="dxa"/>
            <w:vAlign w:val="bottom"/>
          </w:tcPr>
          <w:p>
            <w:pPr>
              <w:ind w:left="20"/>
              <w:spacing w:after="0"/>
              <w:rPr>
                <w:sz w:val="20"/>
                <w:szCs w:val="20"/>
                <w:color w:val="auto"/>
              </w:rPr>
            </w:pPr>
            <w:r>
              <w:rPr>
                <w:rFonts w:ascii="Arial" w:cs="Arial" w:eastAsia="Arial" w:hAnsi="Arial"/>
                <w:sz w:val="18"/>
                <w:szCs w:val="18"/>
                <w:color w:val="auto"/>
              </w:rPr>
              <w:t>Income tax benefit realized from option exercises</w:t>
            </w:r>
          </w:p>
        </w:tc>
        <w:tc>
          <w:tcPr>
            <w:tcW w:w="26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1"/>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Aggregate grant-date fair value of stock options vested</w:t>
            </w:r>
          </w:p>
        </w:tc>
        <w:tc>
          <w:tcPr>
            <w:tcW w:w="26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3 years, and have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dividend equivalents paid to participants during the vesting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the three months ended March 31, 2026,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23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w w:val="97"/>
              </w:rPr>
              <w:t>Weighted-average</w:t>
            </w:r>
          </w:p>
        </w:tc>
      </w:tr>
      <w:tr>
        <w:trPr>
          <w:trHeight w:val="237"/>
        </w:trPr>
        <w:tc>
          <w:tcPr>
            <w:tcW w:w="5000" w:type="dxa"/>
            <w:vAlign w:val="bottom"/>
          </w:tcPr>
          <w:p>
            <w:pPr>
              <w:spacing w:after="0"/>
              <w:rPr>
                <w:sz w:val="20"/>
                <w:szCs w:val="20"/>
                <w:color w:val="auto"/>
              </w:rPr>
            </w:pPr>
          </w:p>
        </w:tc>
        <w:tc>
          <w:tcPr>
            <w:tcW w:w="4200" w:type="dxa"/>
            <w:vAlign w:val="bottom"/>
          </w:tcPr>
          <w:p>
            <w:pPr>
              <w:jc w:val="right"/>
              <w:ind w:right="310"/>
              <w:spacing w:after="0"/>
              <w:rPr>
                <w:sz w:val="20"/>
                <w:szCs w:val="20"/>
                <w:color w:val="auto"/>
              </w:rPr>
            </w:pPr>
            <w:r>
              <w:rPr>
                <w:rFonts w:ascii="Arial" w:cs="Arial" w:eastAsia="Arial" w:hAnsi="Arial"/>
                <w:sz w:val="18"/>
                <w:szCs w:val="18"/>
                <w:i w:val="1"/>
                <w:iCs w:val="1"/>
                <w:color w:val="auto"/>
              </w:rPr>
              <w:t>Shares (thous.)</w:t>
            </w:r>
          </w:p>
        </w:tc>
        <w:tc>
          <w:tcPr>
            <w:tcW w:w="2020" w:type="dxa"/>
            <w:vAlign w:val="bottom"/>
            <w:gridSpan w:val="2"/>
          </w:tcPr>
          <w:p>
            <w:pPr>
              <w:jc w:val="right"/>
              <w:spacing w:after="0"/>
              <w:rPr>
                <w:sz w:val="20"/>
                <w:szCs w:val="20"/>
                <w:color w:val="auto"/>
              </w:rPr>
            </w:pPr>
            <w:r>
              <w:rPr>
                <w:rFonts w:ascii="Arial" w:cs="Arial" w:eastAsia="Arial" w:hAnsi="Arial"/>
                <w:sz w:val="18"/>
                <w:szCs w:val="18"/>
                <w:i w:val="1"/>
                <w:iCs w:val="1"/>
                <w:color w:val="auto"/>
              </w:rPr>
              <w:t>grant-date fair value</w:t>
            </w:r>
          </w:p>
        </w:tc>
      </w:tr>
      <w:tr>
        <w:trPr>
          <w:trHeight w:val="23"/>
        </w:trPr>
        <w:tc>
          <w:tcPr>
            <w:tcW w:w="50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2026</w:t>
            </w:r>
          </w:p>
        </w:tc>
        <w:tc>
          <w:tcPr>
            <w:tcW w:w="4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878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232.18</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4200" w:type="dxa"/>
            <w:vAlign w:val="bottom"/>
          </w:tcPr>
          <w:p>
            <w:pPr>
              <w:jc w:val="right"/>
              <w:ind w:right="370"/>
              <w:spacing w:after="0"/>
              <w:rPr>
                <w:sz w:val="20"/>
                <w:szCs w:val="20"/>
                <w:color w:val="auto"/>
              </w:rPr>
            </w:pPr>
            <w:r>
              <w:rPr>
                <w:rFonts w:ascii="Arial" w:cs="Arial" w:eastAsia="Arial" w:hAnsi="Arial"/>
                <w:sz w:val="18"/>
                <w:szCs w:val="18"/>
                <w:color w:val="auto"/>
              </w:rPr>
              <w:t>256</w:t>
            </w:r>
          </w:p>
        </w:tc>
        <w:tc>
          <w:tcPr>
            <w:tcW w:w="5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246.29</w:t>
            </w:r>
          </w:p>
        </w:tc>
      </w:tr>
      <w:tr>
        <w:trPr>
          <w:trHeight w:val="23"/>
        </w:trPr>
        <w:tc>
          <w:tcPr>
            <w:tcW w:w="50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t>
            </w:r>
          </w:p>
        </w:tc>
        <w:tc>
          <w:tcPr>
            <w:tcW w:w="42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(444)</w:t>
            </w: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220.88</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420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246.81</w:t>
            </w:r>
          </w:p>
        </w:tc>
      </w:tr>
      <w:tr>
        <w:trPr>
          <w:trHeight w:val="23"/>
        </w:trPr>
        <w:tc>
          <w:tcPr>
            <w:tcW w:w="50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2026</w:t>
            </w:r>
          </w:p>
        </w:tc>
        <w:tc>
          <w:tcPr>
            <w:tcW w:w="4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685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244.67</w:t>
            </w:r>
          </w:p>
        </w:tc>
      </w:tr>
      <w:tr>
        <w:trPr>
          <w:trHeight w:val="20"/>
        </w:trPr>
        <w:tc>
          <w:tcPr>
            <w:tcW w:w="500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340" w:hanging="332"/>
        <w:spacing w:after="0" w:line="283"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Starting with the 2023 awards, the vesting period was changed from 4 years to 3 years, which results in the 2022 and 2023 awards both vesting in February of 2026.</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2026, there was $ 96 million of total unrecognized compensation expense related to nonvested retention awards, which is expected to be recognized over a weighted-average period of 1.8 years.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2026, our Board of Directors approved performance stock unit grants. This plan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February 2026 stock units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the three months ended March 31, 2026,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w w:val="97"/>
              </w:rPr>
              <w:t>Weighted-average</w:t>
            </w:r>
          </w:p>
        </w:tc>
      </w:tr>
      <w:tr>
        <w:trPr>
          <w:trHeight w:val="237"/>
        </w:trPr>
        <w:tc>
          <w:tcPr>
            <w:tcW w:w="5000" w:type="dxa"/>
            <w:vAlign w:val="bottom"/>
          </w:tcPr>
          <w:p>
            <w:pPr>
              <w:spacing w:after="0"/>
              <w:rPr>
                <w:sz w:val="20"/>
                <w:szCs w:val="20"/>
                <w:color w:val="auto"/>
              </w:rPr>
            </w:pPr>
          </w:p>
        </w:tc>
        <w:tc>
          <w:tcPr>
            <w:tcW w:w="4200" w:type="dxa"/>
            <w:vAlign w:val="bottom"/>
          </w:tcPr>
          <w:p>
            <w:pPr>
              <w:jc w:val="right"/>
              <w:ind w:right="310"/>
              <w:spacing w:after="0"/>
              <w:rPr>
                <w:sz w:val="20"/>
                <w:szCs w:val="20"/>
                <w:color w:val="auto"/>
              </w:rPr>
            </w:pPr>
            <w:r>
              <w:rPr>
                <w:rFonts w:ascii="Arial" w:cs="Arial" w:eastAsia="Arial" w:hAnsi="Arial"/>
                <w:sz w:val="18"/>
                <w:szCs w:val="18"/>
                <w:i w:val="1"/>
                <w:iCs w:val="1"/>
                <w:color w:val="auto"/>
              </w:rPr>
              <w:t>Shares (thous.)</w:t>
            </w:r>
          </w:p>
        </w:tc>
        <w:tc>
          <w:tcPr>
            <w:tcW w:w="2020" w:type="dxa"/>
            <w:vAlign w:val="bottom"/>
            <w:gridSpan w:val="2"/>
          </w:tcPr>
          <w:p>
            <w:pPr>
              <w:jc w:val="right"/>
              <w:spacing w:after="0"/>
              <w:rPr>
                <w:sz w:val="20"/>
                <w:szCs w:val="20"/>
                <w:color w:val="auto"/>
              </w:rPr>
            </w:pPr>
            <w:r>
              <w:rPr>
                <w:rFonts w:ascii="Arial" w:cs="Arial" w:eastAsia="Arial" w:hAnsi="Arial"/>
                <w:sz w:val="18"/>
                <w:szCs w:val="18"/>
                <w:i w:val="1"/>
                <w:iCs w:val="1"/>
                <w:color w:val="auto"/>
              </w:rPr>
              <w:t>grant-date fair value</w:t>
            </w:r>
          </w:p>
        </w:tc>
      </w:tr>
      <w:tr>
        <w:trPr>
          <w:trHeight w:val="23"/>
        </w:trPr>
        <w:tc>
          <w:tcPr>
            <w:tcW w:w="50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2026</w:t>
            </w:r>
          </w:p>
        </w:tc>
        <w:tc>
          <w:tcPr>
            <w:tcW w:w="4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619</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222.68</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4200" w:type="dxa"/>
            <w:vAlign w:val="bottom"/>
          </w:tcPr>
          <w:p>
            <w:pPr>
              <w:jc w:val="right"/>
              <w:ind w:right="370"/>
              <w:spacing w:after="0"/>
              <w:rPr>
                <w:sz w:val="20"/>
                <w:szCs w:val="20"/>
                <w:color w:val="auto"/>
              </w:rPr>
            </w:pPr>
            <w:r>
              <w:rPr>
                <w:rFonts w:ascii="Arial" w:cs="Arial" w:eastAsia="Arial" w:hAnsi="Arial"/>
                <w:sz w:val="18"/>
                <w:szCs w:val="18"/>
                <w:color w:val="auto"/>
              </w:rPr>
              <w:t>336</w:t>
            </w:r>
          </w:p>
        </w:tc>
        <w:tc>
          <w:tcPr>
            <w:tcW w:w="5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251.45</w:t>
            </w:r>
          </w:p>
        </w:tc>
      </w:tr>
      <w:tr>
        <w:trPr>
          <w:trHeight w:val="23"/>
        </w:trPr>
        <w:tc>
          <w:tcPr>
            <w:tcW w:w="50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(72)</w:t>
            </w: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199.05</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Unearned</w:t>
            </w:r>
          </w:p>
        </w:tc>
        <w:tc>
          <w:tcPr>
            <w:tcW w:w="4200" w:type="dxa"/>
            <w:vAlign w:val="bottom"/>
          </w:tcPr>
          <w:p>
            <w:pPr>
              <w:jc w:val="right"/>
              <w:ind w:right="330"/>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202.81</w:t>
            </w:r>
          </w:p>
        </w:tc>
      </w:tr>
      <w:tr>
        <w:trPr>
          <w:trHeight w:val="23"/>
        </w:trPr>
        <w:tc>
          <w:tcPr>
            <w:tcW w:w="50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42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248.70</w:t>
            </w:r>
          </w:p>
        </w:tc>
      </w:tr>
      <w:tr>
        <w:trPr>
          <w:trHeight w:val="241"/>
        </w:trPr>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at March 31, 2026</w:t>
            </w:r>
          </w:p>
        </w:tc>
        <w:tc>
          <w:tcPr>
            <w:tcW w:w="42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763</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239.26</w:t>
            </w:r>
          </w:p>
        </w:tc>
      </w:tr>
      <w:tr>
        <w:trPr>
          <w:trHeight w:val="23"/>
        </w:trPr>
        <w:tc>
          <w:tcPr>
            <w:tcW w:w="50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2026, there was $27 million of total unrecognized compensation expense related to nonvested performance stock unit awards, which is expected to be recognized over a weighted-average period of 1.6 years. This expense is subject to achievement of the performance measures established for the performance stock unit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0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actuarial loss</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w:t>
            </w:r>
          </w:p>
        </w:tc>
        <w:tc>
          <w:tcPr>
            <w:tcW w:w="3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cash contributions totaled $0 to the qualified pension plans. Any contributions made during 2026 will be based on cash generated from operations and financial market considerations. Our policy with respect to funding the qualified pension plans is to fund at least the minimum required by law and not more than the maximum amount deductible for tax purposes. At March 31, 2026, we do not have minimum cash funding requirements for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c>
          <w:tcPr>
            <w:tcW w:w="20" w:type="dxa"/>
            <w:vAlign w:val="bottom"/>
          </w:tcPr>
          <w:p>
            <w:pPr>
              <w:spacing w:after="0"/>
              <w:rPr>
                <w:sz w:val="22"/>
                <w:szCs w:val="22"/>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income</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3"/>
                <w:szCs w:val="23"/>
                <w:color w:val="auto"/>
              </w:rPr>
            </w:pPr>
          </w:p>
        </w:tc>
      </w:tr>
      <w:tr>
        <w:trPr>
          <w:trHeight w:val="263"/>
        </w:trPr>
        <w:tc>
          <w:tcPr>
            <w:tcW w:w="8120" w:type="dxa"/>
            <w:vAlign w:val="bottom"/>
          </w:tcPr>
          <w:p>
            <w:pPr>
              <w:ind w:left="20"/>
              <w:spacing w:after="0"/>
              <w:rPr>
                <w:sz w:val="20"/>
                <w:szCs w:val="20"/>
                <w:color w:val="auto"/>
              </w:rPr>
            </w:pPr>
            <w:r>
              <w:rPr>
                <w:rFonts w:ascii="Arial" w:cs="Arial" w:eastAsia="Arial" w:hAnsi="Arial"/>
                <w:sz w:val="18"/>
                <w:szCs w:val="18"/>
                <w:color w:val="auto"/>
              </w:rPr>
              <w:t>Net periodic pension benefit/(costs)</w:t>
            </w:r>
          </w:p>
        </w:tc>
        <w:tc>
          <w:tcPr>
            <w:tcW w:w="1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r>
      <w:tr>
        <w:trPr>
          <w:trHeight w:val="278"/>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w:t>
            </w:r>
          </w:p>
        </w:tc>
        <w:tc>
          <w:tcPr>
            <w:tcW w:w="1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r>
      <w:tr>
        <w:trPr>
          <w:trHeight w:val="263"/>
        </w:trPr>
        <w:tc>
          <w:tcPr>
            <w:tcW w:w="8120" w:type="dxa"/>
            <w:vAlign w:val="bottom"/>
          </w:tcPr>
          <w:p>
            <w:pPr>
              <w:ind w:left="20"/>
              <w:spacing w:after="0"/>
              <w:rPr>
                <w:sz w:val="20"/>
                <w:szCs w:val="20"/>
                <w:color w:val="auto"/>
              </w:rPr>
            </w:pPr>
            <w:r>
              <w:rPr>
                <w:rFonts w:ascii="Arial" w:cs="Arial" w:eastAsia="Arial" w:hAnsi="Arial"/>
                <w:sz w:val="18"/>
                <w:szCs w:val="18"/>
                <w:color w:val="auto"/>
              </w:rPr>
              <w:t>Non-operating property environmental remediation and restoration</w:t>
            </w:r>
          </w:p>
        </w:tc>
        <w:tc>
          <w:tcPr>
            <w:tcW w:w="1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r>
      <w:tr>
        <w:trPr>
          <w:trHeight w:val="271"/>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r>
      <w:tr>
        <w:trPr>
          <w:trHeight w:val="26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2"/>
                <w:szCs w:val="22"/>
                <w:color w:val="auto"/>
              </w:rPr>
            </w:pPr>
          </w:p>
        </w:tc>
      </w:tr>
      <w:tr>
        <w:trPr>
          <w:trHeight w:val="403"/>
        </w:trPr>
        <w:tc>
          <w:tcPr>
            <w:tcW w:w="8120" w:type="dxa"/>
            <w:vAlign w:val="bottom"/>
          </w:tcPr>
          <w:p>
            <w:pPr>
              <w:spacing w:after="0"/>
              <w:rPr>
                <w:sz w:val="20"/>
                <w:szCs w:val="20"/>
                <w:color w:val="auto"/>
              </w:rPr>
            </w:pPr>
            <w:r>
              <w:rPr>
                <w:rFonts w:ascii="Arial" w:cs="Arial" w:eastAsia="Arial" w:hAnsi="Arial"/>
                <w:sz w:val="16"/>
                <w:szCs w:val="16"/>
                <w:i w:val="1"/>
                <w:iCs w:val="1"/>
                <w:color w:val="auto"/>
              </w:rPr>
              <w:t>[a]  Prior years have been recast to conform to the current year presentation.</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8120" w:type="dxa"/>
            <w:vAlign w:val="bottom"/>
          </w:tcPr>
          <w:p>
            <w:pPr>
              <w:spacing w:after="0"/>
              <w:rPr>
                <w:sz w:val="20"/>
                <w:szCs w:val="20"/>
                <w:color w:val="auto"/>
              </w:rPr>
            </w:pPr>
            <w:r>
              <w:rPr>
                <w:rFonts w:ascii="Arial" w:cs="Arial" w:eastAsia="Arial" w:hAnsi="Arial"/>
                <w:sz w:val="18"/>
                <w:szCs w:val="18"/>
                <w:b w:val="1"/>
                <w:bCs w:val="1"/>
                <w:color w:val="auto"/>
              </w:rPr>
              <w:t>7. Earnings Per Share</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8120" w:type="dxa"/>
            <w:vAlign w:val="bottom"/>
          </w:tcPr>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8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7"/>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three months ended March 31,</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c>
          <w:tcPr>
            <w:tcW w:w="20" w:type="dxa"/>
            <w:vAlign w:val="bottom"/>
          </w:tcPr>
          <w:p>
            <w:pPr>
              <w:spacing w:after="0"/>
              <w:rPr>
                <w:sz w:val="22"/>
                <w:szCs w:val="22"/>
                <w:color w:val="auto"/>
              </w:rPr>
            </w:pPr>
          </w:p>
        </w:tc>
      </w:tr>
      <w:tr>
        <w:trPr>
          <w:trHeight w:val="263"/>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22"/>
                <w:szCs w:val="22"/>
                <w:color w:val="auto"/>
              </w:rPr>
            </w:pPr>
          </w:p>
        </w:tc>
      </w:tr>
      <w:tr>
        <w:trPr>
          <w:trHeight w:val="247"/>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w:t>
            </w: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8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593.0</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20" w:type="dxa"/>
            <w:vAlign w:val="bottom"/>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Arial" w:cs="Arial" w:eastAsia="Arial" w:hAnsi="Arial"/>
                <w:sz w:val="18"/>
                <w:szCs w:val="18"/>
                <w:color w:val="auto"/>
              </w:rPr>
              <w:t>Dilutive effect of stock options</w:t>
            </w:r>
          </w:p>
        </w:tc>
        <w:tc>
          <w:tcPr>
            <w:tcW w:w="1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2"/>
                <w:szCs w:val="22"/>
                <w:color w:val="auto"/>
              </w:rPr>
            </w:pPr>
          </w:p>
        </w:tc>
      </w:tr>
      <w:tr>
        <w:trPr>
          <w:trHeight w:val="271"/>
        </w:trPr>
        <w:tc>
          <w:tcPr>
            <w:tcW w:w="8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retention awards</w:t>
            </w:r>
          </w:p>
        </w:tc>
        <w:tc>
          <w:tcPr>
            <w:tcW w:w="1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r>
      <w:tr>
        <w:trPr>
          <w:trHeight w:val="264"/>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20" w:type="dxa"/>
            <w:vAlign w:val="bottom"/>
          </w:tcPr>
          <w:p>
            <w:pPr>
              <w:spacing w:after="0"/>
              <w:rPr>
                <w:sz w:val="22"/>
                <w:szCs w:val="22"/>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3"/>
                <w:szCs w:val="23"/>
                <w:color w:val="auto"/>
              </w:rPr>
            </w:pPr>
          </w:p>
        </w:tc>
      </w:tr>
      <w:tr>
        <w:trPr>
          <w:trHeight w:val="262"/>
        </w:trPr>
        <w:tc>
          <w:tcPr>
            <w:tcW w:w="812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2"/>
                <w:szCs w:val="22"/>
                <w:color w:val="auto"/>
              </w:rPr>
            </w:pPr>
          </w:p>
        </w:tc>
      </w:tr>
      <w:tr>
        <w:trPr>
          <w:trHeight w:val="271"/>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options excluded as their inclusion would be anti-dilutive</w:t>
            </w:r>
          </w:p>
        </w:tc>
        <w:tc>
          <w:tcPr>
            <w:tcW w:w="1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3"/>
                <w:szCs w:val="23"/>
                <w:color w:val="auto"/>
              </w:rPr>
            </w:pPr>
          </w:p>
        </w:tc>
      </w:tr>
      <w:tr>
        <w:trPr>
          <w:trHeight w:val="392"/>
        </w:trPr>
        <w:tc>
          <w:tcPr>
            <w:tcW w:w="8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Foreign</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Defined benefit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currency</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Derivative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plans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translation</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instruments [a]</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1"/>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w:t>
            </w:r>
          </w:p>
        </w:tc>
        <w:tc>
          <w:tcPr>
            <w:tcW w:w="6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income/(loss) [b]</w:t>
            </w:r>
          </w:p>
        </w:tc>
        <w:tc>
          <w:tcPr>
            <w:tcW w:w="6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4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quarter-to-date other comprehensive income/(loss), net of taxes of</w:t>
            </w: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31"/>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($0.1) million</w:t>
            </w:r>
          </w:p>
        </w:tc>
        <w:tc>
          <w:tcPr>
            <w:tcW w:w="6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50"/>
        </w:trPr>
        <w:tc>
          <w:tcPr>
            <w:tcW w:w="58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1"/>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w:t>
            </w:r>
          </w:p>
        </w:tc>
        <w:tc>
          <w:tcPr>
            <w:tcW w:w="6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income/(loss) [b]</w:t>
            </w:r>
          </w:p>
        </w:tc>
        <w:tc>
          <w:tcPr>
            <w:tcW w:w="6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4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quarter-to-date other comprehensive income/(loss), net of taxes of</w:t>
            </w: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1"/>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($0.2) million</w:t>
            </w:r>
          </w:p>
        </w:tc>
        <w:tc>
          <w:tcPr>
            <w:tcW w:w="6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5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28" w:lineRule="exact"/>
        <w:rPr>
          <w:rFonts w:ascii="Arial" w:cs="Arial" w:eastAsia="Arial" w:hAnsi="Arial"/>
          <w:sz w:val="16"/>
          <w:szCs w:val="16"/>
          <w:i w:val="1"/>
          <w:iCs w:val="1"/>
          <w:color w:val="auto"/>
        </w:rPr>
      </w:pPr>
    </w:p>
    <w:p>
      <w:pPr>
        <w:ind w:left="340" w:hanging="332"/>
        <w:spacing w:after="0" w:line="270" w:lineRule="auto"/>
        <w:tabs>
          <w:tab w:leader="none" w:pos="331"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defined benefit plans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include freight and other receivables reduced by an allowance for doubtful accounts. At March 31, 2026, and December 31, 2025, our accounts receivable were reduced by $7 million and $ 4 million, respectively. Receivables not expected to be collected in one year and the associated allowances are classified as other assets in our Condensed Consolidated Statements of Financial Position. At March 31, 2026, and December 31, 2025, receivables classified as other assets were reduced by allowances of $62 million and $64 million, respectively.</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On July 28, 2025, the Railroad completed the renewal of the receivables securitization facility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Facility). The new $600 million, 3 -year facility replaces the prior $800 million facility and will mature in July 2028.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recorded under the Receivables Facility was $0 at both March 31, 2026, and December 31, 2025. During the three months ended March 31, 2026, we issued $0 and repaid $ 0 under the Receivables Facility. The Receivables Facility was supported by $1.7 billion and $1.5 billion of accounts receivable as collateral at March 31, 2026 and December 31, 2025, respectively, which, as a retained interest, is included in accounts receivable, net in our Condensed Consolidated Statements of Financial Position.</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$600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$1 million for both the three months ended March 31, 2026 and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March 31, 2026</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5,475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11,815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12,893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4,361</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8,532</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24,719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6,186</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18,533</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64,129</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43,221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6,258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1,957</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14,492</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9,003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1,514</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59,955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453"/>
        </w:trPr>
        <w:tc>
          <w:tcPr>
            <w:tcW w:w="4400" w:type="dxa"/>
            <w:vAlign w:val="bottom"/>
            <w:tcBorders>
              <w:top w:val="single" w:sz="8" w:color="auto"/>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December 31, 2025</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5,471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11,811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12,779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4,305</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8,474</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4,337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24,610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6,080</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18,530</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63,782</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43,152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6,113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1,107</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1,973</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14,324</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8,864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1,413</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59,645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93" w:lineRule="exact"/>
        <w:rPr>
          <w:rFonts w:ascii="Arial" w:cs="Arial" w:eastAsia="Arial" w:hAnsi="Arial"/>
          <w:sz w:val="16"/>
          <w:szCs w:val="16"/>
          <w:i w:val="1"/>
          <w:iCs w:val="1"/>
          <w:color w:val="auto"/>
        </w:rPr>
      </w:pPr>
    </w:p>
    <w:p>
      <w:pPr>
        <w:ind w:left="5540"/>
        <w:spacing w:after="0"/>
        <w:rPr>
          <w:rFonts w:ascii="Arial" w:cs="Arial" w:eastAsia="Arial" w:hAnsi="Arial"/>
          <w:sz w:val="16"/>
          <w:szCs w:val="16"/>
          <w:i w:val="1"/>
          <w:iCs w:val="1"/>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Income and other taxes payable</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accruals</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Accrued casualty costs</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rents payable</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6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63"/>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other current liabilities</w:t>
            </w:r>
          </w:p>
        </w:tc>
        <w:tc>
          <w:tcPr>
            <w:tcW w:w="2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March 31, 2026, and December 31, 2025, the Company had $300 million and $250 million of short-term investments, respectively. All short-term investments have a maturity of three to twelve months from the date of purchase and are classified as held-to-maturity.</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March 31, 2026, the fair value of total debt was $25.0 billion, approximately $5.7 billion less than the carrying value. At December 31, 2025, the fair value of total debt was $26.5 billion, approximately $5.3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March 31, 2026, we had $2.0 billion of credit available under our revolving credit facility (the Facility),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for general corporate purposes and supports the issuance of commercial paper. During the three months ended March 31, 2026 we issued $0 and repaid $0 through the Facility. As of March 31, 2026, we had $0 outstanding with the Facility.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Employee Retirement Income Security Act of 1974 (ERISA), and unamortized debt discount and deferred debt issuance costs. At March 31, 2026, the Company was in compliance with the adjusted debt-to-EBITDA coverage ratio, which allows us to carry up to $ 48.2 billion of debt (as defined in the Facility), and we had $32.3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we issued $0 and repaid $0 of commercial paper. As of March 31, 2026, we had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We filed an automatic shelf registration statement with the SEC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became effective on February 13, 2024. On July 28, 2025, the Board of Directors authorized the issuance of up to $20.0 billion of debt securities. Under our shelf registration, we may issue, from time to time, any combination of debt securities, preferred stock, common stock, or warrants for debt securities or preferred stock in one or more offerings.</w:t>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2026, we did not issue any debt securities under this registration statement. At March 31, 2026, we had remaining authority from the Board of Directors to issue up to $20.0 billion of debt securities under our shelf registration.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both March 31, 2026, and December 31, 2025, we recorded $0 of borrowings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Facility as secured debt. (See further discussion in the "Receivables Securitization Facility" section of Note 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17 for a discussion on the pending acquisition of Norfolk Southern.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 parties.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uncertainty surrounding the ultimate outcome of personal injury claims, it is reasonably possible that future costs to settle these claims may range from approximately $406 million to $523 million. We record an accrual at the low end of the range as no amount of loss within the range is more probable than any other. Estimates can vary over time due to evolving trends in litigation.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4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c>
          <w:tcPr>
            <w:tcW w:w="20" w:type="dxa"/>
            <w:vAlign w:val="bottom"/>
          </w:tcPr>
          <w:p>
            <w:pPr>
              <w:spacing w:after="0"/>
              <w:rPr>
                <w:sz w:val="22"/>
                <w:szCs w:val="22"/>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3"/>
                <w:szCs w:val="23"/>
                <w:color w:val="auto"/>
              </w:rPr>
            </w:pP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color w:val="auto"/>
              </w:rPr>
              <w:t>Current year accruals</w:t>
            </w:r>
          </w:p>
        </w:tc>
        <w:tc>
          <w:tcPr>
            <w:tcW w:w="4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2"/>
                <w:szCs w:val="22"/>
                <w:color w:val="auto"/>
              </w:rPr>
            </w:pPr>
          </w:p>
        </w:tc>
      </w:tr>
      <w:tr>
        <w:trPr>
          <w:trHeight w:val="278"/>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for prior years</w:t>
            </w:r>
          </w:p>
        </w:tc>
        <w:tc>
          <w:tcPr>
            <w:tcW w:w="4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6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4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2"/>
                <w:szCs w:val="22"/>
                <w:color w:val="auto"/>
              </w:rPr>
            </w:pPr>
          </w:p>
        </w:tc>
      </w:tr>
      <w:tr>
        <w:trPr>
          <w:trHeight w:val="26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 at March 31,</w:t>
            </w:r>
          </w:p>
        </w:tc>
        <w:tc>
          <w:tcPr>
            <w:tcW w:w="44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2"/>
                <w:szCs w:val="22"/>
                <w:color w:val="auto"/>
              </w:rPr>
            </w:pPr>
          </w:p>
        </w:tc>
      </w:tr>
      <w:tr>
        <w:trPr>
          <w:trHeight w:val="26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 ending balance at March 31,</w:t>
            </w:r>
          </w:p>
        </w:tc>
        <w:tc>
          <w:tcPr>
            <w:tcW w:w="4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2"/>
                <w:szCs w:val="22"/>
                <w:color w:val="auto"/>
              </w:rPr>
            </w:pPr>
          </w:p>
        </w:tc>
      </w:tr>
      <w:tr>
        <w:trPr>
          <w:trHeight w:val="567"/>
        </w:trPr>
        <w:tc>
          <w:tcPr>
            <w:tcW w:w="4640" w:type="dxa"/>
            <w:vAlign w:val="bottom"/>
          </w:tcPr>
          <w:p>
            <w:pPr>
              <w:spacing w:after="0"/>
              <w:rPr>
                <w:sz w:val="24"/>
                <w:szCs w:val="24"/>
                <w:color w:val="auto"/>
              </w:rPr>
            </w:pPr>
          </w:p>
        </w:tc>
        <w:tc>
          <w:tcPr>
            <w:tcW w:w="4440" w:type="dxa"/>
            <w:vAlign w:val="bottom"/>
          </w:tcPr>
          <w:p>
            <w:pPr>
              <w:jc w:val="right"/>
              <w:ind w:right="327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6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346 sites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or may be liable for remediation costs associated with alleged contamination or for violations of environmental requirements. This includes 29 sites that are the subject of actions taken by the U.S. government, including 17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9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Accruals</w:t>
            </w:r>
          </w:p>
        </w:tc>
        <w:tc>
          <w:tcPr>
            <w:tcW w:w="2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9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 at March 31,</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ending balance at March 31,</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 Programs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April 1, 2025, our Board of Directors authorized the repurchase of up to 100 million shares of our common stock by March 31, 2028. As of March 31, 2026, we repurchased a total of 6.1 million shares of our common stock under the 2025 authorization. As part of the pending acquisition of Norfolk Southern described in Note 17, we paused our share repurchases.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previous authorization, which was effective April 1, 2022, through March 31, 2025, was approved by our Board of Directors for up to 100 million shares of common stock. We repurchased a total of 31.7 million shares of our common stock under the 2022 authorization.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in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29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Number of shares purchased</w:t>
            </w:r>
          </w:p>
        </w:tc>
        <w:tc>
          <w:tcPr>
            <w:tcW w:w="560" w:type="dxa"/>
            <w:vAlign w:val="bottom"/>
          </w:tcPr>
          <w:p>
            <w:pPr>
              <w:spacing w:after="0"/>
              <w:rPr>
                <w:sz w:val="20"/>
                <w:szCs w:val="20"/>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i w:val="1"/>
                <w:iCs w:val="1"/>
                <w:color w:val="auto"/>
              </w:rPr>
              <w:t>Average price paid [a]</w:t>
            </w:r>
          </w:p>
        </w:tc>
      </w:tr>
      <w:tr>
        <w:trPr>
          <w:trHeight w:val="23"/>
        </w:trPr>
        <w:tc>
          <w:tcPr>
            <w:tcW w:w="54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i w:val="1"/>
                <w:iCs w:val="1"/>
                <w:color w:val="auto"/>
              </w:rPr>
              <w:t>2026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i w:val="1"/>
                <w:iCs w:val="1"/>
                <w:color w:val="auto"/>
              </w:rPr>
              <w:t>2026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63"/>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quarter [b]</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5,745,601</w:t>
            </w:r>
          </w:p>
        </w:tc>
        <w:tc>
          <w:tcPr>
            <w:tcW w:w="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250.74</w:t>
            </w:r>
          </w:p>
        </w:tc>
      </w:tr>
    </w:tbl>
    <w:p>
      <w:pPr>
        <w:spacing w:after="0" w:line="177" w:lineRule="exact"/>
        <w:rPr>
          <w:sz w:val="20"/>
          <w:szCs w:val="20"/>
          <w:color w:val="auto"/>
        </w:rPr>
      </w:pPr>
    </w:p>
    <w:p>
      <w:pPr>
        <w:ind w:left="340" w:right="20" w:hanging="332"/>
        <w:spacing w:after="0" w:line="261" w:lineRule="auto"/>
        <w:tabs>
          <w:tab w:leader="none" w:pos="33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the period of the final settlement, the average price under the accelerated share repurchase programs (ASRs) is calculated based on the total program value less the value assigned to the initial delivery of shares. The average price of the completed 2025 ASRs was $229.32.</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4,815,022 shares repurchased in February 2025 under the ASRs at the average price of $251.73.</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Accelerated share repurchase programs </w:t>
      </w:r>
      <w:r>
        <w:rPr>
          <w:rFonts w:ascii="Arial" w:cs="Arial" w:eastAsia="Arial" w:hAnsi="Arial"/>
          <w:sz w:val="18"/>
          <w:szCs w:val="18"/>
          <w:color w:val="auto"/>
        </w:rPr>
        <w:t>– The Company has established ASRs with financial institutions to repurchase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February 18, 2025, the Company received 4,815,022 shares of its common stock repurchased under ASRs for an aggregate of $1.5 billion. Upon settlement of these ASRs in the second quarter of 2025, we received 1,795,904 additional shares.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by renting rail cars at stated rates.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UPRR had $2.0 billion recognized as investments related to TTX in our Condensed Consolidated Statements of Financial Position as of both March 31, 2026, and December 31, 2025. TTX car hire expense of $ 105 million and $112 million for the three months ended March 31, 2026 and 2025, respectively, are included in equipment and other rents in our Condensed Consolidated Statements of Income. In addition, UPRR had accounts payable to TTX of $70 million and $72 million at March 31, 2026, and December 31, 2025,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Pending Acquisition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Norfolk Southern Corporation (Norfolk Southern), a Virginia corporation, is one of the nation’s premier transportation companies, moving goods and materials that help drive the U.S. economy. Norfolk Southern connects customers to markets and communities to economic opportunity with safe, reliable, and cost-effective shipping solutions. Its Norfolk Southern Railway Company subsidiary operates in 22 states and the District of Columbia. Norfolk Southern is a major transporter of industrial products, including agriculture, forest, and consumer products, chemicals, and metals and construction materials. In addition, in the East, it serves every major container port and operates an extensive intermodal network. Norfolk Southern is also a principal carrier of coal, automobiles, and automotive parts. Norfolk Southern’s stock is publicly traded on the NYSE under the ticker symbol NSC.</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28, 2025, Union Pacific, Norfolk Southern, Ruby Merger Sub 1 Corporation, and Ruby Merger Sub 2 LLC, entered into an agreement and plan of merger (the merger agreement). The merger agreement provides, among other things, for the acquisition of Norfolk Southern by Union Pacific, subject to the satisfaction or waiver of the conditions specified therein, through two mergers: (i) first, Ruby Merger Sub 1 Corporation will merge with and into Norfolk Southern with Norfolk Southern surviving as a direct, wholly owned subsidiary of Union Pacific (the first merger); and (ii) second, immediately after the first merger, Norfolk Southern will merge with and into Ruby Merger Sub 2 LLC with Ruby Merger Sub 2 LLC surviving as a direct, wholly owned subsidiary of Union Pacific (second merger). The first merger and the second merger are collectively referred to as the mergers.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effective time of the first merger (first effective time), each share of Norfolk Southern common stock issued and outstanding immediately prior to the first effective time, except for shares held by Union Pacific or Norfolk Southern, or their direct or indirect subsidiaries (other than, with respect to shares held by Union Pacific, Norfolk Southern, Ruby Merger Sub 1 Corporation, or Ruby Merger Sub 2 LLC, shares held on behalf of third parties), will be converted automatically into the right to receive one validly issued, fully paid, and nonassessable share of Union Pacific common stock and $88.82 in cash, without interest. Assuming completion of the mergers, we expect approximately 225 million shares of common stock to be issued and approximately $20 billion of cash consideration to be paid. The cash consideration is expected to be funded through a combination of new debt and cash accumulated through cash provided by operating activities. The actual value of the transaction may fluctuate based upon changes in the price of Union Pacific common stock and the number of Norfolk Southern common shares outstanding at the first effective time.</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combination of Norfolk Southern and Union Pacific would create America’s first transcontinental railroad that spans over 50,000 miles across 43 states with access to 10 international interchanges and approximately 100 ports.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Union Pacific filed a registration statement on Form S-4 (File No. 333-290282), which the SEC declared effective on September 30, 2025. Union Pacific and Norfolk Southern each also filed definitive proxy statements on October 1, 2025. Both Union Pacific's and Norfolk Southern's special meetings of shareholders was held on November 14, 2025. Union Pacific shareholders approved the share issuance proposal, and Norfolk Southern shareholders approved the merger agreement proposal (each as described in the companies’ definitive proxy statements).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Completion of the mergers is conditioned on the receipt of Surface Transportation Board (STB) approval and a number of other conditions before the mergers can be consummated, as described in the merger agreement. On December 19, 2025, Union Pacific and Norfolk Southern (applicants) submitted a joint application to the STB seeking approval of the mergers. On December 19, 2025, the STB issued a decision inviting public comment on the application’s completeness. Comments were due December 29, 2025. The applicants replied to comments on January 2, 2026. On January 16, 2026, the STB issued a decision that the joint application was not accepted as complete. The decision does not result in the dismissal of the merger proceeding nor should it be read as an indication of how the STB might ultimately assess any future revised application. The applicants are permitted to file a revised application, which would commence a new review by the STB for completeness. The STB decision directed the applicants to file a letter by February 17, 2026, indicating if and when the applicants anticipate filing a revised application. On February 17, 2026, the applicants filed a letter indicating that a revised application would be filed on April 30, 2026.</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Norfolk Southern's management and Board of Directors will continue to manage Norfolk Southern until the first effective time, pursuing its independent business plans and growth strategies. Subject to completion of the mergers, the acquisition is expected to be accounted for as a business combination using the acquisition method of accounting and is currently expected to be completed in 2027.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Union Pacific incurred the following acquisition-related expense associated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3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w:t>
            </w:r>
          </w:p>
        </w:tc>
        <w:tc>
          <w:tcPr>
            <w:tcW w:w="3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648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58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78"/>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services and materials</w:t>
            </w:r>
          </w:p>
        </w:tc>
        <w:tc>
          <w:tcPr>
            <w:tcW w:w="3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r>
      <w:tr>
        <w:trPr>
          <w:trHeight w:val="264"/>
        </w:trPr>
        <w:tc>
          <w:tcPr>
            <w:tcW w:w="6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3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6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acquisition-related expense [a]</w:t>
            </w:r>
          </w:p>
        </w:tc>
        <w:tc>
          <w:tcPr>
            <w:tcW w:w="35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bl>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Certain acquisition-related costs are non-deductible for income tax purposes.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deferred share issuance costs of $13 million were recorded and will be recognized in paid-in-surplus upon completion of the mergers.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Both Union Pacific and Norfolk Southern may be required to pay the other a termination fee of $2.5 billion if the merger agreement is terminated under certain circumstances described in the merger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2026, compared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2025</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2025 Annual Report on Form 10-K. During the first three months of 2026, there have not been any significant changes with respect to our critical accounting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summary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reported earnings of $2.87 per diluted share on net income of $1.7 billion and an operating ratio of 60.5% in the first quarter of 2026 compared to earnings of $2.70 per diluted share on net income of $1.6 billion and an operating ratio of 60.7% in the first quarter of 2025. Freight revenues increased 4% in the first quarter of 2026 compared to the same period in 2025 as core pricing gains, higher fuel surcharge revenues, and business mix more than offset a 1% reduction in volume. Higher carloads in domestic intermodal, coal, grain, and industrial chemicals and plastics were more than offset by lower international intermodal carloads, which declined 28% in the first quarter of 2026, and fewer automotive shipments.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Building on solid performance levels throughout 2025, our rail network remained fluid, while improving service levels and operational execution, to achieve best-ever first quarter key operating metric results. Freight car velocity increased 9% and terminal dwell improved 11%. We efficiently aligned operational resources to meet changing customer demands to more bulk and manifest carloads, while increasing train length 3%, despite lower intermodal carloads. Workforce productivity improved 7% and locomotive productivity improved 6% as we optimized network resources while improving both service performance index measures.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3% compared to the first quarter of 2025 due to inflation, higher fuel prices, acquisition-related expenses (see Note 17 to the Condensed Consolidated Financial Statements, Item 1), and higher depreciation, partially offset by productivity. Operating income increased 4% to $2.5 billion, and the operating ratio of 60.5% improved 0.2 points, reflecting top-line growth and productivity gains compared to the first quarter of 2025.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revenues</w:t>
            </w:r>
          </w:p>
        </w:tc>
        <w:tc>
          <w:tcPr>
            <w:tcW w:w="2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5,691</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Other subsidiary revenues</w:t>
            </w:r>
          </w:p>
        </w:tc>
        <w:tc>
          <w:tcPr>
            <w:tcW w:w="2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32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(10)</w:t>
            </w:r>
          </w:p>
        </w:tc>
      </w:tr>
      <w:tr>
        <w:trPr>
          <w:trHeight w:val="27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Accessorial revenues</w:t>
            </w:r>
          </w:p>
        </w:tc>
        <w:tc>
          <w:tcPr>
            <w:tcW w:w="23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w:t>
            </w:r>
          </w:p>
        </w:tc>
      </w:tr>
      <w:tr>
        <w:trPr>
          <w:trHeight w:val="26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w:t>
            </w:r>
          </w:p>
        </w:tc>
      </w:tr>
      <w:tr>
        <w:trPr>
          <w:trHeight w:val="26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6,027</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 (carloads) and average revenue per car (ARC). Changes in price, traffic mix, and fuel surcharges drive ARC. Customer incentives, which are primarily provided for shipping to/from specific locations or based on cumulative volume, are recorded as a reduction to operating revenues. Customer incentives that include variable consideration based on cumulative volume are estimated using the expected value method, which is based on available historical, current, and forecasted volume,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subsidiary revenues (primarily logistics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Freight revenues increased 4% on 1% lower carloads in the first quarter of 2026 compared to the same period in 2025 driven by core pricing gains, higher fuel surcharge revenue, and a more favorable business mix (decreases in shipments with lower ARC, such as international intermodal). Higher carloads in domestic intermodal, coal, grain, and industrial chemicals and plastics shipments were more than offset by lower international intermodal carloads and automotive shipments.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Each of our commodity groups includes revenues from fuel surcharges. Freight revenues from fuel surcharge programs increased to $608 million in the first quarter of 2026 compared to $ 565 million in the same period of 2025 due to higher fuel prices, which were partially offset by the fuel price lag impact (it generally takes up to two months for changing fuel prices to affect fuel surcharge recoveries) and lower volumes.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subsidiary revenues decreased in the first quarter of 2026 compared to 2025 primarily driven by the transfer of commuter operations to Metra, lower demand for auto part shipments at our subsidiary that brokers intermodal and transload logistics services, and the sale of a portion of revenue-generating assets in late 2025 from our technology subsidiary. Accessorial revenues increased in the first quarter 2026 compared to 2025 driven by increased storage and intermodal accessorial revenues.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Freight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950</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236</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210</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12</w:t>
            </w:r>
          </w:p>
        </w:tc>
      </w:tr>
      <w:tr>
        <w:trPr>
          <w:trHeight w:val="27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w:t>
            </w:r>
          </w:p>
        </w:tc>
      </w:tr>
      <w:tr>
        <w:trPr>
          <w:trHeight w:val="263"/>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416</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w:t>
            </w:r>
          </w:p>
        </w:tc>
      </w:tr>
      <w:tr>
        <w:trPr>
          <w:trHeight w:val="263"/>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1,836</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655</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607</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8</w:t>
            </w:r>
          </w:p>
        </w:tc>
      </w:tr>
      <w:tr>
        <w:trPr>
          <w:trHeight w:val="27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555</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521</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318</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w:t>
            </w:r>
          </w:p>
        </w:tc>
      </w:tr>
      <w:tr>
        <w:trPr>
          <w:trHeight w:val="271"/>
        </w:trPr>
        <w:tc>
          <w:tcPr>
            <w:tcW w:w="7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663</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w:t>
            </w:r>
          </w:p>
        </w:tc>
      </w:tr>
      <w:tr>
        <w:trPr>
          <w:trHeight w:val="263"/>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2,191</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2,082</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581</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w:t>
            </w:r>
          </w:p>
        </w:tc>
      </w:tr>
      <w:tr>
        <w:trPr>
          <w:trHeight w:val="263"/>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1,192</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w:t>
            </w:r>
          </w:p>
        </w:tc>
      </w:tr>
      <w:tr>
        <w:trPr>
          <w:trHeight w:val="263"/>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1,676</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1,773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w:t>
            </w:r>
          </w:p>
        </w:tc>
      </w:tr>
      <w:tr>
        <w:trPr>
          <w:trHeight w:val="26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5,893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5,691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r>
      <w:tr>
        <w:trPr>
          <w:trHeight w:val="48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Revenue carloads</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for the three months ended March 31,</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214</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6</w:t>
            </w:r>
          </w:p>
        </w:tc>
      </w:tr>
      <w:tr>
        <w:trPr>
          <w:trHeight w:val="27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w:t>
            </w:r>
          </w:p>
        </w:tc>
      </w:tr>
      <w:tr>
        <w:trPr>
          <w:trHeight w:val="264"/>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185</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w:t>
            </w:r>
          </w:p>
        </w:tc>
      </w:tr>
      <w:tr>
        <w:trPr>
          <w:trHeight w:val="263"/>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491</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169</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7</w:t>
            </w:r>
          </w:p>
        </w:tc>
      </w:tr>
      <w:tr>
        <w:trPr>
          <w:trHeight w:val="27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(4)</w:t>
            </w:r>
          </w:p>
        </w:tc>
      </w:tr>
      <w:tr>
        <w:trPr>
          <w:trHeight w:val="271"/>
        </w:trPr>
        <w:tc>
          <w:tcPr>
            <w:tcW w:w="7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w:t>
            </w:r>
          </w:p>
        </w:tc>
      </w:tr>
      <w:tr>
        <w:trPr>
          <w:trHeight w:val="264"/>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537</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195</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w:t>
            </w:r>
          </w:p>
        </w:tc>
      </w:tr>
      <w:tr>
        <w:trPr>
          <w:trHeight w:val="264"/>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874</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w:t>
            </w:r>
          </w:p>
        </w:tc>
      </w:tr>
      <w:tr>
        <w:trPr>
          <w:trHeight w:val="263"/>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1,069</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w:t>
            </w:r>
          </w:p>
        </w:tc>
      </w:tr>
      <w:tr>
        <w:trPr>
          <w:trHeight w:val="26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2,097</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49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Average revenue per car</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three months ended March 31,</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4,434</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4,564</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4,339</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5</w:t>
            </w:r>
          </w:p>
        </w:tc>
      </w:tr>
      <w:tr>
        <w:trPr>
          <w:trHeight w:val="27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6,414</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6,058</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w:t>
            </w:r>
          </w:p>
        </w:tc>
      </w:tr>
      <w:tr>
        <w:trPr>
          <w:trHeight w:val="263"/>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2,250</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w:t>
            </w:r>
          </w:p>
        </w:tc>
      </w:tr>
      <w:tr>
        <w:trPr>
          <w:trHeight w:val="264"/>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3,700</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3,744</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3,620</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3,601</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1</w:t>
            </w:r>
          </w:p>
        </w:tc>
      </w:tr>
      <w:tr>
        <w:trPr>
          <w:trHeight w:val="27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3,028</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2,986</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w:t>
            </w:r>
          </w:p>
        </w:tc>
      </w:tr>
      <w:tr>
        <w:trPr>
          <w:trHeight w:val="263"/>
        </w:trPr>
        <w:tc>
          <w:tcPr>
            <w:tcW w:w="786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6,505</w:t>
            </w:r>
          </w:p>
        </w:tc>
        <w:tc>
          <w:tcPr>
            <w:tcW w:w="30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6,264</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4</w:t>
            </w:r>
          </w:p>
        </w:tc>
      </w:tr>
      <w:tr>
        <w:trPr>
          <w:trHeight w:val="271"/>
        </w:trPr>
        <w:tc>
          <w:tcPr>
            <w:tcW w:w="7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4,505</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4,433</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w:t>
            </w:r>
          </w:p>
        </w:tc>
      </w:tr>
      <w:tr>
        <w:trPr>
          <w:trHeight w:val="264"/>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3,911</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3,877</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3,058</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2,971</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w:t>
            </w:r>
          </w:p>
        </w:tc>
      </w:tr>
      <w:tr>
        <w:trPr>
          <w:trHeight w:val="263"/>
        </w:trPr>
        <w:tc>
          <w:tcPr>
            <w:tcW w:w="7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1,408</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1,364</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w:t>
            </w:r>
          </w:p>
        </w:tc>
      </w:tr>
      <w:tr>
        <w:trPr>
          <w:trHeight w:val="264"/>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1,718</w:t>
            </w: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1,658</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w:t>
            </w:r>
          </w:p>
        </w:tc>
      </w:tr>
      <w:tr>
        <w:trPr>
          <w:trHeight w:val="26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2,829</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2,714</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r>
    </w:tbl>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ectPr>
          <w:pgSz w:w="11900" w:h="16838" w:orient="portrait"/>
          <w:cols w:equalWidth="0" w:num="1">
            <w:col w:w="11220"/>
          </w:cols>
          <w:pgMar w:left="320" w:top="121" w:right="359" w:bottom="42"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42"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 refrigerated, and coal and renewables. Freight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bulk shipments increased 10% in the first quarter of 2026 compared to 2025 due to 12% volume growth, core pricing gains, and higher fuel surcharge revenues, partially offset by business mix (from increased coal shipments). Bulk carload growth was driven by increased coal shipments from continued higher coal usage in electricity generation due to elevated natural gas prices combined with business wins, and also driven by increased export grain shipments, partially offset by lower food and refrigerated carloads.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 and minerals, forest products, and energy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markets. Freight revenues from industrial shipments increased 5% in the first quarter of 2026 compared to 2025 due to increased volumes, core pricing gains, and higher fuel surcharge revenues, partially offset by business mix (from higher rock shipments and lower lumber shipments). The 4% quarterly carload improvement was driven by increased demand for industrial chemicals and plastics and construction materials coupled with business development efforts, which more than offset reduced shipments from continued weak lumber demand.</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 merchandise in intermodal containers, both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Premium freight revenues decreased 5% in the first quarter of 2026 compared to 2025 driven by 9% lower volumes, which were partially offset by higher fuel surcharge revenues, core pricing gains, and business mix (from reduced international intermodal shipments). First quarter of 2026 intermodal volumes were down 9% driven by a 28% reduction in international intermodal carloads as a result of elevated U.S. West Coast imports in the first quarter of 2025 that did not recur, partially offset by continued strong domestic intermodal growth. Automotive shipments decreased 6% in the first quarter of 2026 compared to 2025 due to lower production as a result of weaker finished vehicle demand.</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Freight revenues from each of our commodity groups includes revenues from shipments to and from Mexico,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 to $729 million in the first quarter of 2026 compared to 2025 driven by 3% volume growth due to increased intermodal, partially offset by lower beverage, steel, and automotive shipments.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3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1,212</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Purchased services and materials</w:t>
            </w:r>
          </w:p>
        </w:tc>
        <w:tc>
          <w:tcPr>
            <w:tcW w:w="2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32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631</w:t>
            </w:r>
          </w:p>
        </w:tc>
        <w:tc>
          <w:tcPr>
            <w:tcW w:w="112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7</w:t>
            </w:r>
          </w:p>
        </w:tc>
      </w:tr>
      <w:tr>
        <w:trPr>
          <w:trHeight w:val="27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w:t>
            </w:r>
          </w:p>
        </w:tc>
        <w:tc>
          <w:tcPr>
            <w:tcW w:w="23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112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9"/>
              </w:rPr>
              <w:t>7</w:t>
            </w: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633</w:t>
            </w:r>
          </w:p>
        </w:tc>
        <w:tc>
          <w:tcPr>
            <w:tcW w:w="32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610</w:t>
            </w:r>
          </w:p>
        </w:tc>
        <w:tc>
          <w:tcPr>
            <w:tcW w:w="112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4</w:t>
            </w:r>
          </w:p>
        </w:tc>
      </w:tr>
      <w:tr>
        <w:trPr>
          <w:trHeight w:val="27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other rents</w:t>
            </w:r>
          </w:p>
        </w:tc>
        <w:tc>
          <w:tcPr>
            <w:tcW w:w="23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112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(9)</w:t>
            </w:r>
          </w:p>
        </w:tc>
      </w:tr>
      <w:tr>
        <w:trPr>
          <w:trHeight w:val="264"/>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359</w:t>
            </w:r>
          </w:p>
        </w:tc>
        <w:tc>
          <w:tcPr>
            <w:tcW w:w="11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9"/>
              </w:rPr>
              <w:t>1</w:t>
            </w:r>
          </w:p>
        </w:tc>
      </w:tr>
      <w:tr>
        <w:trPr>
          <w:trHeight w:val="26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3,656</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increased 3% compared to the first quarter of 2025 due to inflation, higher fuel prices, acquisition-related expenses (see Note 17 to the Condensed Consolidated Financial Statements, Item 1), and higher depreciation expense. These increases were partially offset by productivity.</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For the first quarter of 2026, compensation and benefits expense increased 1% compared to 2025 due to wage inflation and higher incentive compensation costs, which was partially offset by lower employee levels.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increased 7% in the first quarter of 2026 compared to 2025 driven by acquisition-related expenses and inflation offset by lower costs associated with improved locomotive productivity.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expense relates to road property, including rail, ties, ballast, and other track material.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4% for the first quarter of 2026 compared to 2025 driven by a higher depreciable asset base.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non-highway vehicles and heavy equipment. Fuel expense increased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2026 compared to the same period in 2025 driven by an increase in locomotive diesel fuel prices and gross ton-miles, partially offset by 4% improvement in the fuel consumption rate (computed as gallons of fuel consumed divided by gross ton-miles in thousands). Locomotive diesel fuel prices averaged $2.69 and $2.51 per gallon (including taxes and transportation costs) in the first quarter of 2026 and 2025, respectively.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 offset by equity income from certain equity method investments. Equipment and other rents expense decreased 9% in the first quarter of 2026 driven by lower car hire expense attributable to improved cycle times and lower operating equipment lease expense, partially offset by lower equity income.</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expense includes state and local taxes; freight, equipment, and property damage; utilities; insurance; personal injury;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employee travel; telephone and cellular; computer software; bad debt; and other general expenses. Other expense increased 1% in the first quarter of 2026 compared to 2025 driven by higher equipment and property damage costs, property taxes, and bad debt expense. These increases are partially offset by lower personal injury costs.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 operating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1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17%</w:t>
            </w: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36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1120" w:type="dxa"/>
            <w:vAlign w:val="bottom"/>
          </w:tcPr>
          <w:p>
            <w:pPr>
              <w:ind w:left="620"/>
              <w:spacing w:after="0"/>
              <w:rPr>
                <w:sz w:val="20"/>
                <w:szCs w:val="20"/>
                <w:color w:val="auto"/>
              </w:rPr>
            </w:pPr>
            <w:r>
              <w:rPr>
                <w:rFonts w:ascii="Arial" w:cs="Arial" w:eastAsia="Arial" w:hAnsi="Arial"/>
                <w:sz w:val="18"/>
                <w:szCs w:val="18"/>
                <w:b w:val="1"/>
                <w:bCs w:val="1"/>
                <w:color w:val="auto"/>
              </w:rPr>
              <w:t>(1)</w:t>
            </w:r>
          </w:p>
        </w:tc>
      </w:tr>
      <w:tr>
        <w:trPr>
          <w:trHeight w:val="271"/>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(501)</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increased in the first quarter of 2026 compared to 2025 driven by higher real estate income. See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Item 1, for additional detail.</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decreased slightly in the first quarter of 2026 compared to 2025 as a result of lower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debt levels. The effective interest rate was 4.1% for both periods. The weighted-average debt levels were $31.4 billion and $31.9 billion for first quarter of 2026 and 2025, respectively.</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increased 5% in the first quarter of 2026 compared to 2025 due to higher pre-tax income.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rates were 23.7% and 23.6% for the first quarter of 2026 and 2025,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 a number of key performance measures weekly to the STB. We provide these on our website at https://investor.unionpacific.com/key-performance-metrics.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in striving to deliver the service product we sold to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three months ended March 31,</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2026</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2025</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ton-miles (GTMs) (billions)</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220.6</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212.8</w:t>
            </w: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4%</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Revenue ton-miles (billions)</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111.5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104.0</w:t>
            </w:r>
          </w:p>
        </w:tc>
        <w:tc>
          <w:tcPr>
            <w:tcW w:w="1040" w:type="dxa"/>
            <w:vAlign w:val="bottom"/>
          </w:tcPr>
          <w:p>
            <w:pPr>
              <w:ind w:left="660"/>
              <w:spacing w:after="0"/>
              <w:rPr>
                <w:sz w:val="20"/>
                <w:szCs w:val="20"/>
                <w:color w:val="auto"/>
              </w:rPr>
            </w:pPr>
            <w:r>
              <w:rPr>
                <w:rFonts w:ascii="Arial" w:cs="Arial" w:eastAsia="Arial" w:hAnsi="Arial"/>
                <w:sz w:val="18"/>
                <w:szCs w:val="18"/>
                <w:b w:val="1"/>
                <w:bCs w:val="1"/>
                <w:color w:val="auto"/>
              </w:rPr>
              <w:t>7</w:t>
            </w:r>
          </w:p>
        </w:tc>
      </w:tr>
      <w:tr>
        <w:trPr>
          <w:trHeight w:val="27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car velocity (daily miles per car)</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235</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9</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Average train speed (miles per hour) [a]</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25.5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040" w:type="dxa"/>
            <w:vAlign w:val="bottom"/>
          </w:tcPr>
          <w:p>
            <w:pPr>
              <w:ind w:left="660"/>
              <w:spacing w:after="0"/>
              <w:rPr>
                <w:sz w:val="20"/>
                <w:szCs w:val="20"/>
                <w:color w:val="auto"/>
              </w:rPr>
            </w:pPr>
            <w:r>
              <w:rPr>
                <w:rFonts w:ascii="Arial" w:cs="Arial" w:eastAsia="Arial" w:hAnsi="Arial"/>
                <w:sz w:val="18"/>
                <w:szCs w:val="18"/>
                <w:b w:val="1"/>
                <w:bCs w:val="1"/>
                <w:color w:val="auto"/>
              </w:rPr>
              <w:t>8</w:t>
            </w:r>
          </w:p>
        </w:tc>
      </w:tr>
      <w:tr>
        <w:trPr>
          <w:trHeight w:val="27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terminal dwell time (hours) [a]</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Locomotive productivity (GTMs per horsepower day)</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144</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1040" w:type="dxa"/>
            <w:vAlign w:val="bottom"/>
          </w:tcPr>
          <w:p>
            <w:pPr>
              <w:ind w:left="660"/>
              <w:spacing w:after="0"/>
              <w:rPr>
                <w:sz w:val="20"/>
                <w:szCs w:val="20"/>
                <w:color w:val="auto"/>
              </w:rPr>
            </w:pPr>
            <w:r>
              <w:rPr>
                <w:rFonts w:ascii="Arial" w:cs="Arial" w:eastAsia="Arial" w:hAnsi="Arial"/>
                <w:sz w:val="18"/>
                <w:szCs w:val="18"/>
                <w:b w:val="1"/>
                <w:bCs w:val="1"/>
                <w:color w:val="auto"/>
              </w:rPr>
              <w:t>6</w:t>
            </w:r>
          </w:p>
        </w:tc>
      </w:tr>
      <w:tr>
        <w:trPr>
          <w:trHeight w:val="27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Train length (feet)</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9,746</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9,490</w:t>
            </w: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3</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Intermodal service performance index (%)</w:t>
            </w:r>
          </w:p>
        </w:tc>
        <w:tc>
          <w:tcPr>
            <w:tcW w:w="2900" w:type="dxa"/>
            <w:vAlign w:val="bottom"/>
          </w:tcPr>
          <w:p>
            <w:pPr>
              <w:jc w:val="right"/>
              <w:ind w:right="190"/>
              <w:spacing w:after="0"/>
              <w:rPr>
                <w:sz w:val="20"/>
                <w:szCs w:val="20"/>
                <w:color w:val="auto"/>
              </w:rPr>
            </w:pPr>
            <w:r>
              <w:rPr>
                <w:rFonts w:ascii="Arial" w:cs="Arial" w:eastAsia="Arial" w:hAnsi="Arial"/>
                <w:sz w:val="18"/>
                <w:szCs w:val="18"/>
                <w:b w:val="1"/>
                <w:bCs w:val="1"/>
                <w:color w:val="auto"/>
              </w:rPr>
              <w:t>98</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 pts</w:t>
            </w:r>
          </w:p>
        </w:tc>
      </w:tr>
      <w:tr>
        <w:trPr>
          <w:trHeight w:val="27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Manifest service performance index (%)</w:t>
            </w:r>
          </w:p>
        </w:tc>
        <w:tc>
          <w:tcPr>
            <w:tcW w:w="2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98</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 pts</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Workforce productivity (car miles per employee)</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1,163</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1,091</w:t>
            </w:r>
          </w:p>
        </w:tc>
        <w:tc>
          <w:tcPr>
            <w:tcW w:w="1040" w:type="dxa"/>
            <w:vAlign w:val="bottom"/>
          </w:tcPr>
          <w:p>
            <w:pPr>
              <w:ind w:left="660"/>
              <w:spacing w:after="0"/>
              <w:rPr>
                <w:sz w:val="20"/>
                <w:szCs w:val="20"/>
                <w:color w:val="auto"/>
              </w:rPr>
            </w:pPr>
            <w:r>
              <w:rPr>
                <w:rFonts w:ascii="Arial" w:cs="Arial" w:eastAsia="Arial" w:hAnsi="Arial"/>
                <w:sz w:val="18"/>
                <w:szCs w:val="18"/>
                <w:b w:val="1"/>
                <w:bCs w:val="1"/>
                <w:color w:val="auto"/>
              </w:rPr>
              <w:t>7</w:t>
            </w:r>
          </w:p>
        </w:tc>
      </w:tr>
      <w:tr>
        <w:trPr>
          <w:trHeight w:val="27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employees (average)</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28,647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30,146</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r>
      <w:tr>
        <w:trPr>
          <w:trHeight w:val="264"/>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ratio (%)</w:t>
            </w:r>
          </w:p>
        </w:tc>
        <w:tc>
          <w:tcPr>
            <w:tcW w:w="2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60.5</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60.7</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 pts</w:t>
            </w:r>
          </w:p>
        </w:tc>
      </w:tr>
    </w:tbl>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As reported to the STB.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rate miles. Gross ton-miles and revenue ton-miles increased 4% and 7%, respectively, in the first quarter of 2026 compared to 2025, while corresponding carloads decreased 1%. Changes in business mix drove the variances between gross ton-miles, revenue ton-miles, and carloads due to higher coal and grain shipments that are generally heavier and decreased intermodal shipments that are generally lighter.</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Freight car velocity increased 9% in the first quarter of 2026 compared to 2025 driven by an 11% decrease in terminal dwell and an 8% improvement in train speed.</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available.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increased 6% in the first quarter of 2026, driven by improved network fluidity and asset utilization as the average active fleet decreased 4% even as gross ton-miles increased.</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Even with lower international intermodal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train length increased 3% in the first quarter of 2026 compared to 2025 due to train length improvement initiatives, specifically driven by proprietary technology and mainline capacity investments.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Service performance index (SPI) </w:t>
      </w:r>
      <w:r>
        <w:rPr>
          <w:rFonts w:ascii="Arial" w:cs="Arial" w:eastAsia="Arial" w:hAnsi="Arial"/>
          <w:sz w:val="18"/>
          <w:szCs w:val="18"/>
          <w:color w:val="auto"/>
        </w:rPr>
        <w:t>– SPI is a ratio of the service customers are currently receiving relative to the best monthly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three years. Measuring our performance relative to a historical benchmark demonstrates our focus on continuously improving service for our customers. Our SPI is calculated for intermodal and manifest products. Intermodal SPI improved 4 points in the first quarter of 2026 compared to 2025. Manifest SPI improved 5 points in the first quarter of 2026 compared to 2025. The improvements in SPI are driven by the continued network fluidity as we adjusted to changing customer demand for higher grain shipments, reduced intermodal shipments, and continued strong coal carloads.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improved 7%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2026 compared to 2025, as average daily car miles increased 1% while employee levels declined 5% compared to 2025. We continually align our active train, engine, and yard (TE&amp;Y) workforce to meet customer demands in a dynamic economic environment, while maintaining operational fluidity. As a result, our active TE&amp;Y decreased 4% during the first quarter of 2026 on a 1% reduction in carload levels compared to the same period in 2025.</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For the first quarter of 2026,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ratio of 60.5% improved 0.2 points driven by productivity initiatives and core pricing gains, partially offset by inflation and acquisition-related expenses.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Debt /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trailing twelve months ended [1]</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30,651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31,814</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net income</w:t>
            </w:r>
          </w:p>
        </w:tc>
        <w:tc>
          <w:tcPr>
            <w:tcW w:w="3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4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debt / adjusted EBITDA</w:t>
            </w:r>
          </w:p>
        </w:tc>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3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trailing twelve months ended [1]</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r>
      <w:tr>
        <w:trPr>
          <w:trHeight w:val="247"/>
        </w:trPr>
        <w:tc>
          <w:tcPr>
            <w:tcW w:w="6160" w:type="dxa"/>
            <w:vAlign w:val="bottom"/>
          </w:tcPr>
          <w:p>
            <w:pPr>
              <w:ind w:left="20"/>
              <w:spacing w:after="0"/>
              <w:rPr>
                <w:sz w:val="20"/>
                <w:szCs w:val="20"/>
                <w:color w:val="auto"/>
              </w:rPr>
            </w:pPr>
            <w:r>
              <w:rPr>
                <w:rFonts w:ascii="Arial" w:cs="Arial" w:eastAsia="Arial" w:hAnsi="Arial"/>
                <w:sz w:val="18"/>
                <w:szCs w:val="18"/>
                <w:color w:val="auto"/>
              </w:rPr>
              <w:t>Add:</w:t>
            </w:r>
          </w:p>
        </w:tc>
        <w:tc>
          <w:tcPr>
            <w:tcW w:w="3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
        </w:trPr>
        <w:tc>
          <w:tcPr>
            <w:tcW w:w="6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2,488</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w:t>
            </w:r>
          </w:p>
        </w:tc>
      </w:tr>
      <w:tr>
        <w:trPr>
          <w:trHeight w:val="271"/>
        </w:trPr>
        <w:tc>
          <w:tcPr>
            <w:tcW w:w="6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62"/>
        </w:trPr>
        <w:tc>
          <w:tcPr>
            <w:tcW w:w="6160" w:type="dxa"/>
            <w:vAlign w:val="bottom"/>
          </w:tcPr>
          <w:p>
            <w:pPr>
              <w:ind w:left="20"/>
              <w:spacing w:after="0"/>
              <w:rPr>
                <w:sz w:val="20"/>
                <w:szCs w:val="20"/>
                <w:color w:val="auto"/>
              </w:rPr>
            </w:pPr>
            <w:r>
              <w:rPr>
                <w:rFonts w:ascii="Arial" w:cs="Arial" w:eastAsia="Arial" w:hAnsi="Arial"/>
                <w:sz w:val="18"/>
                <w:szCs w:val="18"/>
                <w:color w:val="auto"/>
              </w:rPr>
              <w:t>EBITDA</w:t>
            </w:r>
          </w:p>
        </w:tc>
        <w:tc>
          <w:tcPr>
            <w:tcW w:w="3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13,063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12,940</w:t>
            </w:r>
          </w:p>
        </w:tc>
      </w:tr>
      <w:tr>
        <w:trPr>
          <w:trHeight w:val="25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1"/>
        </w:trPr>
        <w:tc>
          <w:tcPr>
            <w:tcW w:w="6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on operating lease liabilities [2]</w:t>
            </w:r>
          </w:p>
        </w:tc>
        <w:tc>
          <w:tcPr>
            <w:tcW w:w="3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 (a)</w:t>
            </w:r>
          </w:p>
        </w:tc>
        <w:tc>
          <w:tcPr>
            <w:tcW w:w="3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30,651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31,814</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lease liabilities</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debt (b)</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31,505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debt / adjusted EBITDA (b/a)</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bl>
    <w:p>
      <w:pPr>
        <w:spacing w:after="0" w:line="177" w:lineRule="exact"/>
        <w:rPr>
          <w:sz w:val="20"/>
          <w:szCs w:val="20"/>
          <w:color w:val="auto"/>
        </w:rPr>
      </w:pPr>
    </w:p>
    <w:p>
      <w:pPr>
        <w:ind w:left="340" w:hanging="332"/>
        <w:spacing w:after="0" w:line="301" w:lineRule="auto"/>
        <w:tabs>
          <w:tab w:leader="none" w:pos="33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trailing twelve months income statement information ended March 31, 2026, is recalculated by taking the twelve months ended December 31, 2025, subtracting the three months ended March 31, 2025, and adding the three months ended March 31, 2026.</w:t>
      </w:r>
    </w:p>
    <w:p>
      <w:pPr>
        <w:spacing w:after="0" w:line="38" w:lineRule="exact"/>
        <w:rPr>
          <w:rFonts w:ascii="Arial" w:cs="Arial" w:eastAsia="Arial" w:hAnsi="Arial"/>
          <w:sz w:val="16"/>
          <w:szCs w:val="16"/>
          <w:i w:val="1"/>
          <w:iCs w:val="1"/>
          <w:color w:val="auto"/>
        </w:rPr>
      </w:pPr>
    </w:p>
    <w:p>
      <w:pPr>
        <w:ind w:left="340" w:hanging="332"/>
        <w:spacing w:after="0" w:line="301" w:lineRule="auto"/>
        <w:tabs>
          <w:tab w:leader="none" w:pos="33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hypothetical interest expense we would incur (using the incremental borrowing rate) if the property under our operating leases were owned or accounted for as finance leases.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10(e)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March 31, 2026, and December 31, 2025, the incremental borrowing rate on operating leases was 4.1% </w:t>
      </w:r>
      <w:r>
        <w:rPr>
          <w:rFonts w:ascii="Arial" w:cs="Arial" w:eastAsia="Arial" w:hAnsi="Arial"/>
          <w:sz w:val="16"/>
          <w:szCs w:val="16"/>
          <w:color w:val="auto"/>
        </w:rPr>
        <w:t>and</w:t>
      </w:r>
      <w:r>
        <w:rPr>
          <w:rFonts w:ascii="Arial" w:cs="Arial" w:eastAsia="Arial" w:hAnsi="Arial"/>
          <w:sz w:val="18"/>
          <w:szCs w:val="18"/>
          <w:color w:val="auto"/>
        </w:rPr>
        <w:t xml:space="preserve"> 4.0%, respectively. Pension and OPEB were funded at March 31, 2026, and December 31, 2025.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71"/>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6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increased 10% in the first three months of 2026 compared to the same period of 2025 driven by higher net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used in investing activities increased 5% in the first three months of 2026 compared to the same period of 2025 driven by an increase in early lease buyouts.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cash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and other track material</w:t>
            </w:r>
          </w:p>
        </w:tc>
        <w:tc>
          <w:tcPr>
            <w:tcW w:w="3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Ties</w:t>
            </w:r>
          </w:p>
        </w:tc>
        <w:tc>
          <w:tcPr>
            <w:tcW w:w="3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Ballast</w:t>
            </w:r>
          </w:p>
        </w:tc>
        <w:tc>
          <w:tcPr>
            <w:tcW w:w="30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63"/>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road infrastructure replacements</w:t>
            </w:r>
          </w:p>
        </w:tc>
        <w:tc>
          <w:tcPr>
            <w:tcW w:w="30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4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Line expansion and other capacity projects</w:t>
            </w:r>
          </w:p>
        </w:tc>
        <w:tc>
          <w:tcPr>
            <w:tcW w:w="3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1"/>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facilities</w:t>
            </w:r>
          </w:p>
        </w:tc>
        <w:tc>
          <w:tcPr>
            <w:tcW w:w="3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capacity and commercial facilities</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Locomotives and freight cars [b]</w:t>
            </w:r>
          </w:p>
        </w:tc>
        <w:tc>
          <w:tcPr>
            <w:tcW w:w="30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6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Technology and other</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63"/>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cash capital investments [c]</w:t>
            </w:r>
          </w:p>
        </w:tc>
        <w:tc>
          <w:tcPr>
            <w:tcW w:w="3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bl>
    <w:p>
      <w:pPr>
        <w:spacing w:after="0" w:line="19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19" w:lineRule="exact"/>
        <w:rPr>
          <w:rFonts w:ascii="Arial" w:cs="Arial" w:eastAsia="Arial" w:hAnsi="Arial"/>
          <w:sz w:val="16"/>
          <w:szCs w:val="16"/>
          <w:i w:val="1"/>
          <w:iCs w:val="1"/>
          <w:color w:val="auto"/>
        </w:rPr>
      </w:pP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early lease buyouts of $176 million in 2026 and $127 million in 2025.</w:t>
      </w:r>
    </w:p>
    <w:p>
      <w:pPr>
        <w:spacing w:after="0" w:line="14" w:lineRule="exact"/>
        <w:rPr>
          <w:rFonts w:ascii="Arial" w:cs="Arial" w:eastAsia="Arial" w:hAnsi="Arial"/>
          <w:sz w:val="16"/>
          <w:szCs w:val="16"/>
          <w:i w:val="1"/>
          <w:iCs w:val="1"/>
          <w:color w:val="auto"/>
        </w:rPr>
      </w:pP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the three months ended March 31, 2026 and 2025, are immaterial.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Note 17 of the Condensed Consolidated Financial Statements, Item 1, for the pending acquisition of Norfolk Southern.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2026, we expect our capital plan to be approximately $3.3 billion.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through technology. This includes terminal investments supporting our manifest network and intermodal ramps to efficiently handle new and existing customers, along with siding investments (extensions and new), and second mainline track projects. The capital plan may be revised if business conditions warrant or if laws or regulations affect our ability to generate sufficient returns on these investments.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in financing activities increased in the first three months of 2026 compared to the same period of 2025 driven by a decrease in debt issued and increase in debt repaid, partially offset by the pause of our share repurchases as part of the pending acquisition of Norfolk Southern.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Note 13 of the Condensed Consolidated Financial Statements, Item 1, for a description of all our outstanding financing arrangements and significant new borrowings, Note 15 of the Condensed Consolidated Financial Statements, Item 1, for a description of our share repurchase programs, and Note 17 of the Condensed Consolidated Financial Statements, Item 1, for the pending acquisition of Norfolk Southern.</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Free cash flow and cash flow conversion rate </w:t>
      </w:r>
      <w:r>
        <w:rPr>
          <w:rFonts w:ascii="Arial" w:cs="Arial" w:eastAsia="Arial" w:hAnsi="Arial"/>
          <w:sz w:val="18"/>
          <w:szCs w:val="18"/>
          <w:color w:val="auto"/>
        </w:rPr>
        <w:t>– Free cash flow is defined as cash provided by operating activities less cash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activities and dividends paid. Cash flow conversion rate is defined as cash provided by operating activities less cash used for capital investments as a ratio of net income.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and cash flow conversion rate are considered non-GAAP financial measures by SEC Regulation G and Item 10(e)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additional external financing. Free cash flow and cash flow conversion rate should be considered in addition to, rather than as a substitute for, cash provided by operating activities.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free cash flow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2026</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2025</w:t>
            </w: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2,440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2,210</w:t>
            </w:r>
          </w:p>
        </w:tc>
      </w:tr>
      <w:tr>
        <w:trPr>
          <w:trHeight w:val="263"/>
        </w:trPr>
        <w:tc>
          <w:tcPr>
            <w:tcW w:w="61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(988)</w:t>
            </w:r>
          </w:p>
        </w:tc>
        <w:tc>
          <w:tcPr>
            <w:tcW w:w="480" w:type="dxa"/>
            <w:vAlign w:val="bottom"/>
          </w:tcPr>
          <w:p>
            <w:pPr>
              <w:spacing w:after="0"/>
              <w:rPr>
                <w:sz w:val="22"/>
                <w:szCs w:val="22"/>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(938)</w:t>
            </w:r>
          </w:p>
        </w:tc>
      </w:tr>
      <w:tr>
        <w:trPr>
          <w:trHeight w:val="271"/>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7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(821)</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(804)</w:t>
            </w:r>
          </w:p>
        </w:tc>
      </w:tr>
      <w:tr>
        <w:trPr>
          <w:trHeight w:val="264"/>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w:t>
            </w:r>
          </w:p>
        </w:tc>
        <w:tc>
          <w:tcPr>
            <w:tcW w:w="2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631</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cash flow conversion rate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 for the three months ended March 31,</w:t>
            </w:r>
          </w:p>
        </w:tc>
        <w:tc>
          <w:tcPr>
            <w:tcW w:w="1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2026</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2025</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2,440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2,210</w:t>
            </w:r>
          </w:p>
        </w:tc>
      </w:tr>
      <w:tr>
        <w:trPr>
          <w:trHeight w:val="26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capital investments</w:t>
            </w:r>
          </w:p>
        </w:tc>
        <w:tc>
          <w:tcPr>
            <w:tcW w:w="1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(937)</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(906)</w:t>
            </w:r>
          </w:p>
        </w:tc>
      </w:tr>
      <w:tr>
        <w:trPr>
          <w:trHeight w:val="26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1,503</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1,304</w:t>
            </w:r>
          </w:p>
        </w:tc>
      </w:tr>
      <w:tr>
        <w:trPr>
          <w:trHeight w:val="26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(b)</w:t>
            </w: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1,701</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1,626</w:t>
            </w:r>
          </w:p>
        </w:tc>
      </w:tr>
      <w:tr>
        <w:trPr>
          <w:trHeight w:val="26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 conversion rate (a/b)</w:t>
            </w:r>
          </w:p>
        </w:tc>
        <w:tc>
          <w:tcPr>
            <w:tcW w:w="18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liquidity status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2026, we generated $2.4 billion of cash provided by operating activities and paid our quarterly dividend. In the third quarter of 2025, we announced the pending acquisition of Norfolk Southern described in Note 17 of the Condensed Consolidated Financial Statements, Item 1, and paused our share repurchases. On March 31, 2026, we had $735 million of cash and cash equivalents, $300 million of short-term investments, $2.0 billion of credit available under our revolving credit facility, and up to $600 million undrawn on the Receivables Facility. We have been, and we expect to continue to be, in compliance with our debt covenants.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the notes to the Condensed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contractual obligations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Apr. 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vMerge w:val="restart"/>
          </w:tcPr>
          <w:p>
            <w:pPr>
              <w:jc w:val="right"/>
              <w:ind w:right="250"/>
              <w:spacing w:after="0"/>
              <w:rPr>
                <w:sz w:val="20"/>
                <w:szCs w:val="20"/>
                <w:color w:val="auto"/>
              </w:rPr>
            </w:pPr>
            <w:r>
              <w:rPr>
                <w:rFonts w:ascii="Arial" w:cs="Arial" w:eastAsia="Arial" w:hAnsi="Arial"/>
                <w:sz w:val="18"/>
                <w:szCs w:val="18"/>
                <w:i w:val="1"/>
                <w:iCs w:val="1"/>
                <w:color w:val="auto"/>
              </w:rPr>
              <w:t>Payments Due by Dec. 31,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line="193" w:lineRule="exact"/>
              <w:rPr>
                <w:sz w:val="20"/>
                <w:szCs w:val="20"/>
                <w:color w:val="auto"/>
              </w:rPr>
            </w:pPr>
            <w:r>
              <w:rPr>
                <w:rFonts w:ascii="Arial" w:cs="Arial" w:eastAsia="Arial" w:hAnsi="Arial"/>
                <w:sz w:val="18"/>
                <w:szCs w:val="18"/>
                <w:i w:val="1"/>
                <w:iCs w:val="1"/>
                <w:color w:val="auto"/>
              </w:rPr>
              <w:t>through</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2026</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2028</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2029</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2030</w:t>
            </w:r>
          </w:p>
        </w:tc>
        <w:tc>
          <w:tcPr>
            <w:tcW w:w="940" w:type="dxa"/>
            <w:vAlign w:val="bottom"/>
            <w:gridSpan w:val="2"/>
          </w:tcPr>
          <w:p>
            <w:pPr>
              <w:jc w:val="right"/>
              <w:spacing w:after="0"/>
              <w:rPr>
                <w:sz w:val="20"/>
                <w:szCs w:val="20"/>
                <w:color w:val="auto"/>
              </w:rPr>
            </w:pPr>
            <w:r>
              <w:rPr>
                <w:rFonts w:ascii="Arial" w:cs="Arial" w:eastAsia="Arial" w:hAnsi="Arial"/>
                <w:sz w:val="18"/>
                <w:szCs w:val="18"/>
                <w:i w:val="1"/>
                <w:iCs w:val="1"/>
                <w:color w:val="auto"/>
              </w:rPr>
              <w:t>After 2030</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Purchase obligations [b]</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[c]</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Other post-retirement benefits [d]</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 [e]</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contractual obligations</w:t>
            </w: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48,028</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right="20" w:hanging="332"/>
        <w:spacing w:after="0" w:line="255"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$84 million as well as unamortized discount and deferred issuance costs of ($1,668) million. Includes an interest component of $25,598 million.</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$103 million.</w:t>
      </w:r>
    </w:p>
    <w:p>
      <w:pPr>
        <w:spacing w:after="0" w:line="14" w:lineRule="exact"/>
        <w:rPr>
          <w:rFonts w:ascii="Arial" w:cs="Arial" w:eastAsia="Arial" w:hAnsi="Arial"/>
          <w:sz w:val="16"/>
          <w:szCs w:val="16"/>
          <w:i w:val="1"/>
          <w:iCs w:val="1"/>
          <w:color w:val="auto"/>
        </w:rPr>
      </w:pPr>
    </w:p>
    <w:p>
      <w:pPr>
        <w:ind w:left="340" w:hanging="332"/>
        <w:spacing w:after="0" w:line="249"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post-retirement, medical, and life insurance payments and payments made under the unfunded pension plan for the next ten years.</w:t>
      </w: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interest component of $6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14 to the Condensed Consolidated Financial Statements,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14 to the Condensed Consolidated Financial Statements, Item 1.</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Pending Acquisition </w:t>
      </w:r>
      <w:r>
        <w:rPr>
          <w:rFonts w:ascii="Arial" w:cs="Arial" w:eastAsia="Arial" w:hAnsi="Arial"/>
          <w:sz w:val="18"/>
          <w:szCs w:val="18"/>
          <w:color w:val="auto"/>
        </w:rPr>
        <w:t>– See Note 17 to the Condensed Consolidated Financial Statements, Item 1, and the Agreement and Plan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July 28, 2025, by and among UPC, Ruby Merger Sub 1 Corporation, Ruby Merger Sub 2 LLC, and Norfolk Southern, which is incorporated herein by reference to Exhibit 2.1 to the Corporation’s Current Report on Form 8-K dated July 29, 2025.</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the merger agreement and the transactions contemplated therein (described in Note 17 to the Condensed Consolidated Financial Statements, Item 1), potential impacts of public health crises, including pandemics, epidemics, and the outbreak of other contagious disease, such as the coronavirus and its variant strains (COVID); wars, conflicts, and other geopolitical tensions in Ukraine, the Middle East, and elsewhere,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current or potential tariffs;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“could,” “should,” “would,” “will,” “intends,” “plans,” “estimates,” “anticipates,” “projects,” “pro forma,” and similar words, phrases, expressions, or other comparable terminology.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 Factors in Item 1A of our 2025 Annual Report on Form 10-K, filed February 6, 2026,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2025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14 to the Condensed Consolidated Financial Statements,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2025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 discussion of our potential risks and uncertainties, see the risk factors disclosed in our Form 10-K for the year ended December 31, 2025.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 month for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40" w:type="dxa"/>
            <w:vAlign w:val="bottom"/>
          </w:tcPr>
          <w:p>
            <w:pPr>
              <w:jc w:val="right"/>
              <w:ind w:right="92"/>
              <w:spacing w:after="0"/>
              <w:rPr>
                <w:sz w:val="20"/>
                <w:szCs w:val="20"/>
                <w:color w:val="auto"/>
              </w:rPr>
            </w:pPr>
            <w:r>
              <w:rPr>
                <w:rFonts w:ascii="Arial" w:cs="Arial" w:eastAsia="Arial" w:hAnsi="Arial"/>
                <w:sz w:val="17"/>
                <w:szCs w:val="17"/>
                <w:i w:val="1"/>
                <w:iCs w:val="1"/>
                <w:color w:val="auto"/>
              </w:rPr>
              <w:t>Total number of shares</w:t>
            </w:r>
          </w:p>
        </w:tc>
        <w:tc>
          <w:tcPr>
            <w:tcW w:w="2460" w:type="dxa"/>
            <w:vAlign w:val="bottom"/>
          </w:tcPr>
          <w:p>
            <w:pPr>
              <w:jc w:val="right"/>
              <w:spacing w:after="0"/>
              <w:rPr>
                <w:sz w:val="20"/>
                <w:szCs w:val="20"/>
                <w:color w:val="auto"/>
              </w:rPr>
            </w:pPr>
            <w:r>
              <w:rPr>
                <w:rFonts w:ascii="Arial" w:cs="Arial" w:eastAsia="Arial" w:hAnsi="Arial"/>
                <w:sz w:val="17"/>
                <w:szCs w:val="17"/>
                <w:i w:val="1"/>
                <w:iCs w:val="1"/>
                <w:color w:val="auto"/>
              </w:rPr>
              <w:t>Maximum number of shares</w:t>
            </w:r>
          </w:p>
        </w:tc>
      </w:tr>
      <w:tr>
        <w:trPr>
          <w:trHeight w:val="203"/>
        </w:trPr>
        <w:tc>
          <w:tcPr>
            <w:tcW w:w="2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7"/>
                <w:szCs w:val="17"/>
                <w:i w:val="1"/>
                <w:iCs w:val="1"/>
                <w:color w:val="auto"/>
              </w:rPr>
              <w:t>Total number of</w:t>
            </w:r>
          </w:p>
        </w:tc>
        <w:tc>
          <w:tcPr>
            <w:tcW w:w="340" w:type="dxa"/>
            <w:vAlign w:val="bottom"/>
          </w:tcPr>
          <w:p>
            <w:pPr>
              <w:spacing w:after="0"/>
              <w:rPr>
                <w:sz w:val="17"/>
                <w:szCs w:val="17"/>
                <w:color w:val="auto"/>
              </w:rPr>
            </w:pPr>
          </w:p>
        </w:tc>
        <w:tc>
          <w:tcPr>
            <w:tcW w:w="1520" w:type="dxa"/>
            <w:vAlign w:val="bottom"/>
          </w:tcPr>
          <w:p>
            <w:pPr>
              <w:ind w:left="220"/>
              <w:spacing w:after="0"/>
              <w:rPr>
                <w:sz w:val="20"/>
                <w:szCs w:val="20"/>
                <w:color w:val="auto"/>
              </w:rPr>
            </w:pPr>
            <w:r>
              <w:rPr>
                <w:rFonts w:ascii="Arial" w:cs="Arial" w:eastAsia="Arial" w:hAnsi="Arial"/>
                <w:sz w:val="17"/>
                <w:szCs w:val="17"/>
                <w:i w:val="1"/>
                <w:iCs w:val="1"/>
                <w:color w:val="auto"/>
              </w:rPr>
              <w:t>Average price</w:t>
            </w:r>
          </w:p>
        </w:tc>
        <w:tc>
          <w:tcPr>
            <w:tcW w:w="2740" w:type="dxa"/>
            <w:vAlign w:val="bottom"/>
          </w:tcPr>
          <w:p>
            <w:pPr>
              <w:jc w:val="right"/>
              <w:ind w:right="92"/>
              <w:spacing w:after="0"/>
              <w:rPr>
                <w:sz w:val="20"/>
                <w:szCs w:val="20"/>
                <w:color w:val="auto"/>
              </w:rPr>
            </w:pPr>
            <w:r>
              <w:rPr>
                <w:rFonts w:ascii="Arial" w:cs="Arial" w:eastAsia="Arial" w:hAnsi="Arial"/>
                <w:sz w:val="17"/>
                <w:szCs w:val="17"/>
                <w:i w:val="1"/>
                <w:iCs w:val="1"/>
                <w:color w:val="auto"/>
              </w:rPr>
              <w:t>purchased as part of a publicly</w:t>
            </w:r>
          </w:p>
        </w:tc>
        <w:tc>
          <w:tcPr>
            <w:tcW w:w="2460" w:type="dxa"/>
            <w:vAlign w:val="bottom"/>
          </w:tcPr>
          <w:p>
            <w:pPr>
              <w:jc w:val="right"/>
              <w:spacing w:after="0"/>
              <w:rPr>
                <w:sz w:val="20"/>
                <w:szCs w:val="20"/>
                <w:color w:val="auto"/>
              </w:rPr>
            </w:pPr>
            <w:r>
              <w:rPr>
                <w:rFonts w:ascii="Arial" w:cs="Arial" w:eastAsia="Arial" w:hAnsi="Arial"/>
                <w:sz w:val="17"/>
                <w:szCs w:val="17"/>
                <w:i w:val="1"/>
                <w:iCs w:val="1"/>
                <w:color w:val="auto"/>
              </w:rPr>
              <w:t>that may be purchased under</w:t>
            </w:r>
          </w:p>
        </w:tc>
      </w:tr>
      <w:tr>
        <w:trPr>
          <w:trHeight w:val="240"/>
        </w:trPr>
        <w:tc>
          <w:tcPr>
            <w:tcW w:w="2200" w:type="dxa"/>
            <w:vAlign w:val="bottom"/>
          </w:tcPr>
          <w:p>
            <w:pPr>
              <w:ind w:left="20"/>
              <w:spacing w:after="0"/>
              <w:rPr>
                <w:sz w:val="20"/>
                <w:szCs w:val="20"/>
                <w:color w:val="auto"/>
              </w:rPr>
            </w:pPr>
            <w:r>
              <w:rPr>
                <w:rFonts w:ascii="Arial" w:cs="Arial" w:eastAsia="Arial" w:hAnsi="Arial"/>
                <w:sz w:val="18"/>
                <w:szCs w:val="18"/>
                <w:i w:val="1"/>
                <w:iCs w:val="1"/>
                <w:color w:val="auto"/>
              </w:rPr>
              <w:t>Period</w:t>
            </w:r>
          </w:p>
        </w:tc>
        <w:tc>
          <w:tcPr>
            <w:tcW w:w="1960" w:type="dxa"/>
            <w:vAlign w:val="bottom"/>
          </w:tcPr>
          <w:p>
            <w:pPr>
              <w:jc w:val="right"/>
              <w:spacing w:after="0"/>
              <w:rPr>
                <w:sz w:val="20"/>
                <w:szCs w:val="20"/>
                <w:color w:val="auto"/>
              </w:rPr>
            </w:pPr>
            <w:r>
              <w:rPr>
                <w:rFonts w:ascii="Arial" w:cs="Arial" w:eastAsia="Arial" w:hAnsi="Arial"/>
                <w:sz w:val="17"/>
                <w:szCs w:val="17"/>
                <w:i w:val="1"/>
                <w:iCs w:val="1"/>
                <w:color w:val="auto"/>
              </w:rPr>
              <w:t>shares purchased [a]</w:t>
            </w:r>
          </w:p>
        </w:tc>
        <w:tc>
          <w:tcPr>
            <w:tcW w:w="340" w:type="dxa"/>
            <w:vAlign w:val="bottom"/>
          </w:tcPr>
          <w:p>
            <w:pPr>
              <w:spacing w:after="0"/>
              <w:rPr>
                <w:sz w:val="20"/>
                <w:szCs w:val="20"/>
                <w:color w:val="auto"/>
              </w:rPr>
            </w:pPr>
          </w:p>
        </w:tc>
        <w:tc>
          <w:tcPr>
            <w:tcW w:w="1520" w:type="dxa"/>
            <w:vAlign w:val="bottom"/>
          </w:tcPr>
          <w:p>
            <w:pPr>
              <w:ind w:left="220"/>
              <w:spacing w:after="0"/>
              <w:rPr>
                <w:sz w:val="20"/>
                <w:szCs w:val="20"/>
                <w:color w:val="auto"/>
              </w:rPr>
            </w:pPr>
            <w:r>
              <w:rPr>
                <w:rFonts w:ascii="Arial" w:cs="Arial" w:eastAsia="Arial" w:hAnsi="Arial"/>
                <w:sz w:val="17"/>
                <w:szCs w:val="17"/>
                <w:i w:val="1"/>
                <w:iCs w:val="1"/>
                <w:color w:val="auto"/>
              </w:rPr>
              <w:t>paid per share</w:t>
            </w:r>
          </w:p>
        </w:tc>
        <w:tc>
          <w:tcPr>
            <w:tcW w:w="2740" w:type="dxa"/>
            <w:vAlign w:val="bottom"/>
          </w:tcPr>
          <w:p>
            <w:pPr>
              <w:jc w:val="right"/>
              <w:ind w:right="92"/>
              <w:spacing w:after="0"/>
              <w:rPr>
                <w:sz w:val="20"/>
                <w:szCs w:val="20"/>
                <w:color w:val="auto"/>
              </w:rPr>
            </w:pPr>
            <w:r>
              <w:rPr>
                <w:rFonts w:ascii="Arial" w:cs="Arial" w:eastAsia="Arial" w:hAnsi="Arial"/>
                <w:sz w:val="17"/>
                <w:szCs w:val="17"/>
                <w:i w:val="1"/>
                <w:iCs w:val="1"/>
                <w:color w:val="auto"/>
              </w:rPr>
              <w:t>announced plan or program [b]</w:t>
            </w:r>
          </w:p>
        </w:tc>
        <w:tc>
          <w:tcPr>
            <w:tcW w:w="2460" w:type="dxa"/>
            <w:vAlign w:val="bottom"/>
          </w:tcPr>
          <w:p>
            <w:pPr>
              <w:jc w:val="right"/>
              <w:spacing w:after="0"/>
              <w:rPr>
                <w:sz w:val="20"/>
                <w:szCs w:val="20"/>
                <w:color w:val="auto"/>
              </w:rPr>
            </w:pPr>
            <w:r>
              <w:rPr>
                <w:rFonts w:ascii="Arial" w:cs="Arial" w:eastAsia="Arial" w:hAnsi="Arial"/>
                <w:sz w:val="17"/>
                <w:szCs w:val="17"/>
                <w:i w:val="1"/>
                <w:iCs w:val="1"/>
                <w:color w:val="auto"/>
              </w:rPr>
              <w:t>current authority [c]</w:t>
            </w:r>
          </w:p>
        </w:tc>
      </w:tr>
      <w:tr>
        <w:trPr>
          <w:trHeight w:val="23"/>
        </w:trPr>
        <w:tc>
          <w:tcPr>
            <w:tcW w:w="2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3"/>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 1 through Jan. 31</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229.93</w:t>
            </w:r>
          </w:p>
        </w:tc>
        <w:tc>
          <w:tcPr>
            <w:tcW w:w="2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93,888,442</w:t>
            </w:r>
          </w:p>
        </w:tc>
      </w:tr>
      <w:tr>
        <w:trPr>
          <w:trHeight w:val="247"/>
        </w:trPr>
        <w:tc>
          <w:tcPr>
            <w:tcW w:w="2200" w:type="dxa"/>
            <w:vAlign w:val="bottom"/>
          </w:tcPr>
          <w:p>
            <w:pPr>
              <w:ind w:left="20"/>
              <w:spacing w:after="0"/>
              <w:rPr>
                <w:sz w:val="20"/>
                <w:szCs w:val="20"/>
                <w:color w:val="auto"/>
              </w:rPr>
            </w:pPr>
            <w:r>
              <w:rPr>
                <w:rFonts w:ascii="Arial" w:cs="Arial" w:eastAsia="Arial" w:hAnsi="Arial"/>
                <w:sz w:val="18"/>
                <w:szCs w:val="18"/>
                <w:color w:val="auto"/>
              </w:rPr>
              <w:t>Feb. 1 through Feb. 28</w:t>
            </w:r>
          </w:p>
        </w:tc>
        <w:tc>
          <w:tcPr>
            <w:tcW w:w="1960" w:type="dxa"/>
            <w:vAlign w:val="bottom"/>
          </w:tcPr>
          <w:p>
            <w:pPr>
              <w:jc w:val="right"/>
              <w:spacing w:after="0"/>
              <w:rPr>
                <w:sz w:val="20"/>
                <w:szCs w:val="20"/>
                <w:color w:val="auto"/>
              </w:rPr>
            </w:pPr>
            <w:r>
              <w:rPr>
                <w:rFonts w:ascii="Arial" w:cs="Arial" w:eastAsia="Arial" w:hAnsi="Arial"/>
                <w:sz w:val="18"/>
                <w:szCs w:val="18"/>
                <w:color w:val="auto"/>
              </w:rPr>
              <w:t>172,924</w:t>
            </w:r>
          </w:p>
        </w:tc>
        <w:tc>
          <w:tcPr>
            <w:tcW w:w="340" w:type="dxa"/>
            <w:vAlign w:val="bottom"/>
          </w:tcPr>
          <w:p>
            <w:pPr>
              <w:spacing w:after="0"/>
              <w:rPr>
                <w:sz w:val="21"/>
                <w:szCs w:val="21"/>
                <w:color w:val="auto"/>
              </w:rPr>
            </w:pPr>
          </w:p>
        </w:tc>
        <w:tc>
          <w:tcPr>
            <w:tcW w:w="1520" w:type="dxa"/>
            <w:vAlign w:val="bottom"/>
          </w:tcPr>
          <w:p>
            <w:pPr>
              <w:jc w:val="right"/>
              <w:ind w:right="192"/>
              <w:spacing w:after="0"/>
              <w:rPr>
                <w:sz w:val="20"/>
                <w:szCs w:val="20"/>
                <w:color w:val="auto"/>
              </w:rPr>
            </w:pPr>
            <w:r>
              <w:rPr>
                <w:rFonts w:ascii="Arial" w:cs="Arial" w:eastAsia="Arial" w:hAnsi="Arial"/>
                <w:sz w:val="18"/>
                <w:szCs w:val="18"/>
                <w:color w:val="auto"/>
              </w:rPr>
              <w:t>252.20</w:t>
            </w:r>
          </w:p>
        </w:tc>
        <w:tc>
          <w:tcPr>
            <w:tcW w:w="2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93,888,442</w:t>
            </w:r>
          </w:p>
        </w:tc>
      </w:tr>
      <w:tr>
        <w:trPr>
          <w:trHeight w:val="23"/>
        </w:trPr>
        <w:tc>
          <w:tcPr>
            <w:tcW w:w="2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5"/>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 1 through Mar. 31</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252.22</w:t>
            </w:r>
          </w:p>
        </w:tc>
        <w:tc>
          <w:tcPr>
            <w:tcW w:w="2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93,888,442</w:t>
            </w:r>
          </w:p>
        </w:tc>
      </w:tr>
      <w:tr>
        <w:trPr>
          <w:trHeight w:val="240"/>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174,617</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252.03</w:t>
            </w:r>
          </w:p>
        </w:tc>
        <w:tc>
          <w:tcPr>
            <w:tcW w:w="27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2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258" w:lineRule="exact"/>
        <w:rPr>
          <w:sz w:val="20"/>
          <w:szCs w:val="20"/>
          <w:color w:val="auto"/>
        </w:rPr>
      </w:pPr>
    </w:p>
    <w:p>
      <w:pPr>
        <w:ind w:left="340" w:hanging="332"/>
        <w:spacing w:after="0" w:line="255" w:lineRule="auto"/>
        <w:tabs>
          <w:tab w:leader="none" w:pos="33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174,617 shares delivered or attested to UPC by employees to pay stock option exercise prices and satisfy tax withholding obligations for stock option exercises or vesting of retention awards.</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33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As part of the pending acquisition of Norfolk Southern described in Note 17 to the Condensed Consolidated Financial Statements, Item 1, we paused our share repurchases.</w:t>
      </w:r>
    </w:p>
    <w:p>
      <w:pPr>
        <w:ind w:left="320" w:hanging="312"/>
        <w:spacing w:after="0"/>
        <w:tabs>
          <w:tab w:leader="none" w:pos="32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2025, our Board of Directors authorized the repurchase of up to 100 million shares of our common stock by March 31, 2028.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18, 2026, Kenny G. Rocker, Executive Vice President - Marketing and Sales, adopted a trading plan intended to satisfy Rule 10b5-1(c) to sell up to 41,397 shares of Union Pacific Corporation common stock, of which 41,397 are to be acquired upon the exercise of vested stock options, between May 20, 2026, and February 18, 2027, subject to certain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Filed with this Statement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31(a)</w:t>
            </w:r>
          </w:p>
        </w:tc>
        <w:tc>
          <w:tcPr>
            <w:tcW w:w="9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Certifications Pursuant to Rule 13a-14(a), of the Exchange Act, as Adopted pursuant to Section 302 of the Sarbanes-Oxley</w:t>
            </w:r>
          </w:p>
        </w:tc>
      </w:tr>
      <w:tr>
        <w:trPr>
          <w:trHeight w:val="196"/>
        </w:trPr>
        <w:tc>
          <w:tcPr>
            <w:tcW w:w="122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Act of 2002</w:t>
            </w:r>
          </w:p>
        </w:tc>
        <w:tc>
          <w:tcPr>
            <w:tcW w:w="1380" w:type="dxa"/>
            <w:vAlign w:val="bottom"/>
            <w:tcBorders>
              <w:bottom w:val="single" w:sz="8" w:color="0000FF"/>
            </w:tcBorders>
          </w:tcPr>
          <w:p>
            <w:pPr>
              <w:ind w:left="20"/>
              <w:spacing w:after="0" w:line="196" w:lineRule="exact"/>
              <w:rPr>
                <w:sz w:val="20"/>
                <w:szCs w:val="20"/>
                <w:color w:val="auto"/>
              </w:rPr>
            </w:pPr>
            <w:r>
              <w:rPr>
                <w:rFonts w:ascii="Arial" w:cs="Arial" w:eastAsia="Arial" w:hAnsi="Arial"/>
                <w:sz w:val="18"/>
                <w:szCs w:val="18"/>
                <w:color w:val="0000FF"/>
                <w:w w:val="97"/>
              </w:rPr>
              <w:t>- V. James Vena.</w:t>
            </w:r>
          </w:p>
        </w:tc>
        <w:tc>
          <w:tcPr>
            <w:tcW w:w="7640" w:type="dxa"/>
            <w:vAlign w:val="bottom"/>
            <w:gridSpan w:val="2"/>
          </w:tcPr>
          <w:p>
            <w:pPr>
              <w:spacing w:after="0"/>
              <w:rPr>
                <w:sz w:val="17"/>
                <w:szCs w:val="17"/>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31(b)</w:t>
            </w:r>
          </w:p>
        </w:tc>
        <w:tc>
          <w:tcPr>
            <w:tcW w:w="9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Certifications Pursuant to Rule 13a-14(a), of the Exchange Act, as Adopted pursuant to Section 302 of the Sarbanes-Oxley</w:t>
            </w:r>
          </w:p>
        </w:tc>
      </w:tr>
      <w:tr>
        <w:trPr>
          <w:trHeight w:val="196"/>
        </w:trPr>
        <w:tc>
          <w:tcPr>
            <w:tcW w:w="122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Act of 2002</w:t>
            </w:r>
          </w:p>
        </w:tc>
        <w:tc>
          <w:tcPr>
            <w:tcW w:w="1760" w:type="dxa"/>
            <w:vAlign w:val="bottom"/>
            <w:tcBorders>
              <w:bottom w:val="single" w:sz="8" w:color="0000FF"/>
            </w:tcBorders>
            <w:gridSpan w:val="2"/>
          </w:tcPr>
          <w:p>
            <w:pPr>
              <w:ind w:left="20"/>
              <w:spacing w:after="0" w:line="196" w:lineRule="exact"/>
              <w:rPr>
                <w:sz w:val="20"/>
                <w:szCs w:val="20"/>
                <w:color w:val="auto"/>
              </w:rPr>
            </w:pPr>
            <w:r>
              <w:rPr>
                <w:rFonts w:ascii="Arial" w:cs="Arial" w:eastAsia="Arial" w:hAnsi="Arial"/>
                <w:sz w:val="18"/>
                <w:szCs w:val="18"/>
                <w:color w:val="0000FF"/>
                <w:w w:val="99"/>
              </w:rPr>
              <w:t>- Jennifer L. Hamann.</w:t>
            </w:r>
          </w:p>
        </w:tc>
        <w:tc>
          <w:tcPr>
            <w:tcW w:w="7260" w:type="dxa"/>
            <w:vAlign w:val="bottom"/>
          </w:tcPr>
          <w:p>
            <w:pPr>
              <w:spacing w:after="0"/>
              <w:rPr>
                <w:sz w:val="17"/>
                <w:szCs w:val="17"/>
                <w:color w:val="auto"/>
              </w:rPr>
            </w:pPr>
          </w:p>
        </w:tc>
      </w:tr>
    </w:tbl>
    <w:p>
      <w:pPr>
        <w:spacing w:after="0" w:line="170" w:lineRule="exact"/>
        <w:rPr>
          <w:sz w:val="20"/>
          <w:szCs w:val="20"/>
          <w:color w:val="auto"/>
        </w:rPr>
      </w:pPr>
    </w:p>
    <w:p>
      <w:pPr>
        <w:ind w:left="1240" w:right="40" w:hanging="1214"/>
        <w:spacing w:after="0" w:line="28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Certifications Pursuant to 18 U.S.C. Section 1350, as Adopted pursuant to Section 906 of the Sarbanes-Oxley Act of 2002 - V. James Vena and Jennifer L. Hamann.</w:t>
      </w:r>
    </w:p>
    <w:p>
      <w:pPr>
        <w:spacing w:after="0" w:line="99" w:lineRule="exact"/>
        <w:rPr>
          <w:sz w:val="20"/>
          <w:szCs w:val="20"/>
          <w:color w:val="auto"/>
        </w:rPr>
      </w:pPr>
    </w:p>
    <w:p>
      <w:pPr>
        <w:jc w:val="both"/>
        <w:ind w:left="1240" w:right="40" w:hanging="1214"/>
        <w:spacing w:after="0" w:line="255"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financial and related information from Union Pacific Corporation’s Quarterly Report on Form 10-Q for the period ended March 31, 2026 (filed with the SEC on April 23, 2026), formatted in Inline Extensible Business Reporting Language (iXBRL) includes (i) Condensed Consolidated Statements of Income for the periods ended March 31, 2026 and 2025, (ii) Condensed Consolidated Statements of Comprehensive Income for the periods ended March 31, 2026 and 2025, (iii) Condensed Consolidated Statements of Financial Position at March 31, 2026, and December 31, 2025, (iv) Condensed Consolidated Statements of Cash Flows for the periods ended March 31, 2026 and 2025, (v) Condensed Consolidated Statements of Changes in Common Shareholders’ Equity for the periods ended March 31, 2026 and 2025, and (vi) the Notes to the Condensed Consolidated Financial Statements.</w:t>
      </w:r>
    </w:p>
    <w:p>
      <w:pPr>
        <w:spacing w:after="0" w:line="131" w:lineRule="exact"/>
        <w:rPr>
          <w:sz w:val="20"/>
          <w:szCs w:val="20"/>
          <w:color w:val="auto"/>
        </w:rPr>
      </w:pPr>
    </w:p>
    <w:p>
      <w:pPr>
        <w:ind w:left="20" w:right="3220" w:firstLine="6"/>
        <w:spacing w:after="0" w:line="438" w:lineRule="auto"/>
        <w:tabs>
          <w:tab w:leader="none" w:pos="1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in Inline XBRL (contained in Exhibit 101). </w:t>
      </w:r>
      <w:r>
        <w:rPr>
          <w:rFonts w:ascii="Arial" w:cs="Arial" w:eastAsia="Arial" w:hAnsi="Arial"/>
          <w:sz w:val="18"/>
          <w:szCs w:val="18"/>
          <w:u w:val="single" w:color="auto"/>
          <w:color w:val="auto"/>
        </w:rPr>
        <w:t>Incorporated by Reference</w:t>
      </w:r>
    </w:p>
    <w:p>
      <w:pPr>
        <w:spacing w:after="0" w:line="1" w:lineRule="exact"/>
        <w:rPr>
          <w:sz w:val="20"/>
          <w:szCs w:val="20"/>
          <w:color w:val="auto"/>
        </w:rPr>
      </w:pPr>
    </w:p>
    <w:p>
      <w:pPr>
        <w:jc w:val="both"/>
        <w:ind w:left="1240" w:right="40" w:hanging="1214"/>
        <w:spacing w:after="0" w:line="268" w:lineRule="auto"/>
        <w:tabs>
          <w:tab w:leader="none" w:pos="1240" w:val="left"/>
        </w:tabs>
        <w:numPr>
          <w:ilvl w:val="0"/>
          <w:numId w:val="18"/>
        </w:numPr>
        <w:rPr>
          <w:rFonts w:ascii="Arial" w:cs="Arial" w:eastAsia="Arial" w:hAnsi="Arial"/>
          <w:sz w:val="18"/>
          <w:szCs w:val="18"/>
          <w:color w:val="0000FF"/>
        </w:rPr>
      </w:pPr>
      <w:hyperlink r:id="rId77">
        <w:r>
          <w:rPr>
            <w:rFonts w:ascii="Arial" w:cs="Arial" w:eastAsia="Arial" w:hAnsi="Arial"/>
            <w:sz w:val="18"/>
            <w:szCs w:val="18"/>
            <w:u w:val="single" w:color="auto"/>
            <w:color w:val="0000FF"/>
          </w:rPr>
          <w:t>Agreement and Plan of Merger dated as of July 28, 2025, by and among UPC, Ruby Merger Sub 1 Corporation, Ruby</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Merger Sub 2 LLC and Norfolk Southern Corporation is incorporated herein by reference to Exhibit 2.1 to the Corporation's</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Current Report on Form 8-K dated July 29, 2025</w:t>
        </w:r>
        <w:r>
          <w:rPr>
            <w:rFonts w:ascii="Arial" w:cs="Arial" w:eastAsia="Arial" w:hAnsi="Arial"/>
            <w:sz w:val="18"/>
            <w:szCs w:val="18"/>
            <w:color w:val="000000"/>
          </w:rPr>
          <w:t>.</w:t>
        </w:r>
      </w:hyperlink>
    </w:p>
    <w:p>
      <w:pPr>
        <w:spacing w:after="0" w:line="104"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20"/>
              <w:spacing w:after="0"/>
              <w:rPr>
                <w:sz w:val="20"/>
                <w:szCs w:val="20"/>
                <w:color w:val="auto"/>
              </w:rPr>
            </w:pPr>
            <w:r>
              <w:rPr>
                <w:rFonts w:ascii="Arial" w:cs="Arial" w:eastAsia="Arial" w:hAnsi="Arial"/>
                <w:sz w:val="18"/>
                <w:szCs w:val="18"/>
                <w:color w:val="auto"/>
              </w:rPr>
              <w:t>3(a)</w:t>
            </w:r>
          </w:p>
        </w:tc>
        <w:tc>
          <w:tcPr>
            <w:tcW w:w="10000" w:type="dxa"/>
            <w:vAlign w:val="bottom"/>
            <w:gridSpan w:val="4"/>
          </w:tcPr>
          <w:p>
            <w:pPr>
              <w:spacing w:after="0"/>
              <w:rPr>
                <w:rFonts w:ascii="Arial" w:cs="Arial" w:eastAsia="Arial" w:hAnsi="Arial"/>
                <w:sz w:val="18"/>
                <w:szCs w:val="18"/>
                <w:color w:val="0000FF"/>
              </w:rPr>
            </w:pPr>
            <w:hyperlink r:id="rId78">
              <w:r>
                <w:rPr>
                  <w:rFonts w:ascii="Arial" w:cs="Arial" w:eastAsia="Arial" w:hAnsi="Arial"/>
                  <w:sz w:val="18"/>
                  <w:szCs w:val="18"/>
                  <w:color w:val="0000FF"/>
                </w:rPr>
                <w:t>Restated Articles of Incorporation of UPC, as amended and restated through June 27, 2011, and as further amended May</w:t>
              </w:r>
            </w:hyperlink>
          </w:p>
        </w:tc>
      </w:tr>
      <w:tr>
        <w:trPr>
          <w:trHeight w:val="20"/>
        </w:trPr>
        <w:tc>
          <w:tcPr>
            <w:tcW w:w="12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4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15, 2014, are incorporated herein by reference to Exhibit 3(a) to the Corporation’s Quarterly Report on Form 10-Q for the</w:t>
              </w:r>
            </w:hyperlink>
          </w:p>
        </w:tc>
      </w:tr>
      <w:tr>
        <w:trPr>
          <w:trHeight w:val="196"/>
        </w:trPr>
        <w:tc>
          <w:tcPr>
            <w:tcW w:w="1240" w:type="dxa"/>
            <w:vAlign w:val="bottom"/>
          </w:tcPr>
          <w:p>
            <w:pPr>
              <w:spacing w:after="0"/>
              <w:rPr>
                <w:sz w:val="17"/>
                <w:szCs w:val="17"/>
                <w:color w:val="auto"/>
              </w:rPr>
            </w:pPr>
          </w:p>
        </w:tc>
        <w:tc>
          <w:tcPr>
            <w:tcW w:w="99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quarter ended June 30, 2014.</w:t>
              </w:r>
            </w:hyperlink>
          </w:p>
        </w:tc>
        <w:tc>
          <w:tcPr>
            <w:tcW w:w="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3(b)</w:t>
            </w:r>
          </w:p>
        </w:tc>
        <w:tc>
          <w:tcPr>
            <w:tcW w:w="10000" w:type="dxa"/>
            <w:vAlign w:val="bottom"/>
            <w:gridSpan w:val="4"/>
          </w:tcPr>
          <w:p>
            <w:pPr>
              <w:spacing w:after="0"/>
              <w:rPr>
                <w:rFonts w:ascii="Arial" w:cs="Arial" w:eastAsia="Arial" w:hAnsi="Arial"/>
                <w:sz w:val="18"/>
                <w:szCs w:val="18"/>
                <w:color w:val="0000FF"/>
              </w:rPr>
            </w:pPr>
            <w:hyperlink r:id="rId79">
              <w:r>
                <w:rPr>
                  <w:rFonts w:ascii="Arial" w:cs="Arial" w:eastAsia="Arial" w:hAnsi="Arial"/>
                  <w:sz w:val="18"/>
                  <w:szCs w:val="18"/>
                  <w:color w:val="0000FF"/>
                </w:rPr>
                <w:t>By-Laws of UPC, as amended, effective November 19, 2015, are incorporated herein by reference to Exhibit 3.2 to the</w:t>
              </w:r>
            </w:hyperlink>
          </w:p>
        </w:tc>
      </w:tr>
      <w:tr>
        <w:trPr>
          <w:trHeight w:val="196"/>
        </w:trPr>
        <w:tc>
          <w:tcPr>
            <w:tcW w:w="1240" w:type="dxa"/>
            <w:vAlign w:val="bottom"/>
          </w:tcPr>
          <w:p>
            <w:pPr>
              <w:spacing w:after="0"/>
              <w:rPr>
                <w:sz w:val="17"/>
                <w:szCs w:val="17"/>
                <w:color w:val="auto"/>
              </w:rPr>
            </w:pPr>
          </w:p>
        </w:tc>
        <w:tc>
          <w:tcPr>
            <w:tcW w:w="99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Corporation’s Current Report on Form 8-K dated November 19, 2015.</w:t>
              </w:r>
            </w:hyperlink>
          </w:p>
        </w:tc>
        <w:tc>
          <w:tcPr>
            <w:tcW w:w="40" w:type="dxa"/>
            <w:vAlign w:val="bottom"/>
          </w:tcPr>
          <w:p>
            <w:pPr>
              <w:spacing w:after="0"/>
              <w:rPr>
                <w:sz w:val="17"/>
                <w:szCs w:val="17"/>
                <w:color w:val="auto"/>
              </w:rPr>
            </w:pPr>
          </w:p>
        </w:tc>
      </w:tr>
      <w:tr>
        <w:trPr>
          <w:trHeight w:val="439"/>
        </w:trPr>
        <w:tc>
          <w:tcPr>
            <w:tcW w:w="1240" w:type="dxa"/>
            <w:vAlign w:val="bottom"/>
          </w:tcPr>
          <w:p>
            <w:pPr>
              <w:spacing w:after="0"/>
              <w:rPr>
                <w:sz w:val="24"/>
                <w:szCs w:val="24"/>
                <w:color w:val="auto"/>
              </w:rPr>
            </w:pPr>
          </w:p>
        </w:tc>
        <w:tc>
          <w:tcPr>
            <w:tcW w:w="5540" w:type="dxa"/>
            <w:vAlign w:val="bottom"/>
            <w:tcBorders>
              <w:top w:val="single" w:sz="8" w:color="0000FF"/>
            </w:tcBorders>
            <w:gridSpan w:val="2"/>
          </w:tcPr>
          <w:p>
            <w:pPr>
              <w:ind w:left="4300"/>
              <w:spacing w:after="0"/>
              <w:rPr>
                <w:sz w:val="20"/>
                <w:szCs w:val="20"/>
                <w:color w:val="auto"/>
              </w:rPr>
            </w:pPr>
            <w:r>
              <w:rPr>
                <w:rFonts w:ascii="Times New Roman" w:cs="Times New Roman" w:eastAsia="Times New Roman" w:hAnsi="Times New Roman"/>
                <w:sz w:val="18"/>
                <w:szCs w:val="18"/>
                <w:color w:val="auto"/>
              </w:rPr>
              <w:t>32</w:t>
            </w: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12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Dated: April 23, 2026</w:t>
      </w:r>
    </w:p>
    <w:p>
      <w:pPr>
        <w:spacing w:after="0" w:line="23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UNION PACIFIC CORPORATION (Registrant)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29743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Carrie J.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29743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Carrie J. Powers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Controller, 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Accounting Officer)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21"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225"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200" w:hanging="192"/>
        <w:spacing w:after="0" w:line="268"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17748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3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225"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225"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200" w:hanging="192"/>
        <w:spacing w:after="0" w:line="268"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19799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March 31, 2026,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36"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3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34925</wp:posOffset>
            </wp:positionV>
            <wp:extent cx="1680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March 31, 2026,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4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3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34925</wp:posOffset>
            </wp:positionV>
            <wp:extent cx="16802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L. Hamann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32"/>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2"/>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77" Type="http://schemas.openxmlformats.org/officeDocument/2006/relationships/hyperlink" Target="https://www.sec.gov/Archives/edgar/data/100885/000119312525168150/d51641dex21.htm" TargetMode="External"/><Relationship Id="rId78" Type="http://schemas.openxmlformats.org/officeDocument/2006/relationships/hyperlink" Target="https://www.sec.gov/Archives/edgar/data/100885/000119312514280047/d761509dex3a.htm" TargetMode="External"/><Relationship Id="rId79" Type="http://schemas.openxmlformats.org/officeDocument/2006/relationships/hyperlink" Target="https://www.sec.gov/Archives/edgar/data/100885/000010088515000208/unp-20151119ex32a605ee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2026-04-23T14:28:24Z</dcterms:created>
  <dcterms:modified xsi:type="dcterms:W3CDTF">2026-04-23T14:28:24Z</dcterms:modified>
</cp:coreProperties>
</file>