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October 22, 2026 (October 22, 2026)</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UNION PACIFIC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tbl>
      <w:tblPr>
        <w:tblW w:w="5279" w:type="dxa"/>
        <w:jc w:val="left"/>
        <w:tblInd w:w="0" w:type="dxa"/>
        <w:tblLayout w:type="fixed"/>
        <w:tblCellMar>
          <w:top w:w="28" w:type="dxa"/>
          <w:left w:w="28" w:type="dxa"/>
          <w:bottom w:w="28" w:type="dxa"/>
          <w:right w:w="28" w:type="dxa"/>
        </w:tblCellMar>
      </w:tblPr>
      <w:tblGrid>
        <w:gridCol w:w="852"/>
        <w:gridCol w:w="748"/>
        <w:gridCol w:w="754"/>
        <w:gridCol w:w="414"/>
        <w:gridCol w:w="414"/>
        <w:gridCol w:w="418"/>
        <w:gridCol w:w="490"/>
        <w:gridCol w:w="490"/>
        <w:gridCol w:w="699"/>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Utah</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1-6075</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13-2626465</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w:t>
              <w:br/>
              <w:t>of Incorporation)</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tbl>
      <w:tblPr>
        <w:tblW w:w="4769" w:type="dxa"/>
        <w:jc w:val="left"/>
        <w:tblInd w:w="0" w:type="dxa"/>
        <w:tblLayout w:type="fixed"/>
        <w:tblCellMar>
          <w:top w:w="28" w:type="dxa"/>
          <w:left w:w="28" w:type="dxa"/>
          <w:bottom w:w="28" w:type="dxa"/>
          <w:right w:w="28" w:type="dxa"/>
        </w:tblCellMar>
      </w:tblPr>
      <w:tblGrid>
        <w:gridCol w:w="1348"/>
        <w:gridCol w:w="1184"/>
        <w:gridCol w:w="1188"/>
        <w:gridCol w:w="307"/>
        <w:gridCol w:w="307"/>
        <w:gridCol w:w="435"/>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1400 Douglas Street, Omaha, Nebraska</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68179</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120"/>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(402) 544-5000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387" w:type="dxa"/>
        <w:jc w:val="left"/>
        <w:tblInd w:w="0" w:type="dxa"/>
        <w:tblLayout w:type="fixed"/>
        <w:tblCellMar>
          <w:top w:w="28" w:type="dxa"/>
          <w:left w:w="28" w:type="dxa"/>
          <w:bottom w:w="28" w:type="dxa"/>
          <w:right w:w="28" w:type="dxa"/>
        </w:tblCellMar>
      </w:tblPr>
      <w:tblGrid>
        <w:gridCol w:w="1417"/>
        <w:gridCol w:w="1245"/>
        <w:gridCol w:w="1252"/>
        <w:gridCol w:w="489"/>
        <w:gridCol w:w="489"/>
        <w:gridCol w:w="491"/>
        <w:gridCol w:w="1170"/>
        <w:gridCol w:w="1170"/>
        <w:gridCol w:w="1664"/>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 (Par Value $2.50 per share)</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UNP</w:t>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0" w:after="120"/>
        <w:jc w:val="both"/>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On October 22, 2026, Union Pacific Corporation issued a press release announcing its financial results for the quarter ended September 30, 2026. A copy of the press release is furnished herewith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ind w:left="0" w:right="0" w:hanging="1080"/>
        <w:jc w:val="left"/>
        <w:rPr>
          <w:rFonts w:ascii="Arial;sans-serif" w:hAnsi="Arial;sans-serif"/>
          <w:b w:val="false"/>
          <w:color w:val="000000"/>
          <w:sz w:val="20"/>
        </w:rPr>
      </w:pPr>
      <w:r>
        <w:rPr>
          <w:rFonts w:ascii="Arial;sans-serif" w:hAnsi="Arial;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2742"/>
        <w:gridCol w:w="2742"/>
        <w:gridCol w:w="3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3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10x228xkex991earning.htm">
              <w:r>
                <w:rPr>
                  <w:rStyle w:val="InternetLink"/>
                  <w:rFonts w:ascii="Arial;sans-serif" w:hAnsi="Arial;sans-serif"/>
                  <w:b w:val="false"/>
                  <w:color w:val="000080"/>
                  <w:sz w:val="20"/>
                  <w:u w:val="single"/>
                </w:rPr>
                <w:t xml:space="preserve">Press Release of Union Pacific Corporation, dated </w:t>
              </w:r>
            </w:hyperlink>
            <w:hyperlink w:anchor="a2026-10x228xkex991earning.htm">
              <w:r>
                <w:rPr>
                  <w:rStyle w:val="InternetLink"/>
                  <w:rFonts w:ascii="Arial;sans-serif" w:hAnsi="Arial;sans-serif"/>
                  <w:b w:val="false"/>
                  <w:color w:val="000080"/>
                  <w:sz w:val="20"/>
                  <w:u w:val="single"/>
                </w:rPr>
                <w:t>October</w:t>
              </w:r>
            </w:hyperlink>
            <w:hyperlink w:anchor="a2026-10x228xkex991earning.htm">
              <w:r>
                <w:rPr>
                  <w:rStyle w:val="InternetLink"/>
                  <w:rFonts w:ascii="Arial;sans-serif" w:hAnsi="Arial;sans-serif"/>
                  <w:b w:val="false"/>
                  <w:color w:val="000080"/>
                  <w:sz w:val="20"/>
                  <w:u w:val="single"/>
                </w:rPr>
                <w:t xml:space="preserve"> 2</w:t>
              </w:r>
            </w:hyperlink>
            <w:hyperlink w:anchor="a2026-10x228xkex991earning.htm">
              <w:r>
                <w:rPr>
                  <w:rStyle w:val="InternetLink"/>
                  <w:rFonts w:ascii="Arial;sans-serif" w:hAnsi="Arial;sans-serif"/>
                  <w:b w:val="false"/>
                  <w:color w:val="000080"/>
                  <w:sz w:val="20"/>
                  <w:u w:val="single"/>
                </w:rPr>
                <w:t>2</w:t>
              </w:r>
            </w:hyperlink>
            <w:hyperlink w:anchor="a2026-10x228xkex991earning.htm">
              <w:r>
                <w:rPr>
                  <w:rStyle w:val="InternetLink"/>
                  <w:rFonts w:ascii="Arial;sans-serif" w:hAnsi="Arial;sans-serif"/>
                  <w:b w:val="false"/>
                  <w:color w:val="000080"/>
                  <w:sz w:val="20"/>
                  <w:u w:val="single"/>
                </w:rPr>
                <w:t xml:space="preserve">, 2026, announcing its financial results for the quarter ended </w:t>
              </w:r>
            </w:hyperlink>
            <w:hyperlink w:anchor="a2026-10x228xkex991earning.htm">
              <w:r>
                <w:rPr>
                  <w:rStyle w:val="InternetLink"/>
                  <w:rFonts w:ascii="Arial;sans-serif" w:hAnsi="Arial;sans-serif"/>
                  <w:b w:val="false"/>
                  <w:color w:val="000080"/>
                  <w:sz w:val="20"/>
                  <w:u w:val="single"/>
                </w:rPr>
                <w:t>September</w:t>
              </w:r>
            </w:hyperlink>
            <w:hyperlink w:anchor="a2026-10x228xkex991earning.htm">
              <w:r>
                <w:rPr>
                  <w:rStyle w:val="InternetLink"/>
                  <w:rFonts w:ascii="Arial;sans-serif" w:hAnsi="Arial;sans-serif"/>
                  <w:b w:val="false"/>
                  <w:color w:val="000080"/>
                  <w:sz w:val="20"/>
                  <w:u w:val="single"/>
                </w:rPr>
                <w:t xml:space="preserve"> 30, 2026.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Dated: October 22, 2026</w:t>
      </w:r>
    </w:p>
    <w:tbl>
      <w:tblPr>
        <w:tblW w:w="4524" w:type="dxa"/>
        <w:jc w:val="left"/>
        <w:tblInd w:w="0" w:type="dxa"/>
        <w:tblLayout w:type="fixed"/>
        <w:tblCellMar>
          <w:top w:w="28" w:type="dxa"/>
          <w:left w:w="28" w:type="dxa"/>
          <w:bottom w:w="28" w:type="dxa"/>
          <w:right w:w="28" w:type="dxa"/>
        </w:tblCellMar>
      </w:tblPr>
      <w:tblGrid>
        <w:gridCol w:w="124"/>
        <w:gridCol w:w="109"/>
        <w:gridCol w:w="109"/>
        <w:gridCol w:w="484"/>
        <w:gridCol w:w="484"/>
        <w:gridCol w:w="484"/>
        <w:gridCol w:w="799"/>
        <w:gridCol w:w="799"/>
        <w:gridCol w:w="1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UNION PACIFIC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Jennifer L. Hamann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28"/>
        </w:rPr>
      </w:pPr>
      <w:r>
        <w:rPr>
          <w:rFonts w:ascii="Arial;sans-serif" w:hAnsi="Arial;sans-serif"/>
          <w:b/>
          <w:color w:val="000000"/>
          <w:sz w:val="28"/>
        </w:rPr>
        <w:t>Union Pacific Reports Third Quarter 2026 Results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4"/>
        </w:rPr>
        <w:t>Diluted EPS of $3.49, up 16%, and adjusted diluted EPS* of $3.53, up 15%</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Operating ratio (OR) of 59.1% and adjusted OR* of 58.8%</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4"/>
        </w:rPr>
        <w:t xml:space="preserve">Revenue carloads grew 6% </w:t>
      </w:r>
    </w:p>
    <w:p>
      <w:pPr>
        <w:pStyle w:val="TextBody"/>
        <w:bidi w:val="0"/>
        <w:spacing w:lineRule="auto" w:line="268" w:before="0" w:after="240"/>
        <w:jc w:val="left"/>
        <w:rPr/>
      </w:pPr>
      <w:r>
        <w:rPr>
          <w:rFonts w:ascii="Arial;sans-serif" w:hAnsi="Arial;sans-serif"/>
          <w:b/>
          <w:color w:val="000000"/>
          <w:sz w:val="24"/>
        </w:rPr>
        <w:t>Omaha, Neb., October 22, 2026</w:t>
      </w:r>
      <w:r>
        <w:rPr>
          <w:color w:val="000000"/>
        </w:rPr>
        <w:t xml:space="preserve"> – </w:t>
      </w:r>
      <w:r>
        <w:rPr>
          <w:rFonts w:ascii="Arial;sans-serif" w:hAnsi="Arial;sans-serif"/>
          <w:b w:val="false"/>
          <w:color w:val="000000"/>
          <w:sz w:val="24"/>
        </w:rPr>
        <w:t>Union Pacific Corporation (NYSE: UNP) today reported third quarter 2026 net income of $2.1 billion, up 16%, and diluted earnings per share (EPS) of $3.49, up 16%, compared to reported third quarter 2025 net income of $1.8 billion and diluted EPS of $3.01. Adjusted third quarter 2026 net income* of $2.1 billion increased 15%, and adjusted diluted EPS* of $3.53 increased 15%, compared to adjusted third quarter 2025 net income* of $1.8 billion and adjusted diluted EPS* of $3.08.</w:t>
      </w:r>
    </w:p>
    <w:p>
      <w:pPr>
        <w:pStyle w:val="TextBody"/>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"Union Pacific's third quarter results demonstrate our ability to safely deliver the service we sold to our customers while efficiently handling six percent volume growth," said Jim Vena, Union Pacific Chief Executive Officer. "We executed at a consistently high level, enabling record financial results and further reinforcing our position as the industry leader. We look forward to the upcoming steps of the Surface Transportation Board's merger review process and to delivering the benefits of America's first transcontinental railroad for our customers."</w: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Third Quarter Summary: 2026 vs. 2025</w: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Financial Results: Record Financial Results Driven by Volume Growth, Pricing Strength and Operational Execution; Record Freight Revenue, Freight Revenue excluding Fuel Surcharge, Operating Revenue, Operating Income, and Net Income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Operating revenue of $7.2 billion grew 15% driven by higher fuel surcharge, 6% volume growth, core pricing gains and increased other revenue partially offset by business mix.</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Freight revenue excluding fuel surcharge increased 6%.</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4"/>
        </w:rPr>
        <w:t xml:space="preserve">Reported operating ratio improved 10 basis points to 59.1%. Adjusted operating ratio* increased 30 basis points to 58.8%. Higher fuel price unfavorably impacted operating ratio 140 basis points. </w: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Operating Results: Operational Excellence Supports Volume Growth; Record Workforce Productivity, Train Length, and Fuel Consumption 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Reportable personal injury rate improved.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Freight car velocity was 228 daily miles per car, a 1% increase.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Average terminal dwell was 19.9 hours, a 2% improvement.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Fuel consumption rate was 1.034, measured in gallons of fuel per thousand gross ton-miles, a 2% improvement.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4"/>
        </w:rPr>
        <w:t>Workforce productivity was 1,219 car miles per employee, a 5% increase.</w:t>
      </w:r>
    </w:p>
    <w:p>
      <w:pPr>
        <w:pStyle w:val="TextBody"/>
        <w:bidi w:val="0"/>
        <w:spacing w:lineRule="auto" w:line="288" w:before="0" w:after="100"/>
        <w:ind w:left="0" w:right="0" w:hanging="144"/>
        <w:jc w:val="left"/>
        <w:rPr>
          <w:rFonts w:ascii="Arial;sans-serif" w:hAnsi="Arial;sans-serif"/>
          <w:b w:val="false"/>
          <w:color w:val="000000"/>
          <w:sz w:val="16"/>
        </w:rPr>
      </w:pPr>
      <w:r>
        <w:rPr>
          <w:rFonts w:ascii="Arial;sans-serif" w:hAnsi="Arial;sans-serif"/>
          <w:b w:val="false"/>
          <w:color w:val="000000"/>
          <w:sz w:val="16"/>
        </w:rPr>
        <w:t>*    See attached supplemental schedule of non-GAAP measures for a reconciliation to GAAP.</w:t>
      </w:r>
    </w:p>
    <w:p>
      <w:pPr>
        <w:pStyle w:val="TextBody"/>
        <w:bidi w:val="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120"/>
        <w:ind w:left="0" w:right="0" w:hanging="144"/>
        <w:jc w:val="left"/>
        <w:rPr>
          <w:rFonts w:ascii="Arial;sans-serif" w:hAnsi="Arial;sans-serif"/>
          <w:b/>
          <w:color w:val="000000"/>
          <w:sz w:val="24"/>
        </w:rPr>
      </w:pPr>
      <w:r>
        <w:rPr>
          <w:rFonts w:ascii="Arial;sans-serif" w:hAnsi="Arial;sans-serif"/>
          <w:b/>
          <w:color w:val="000000"/>
          <w:sz w:val="24"/>
        </w:rPr>
        <w:t>2026 Outlook - On Track with Investor Day Targets</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Affirmed: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Meeting increased customer demand with strong service; mixed economic forecast.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Reported earnings per share growth of high-single digit; consistent with attaining 3-year CAGR target of high-single to low-double digit through 2027.</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Pricing dollars in excess of inflation dollars.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Industry-leading operating ratio and return on invested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Continued strong cash generation and consistent annual dividend increases.</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Updated: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Operating ratio improvement from core business; reported operating ratio challenged by high fuel prices.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Capital plan of $3.5 billion</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Third Quarter 2026 Earnings Conference Call</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Union Pacific will webcast its third quarter 2026 earnings release presentation live at www.up.com/investor and via teleconference on Thursday, October 22, 2026, at 8:45 a.m. Eastern Time. Participants may join the conference call by dialing 877-407-8293 (or for international participants, 201-689-8349).</w:t>
      </w:r>
    </w:p>
    <w:p>
      <w:pPr>
        <w:pStyle w:val="TextBody"/>
        <w:bidi w:val="0"/>
        <w:spacing w:lineRule="auto" w:line="288" w:before="0" w:after="80"/>
        <w:jc w:val="left"/>
        <w:rPr>
          <w:rFonts w:ascii="Arial;sans-serif" w:hAnsi="Arial;sans-serif"/>
          <w:b/>
          <w:color w:val="000000"/>
          <w:sz w:val="24"/>
        </w:rPr>
      </w:pPr>
      <w:r>
        <w:rPr>
          <w:rFonts w:ascii="Arial;sans-serif" w:hAnsi="Arial;sans-serif"/>
          <w:b/>
          <w:color w:val="000000"/>
          <w:sz w:val="24"/>
        </w:rPr>
        <w:t>ABOUT UNION PACIFIC</w:t>
      </w:r>
    </w:p>
    <w:p>
      <w:pPr>
        <w:pStyle w:val="TextBody"/>
        <w:bidi w:val="0"/>
        <w:spacing w:lineRule="auto" w:line="288" w:before="0" w:after="80"/>
        <w:jc w:val="left"/>
        <w:rPr>
          <w:rFonts w:ascii="Arial;sans-serif" w:hAnsi="Arial;sans-serif"/>
          <w:b w:val="false"/>
          <w:color w:val="000000"/>
          <w:sz w:val="24"/>
        </w:rPr>
      </w:pPr>
      <w:r>
        <w:rPr>
          <w:rFonts w:ascii="Arial;sans-serif" w:hAnsi="Arial;sans-serif"/>
          <w:b w:val="false"/>
          <w:color w:val="000000"/>
          <w:sz w:val="24"/>
        </w:rPr>
        <w:t>Union Pacific (NYSE: UNP) delivers the goods families and businesses use every day with safe, reliable, and efficient service. Operating in 23 western states, the company connects its customers and communities to the global economy. Trains are the most environmentally responsible way to move freight, helping Union Pacific protect future generations. More information about Union Pacific is available at www.up.com.</w:t>
      </w:r>
    </w:p>
    <w:p>
      <w:pPr>
        <w:pStyle w:val="TextBody"/>
        <w:bidi w:val="0"/>
        <w:spacing w:lineRule="atLeast" w:line="142" w:before="180" w:after="240"/>
        <w:jc w:val="left"/>
        <w:rPr/>
      </w:pPr>
      <w:r>
        <w:rPr>
          <w:rFonts w:ascii="Arial;sans-serif" w:hAnsi="Arial;sans-serif"/>
          <w:b/>
          <w:color w:val="000000"/>
          <w:sz w:val="24"/>
        </w:rPr>
        <w:t>Union Pacific Investor contact</w:t>
      </w:r>
      <w:r>
        <w:rPr>
          <w:rFonts w:ascii="Arial;sans-serif" w:hAnsi="Arial;sans-serif"/>
          <w:b w:val="false"/>
          <w:color w:val="000000"/>
          <w:sz w:val="24"/>
        </w:rPr>
        <w:t>: Diana Prauner at 402-544-4227 or dprauner@up.com</w:t>
      </w:r>
    </w:p>
    <w:p>
      <w:pPr>
        <w:pStyle w:val="TextBody"/>
        <w:bidi w:val="0"/>
        <w:spacing w:lineRule="atLeast" w:line="142" w:before="180" w:after="240"/>
        <w:jc w:val="left"/>
        <w:rPr/>
      </w:pPr>
      <w:r>
        <w:rPr>
          <w:rFonts w:ascii="Arial;sans-serif" w:hAnsi="Arial;sans-serif"/>
          <w:b/>
          <w:color w:val="000000"/>
          <w:sz w:val="24"/>
        </w:rPr>
        <w:t>Union Pacific Media contact</w:t>
      </w:r>
      <w:r>
        <w:rPr>
          <w:rFonts w:ascii="Arial;sans-serif" w:hAnsi="Arial;sans-serif"/>
          <w:b w:val="false"/>
          <w:color w:val="000000"/>
          <w:sz w:val="24"/>
        </w:rPr>
        <w:t>: Kristen South at 402-544-3435 or kmsouth@up.com</w:t>
      </w:r>
    </w:p>
    <w:p>
      <w:pPr>
        <w:pStyle w:val="TextBody"/>
        <w:bidi w:val="0"/>
        <w:spacing w:lineRule="auto" w:line="288" w:before="300" w:after="120"/>
        <w:jc w:val="left"/>
        <w:rPr>
          <w:rFonts w:ascii="Arial;sans-serif" w:hAnsi="Arial;sans-serif"/>
          <w:b/>
          <w:color w:val="000000"/>
          <w:sz w:val="24"/>
        </w:rPr>
      </w:pPr>
      <w:r>
        <w:rPr>
          <w:rFonts w:ascii="Arial;sans-serif" w:hAnsi="Arial;sans-serif"/>
          <w:b/>
          <w:color w:val="000000"/>
          <w:sz w:val="24"/>
        </w:rPr>
        <w:t>Supplemental financial information is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8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76" w:before="0" w:after="240"/>
        <w:ind w:left="0" w:right="0" w:firstLine="720"/>
        <w:jc w:val="left"/>
        <w:rPr>
          <w:rFonts w:ascii="Arial;sans-serif" w:hAnsi="Arial;sans-serif"/>
          <w:b w:val="false"/>
          <w:i/>
          <w:color w:val="000000"/>
          <w:sz w:val="18"/>
        </w:rPr>
      </w:pPr>
      <w:r>
        <w:rPr>
          <w:rFonts w:ascii="Arial;sans-serif" w:hAnsi="Arial;sans-serif"/>
          <w:b w:val="false"/>
          <w:i/>
          <w:color w:val="000000"/>
          <w:sz w:val="18"/>
        </w:rPr>
        <w:t>Certain statements in this communication are “forward-looking statements” within the meaning of the “safe harbor” provisions of the Private Securities Litigation Reform Act of 1995, as amended. These statements relate to future events or future financial performance and involve known and unknown risks, uncertainties, and other factors that may cause the Company’s (or, as it relates to the Transaction (as defined below), the combined company of Norfolk Southern and Union Pacific (referred to hereinafter as the combined company) actual results, levels of activity, performance, or achievements or those of the railroad industry to be materially different from those expressed or implied by any forward-looking statements. In some cases, forward-looking statements may be identified by the use of words like “may,” “will,” “could,” “would,” “should,” “expect,” “anticipate,” “believe,” “project,” “estimate,” “intend,” “plan,” “pro forma,” or any variations or other comparable terminology.</w:t>
      </w:r>
    </w:p>
    <w:p>
      <w:pPr>
        <w:pStyle w:val="TextBody"/>
        <w:bidi w:val="0"/>
        <w:spacing w:lineRule="auto" w:line="276" w:before="0" w:after="240"/>
        <w:ind w:left="0" w:right="0" w:firstLine="720"/>
        <w:jc w:val="left"/>
        <w:rPr>
          <w:rFonts w:ascii="Arial;sans-serif" w:hAnsi="Arial;sans-serif"/>
          <w:b w:val="false"/>
          <w:i/>
          <w:color w:val="000000"/>
          <w:sz w:val="18"/>
        </w:rPr>
      </w:pPr>
      <w:r>
        <w:rPr>
          <w:rFonts w:ascii="Arial;sans-serif" w:hAnsi="Arial;sans-serif"/>
          <w:b w:val="false"/>
          <w:i/>
          <w:color w:val="000000"/>
          <w:sz w:val="18"/>
        </w:rPr>
        <w:t>While the Company has based these forward-looking statements on those expectations, assumptions, estimates, beliefs and projections they view as reasonable, such forward-looking statements are only predictions and involve known and unknown risks and uncertainties, many of which involve factors or circumstances that are beyond the Company’s control, including but not limited to, in addition to factors disclosed in the Company’s, as well as Norfolk Southern’s (as it relates to the proposed combination of it with the Company) respective filings with the U.S. Securities and Exchange Commission (the “SEC”): the occurrence of any event, change or other circumstance that could give rise to the right of one or both of the parties to terminate the definitive merger agreement between the Company and Norfolk Southern providing for the acquisition of Norfolk Southern by Union Pacific (the “Transaction”); the risk that potential legal proceedings may be instituted against the Company or Norfolk Southern and result in significant costs of defense, indemnification or liability; the possibility that the Transaction does not close when expected or at all because required Surface Transportation Board or other approvals and other conditions to closing are not received or satisfied on a timely basis or at all (and the risk that such approvals may result in the imposition of conditions that could adversely affect the combined company or the expected benefits of the Transaction); the risk that the combined company will not realize expected benefits, cost savings, accretion, synergies and/or growth from the Transaction, or that such benefits may take longer to realize or be more costly to achieve than expected, including as a result of changes in, or problems arising from, general economic and market conditions, tariffs, interest and exchange rates, monetary policy, laws and regulations and their enforcement, and the degree of competition in the geographic and business areas in which the Company and Norfolk Southern operate; disruption to the parties’ businesses as a result of the announcement and pendency of the Transaction; the costs associated with the anticipated length of time of the pendency of the Transaction, including the restrictions contained in the definitive merger agreement on the ability of the Company and Norfolk Southern, respectively, to operate their respective businesses outside the ordinary course during the pendency of the Transaction; the diversion of the Company’s and Norfolk Southern’s management’s attention and time from ongoing business operations and opportunities on merger-related matters; the risk that the integration of each party’s operations will be materially delayed or will be more costly or difficult than expected or that the parties are otherwise unable to successfully integrate each party’s businesses into the other’s businesses; the possibility that the Transaction may be more expensive to complete than anticipated, including as a result of unexpected factors or events; reputational risk and potential adverse reactions of the Company’s or Norfolk Southern’s customers, suppliers, employees, labor unions or other business partners, including those resulting from the announcement or completion of the Transaction; the dilution caused by the Company’s issuance of additional shares of its common stock in connection with the consummation of the Transaction; the risk of a downgrade of the credit rating of the Company’s indebtedness, which could give rise to an obligation to redeem existing indebtedness; a material adverse change in the financial condition of the Company, Norfolk Southern or the combined company; changes in domestic or international economic, political or business conditions, including those impacting the transportation industry (including customers, employees and supply chains); the Company’s, Norfolk Southern’s and the combined company’s ability to successfully implement its respective operational, productivity, and strategic initiatives; a significant adverse event on the Company’s or Norfolk Southern’s network, including, but not limited to, a mainline accident, discharge of hazardous materials, or climate-related or other network outage; the outcome of claims, litigation, governmental proceedings and investigations involving the Company or Norfolk Southern, including, in the case of Norfolk Southern, those with respect to the Eastern Ohio incident; the nature and extent of Norfolk Southern’s environmental remediation obligations with respect to the Eastern Ohio incident; new or additional governmental regulation and/or operational changes resulting from or related to the Eastern Ohio incident; and a cybersecurity incident or other disruption to our technology infrastructure.</w:t>
      </w:r>
    </w:p>
    <w:p>
      <w:pPr>
        <w:pStyle w:val="TextBody"/>
        <w:bidi w:val="0"/>
        <w:spacing w:lineRule="auto" w:line="276" w:before="0" w:after="240"/>
        <w:ind w:left="0" w:right="0" w:firstLine="720"/>
        <w:jc w:val="left"/>
        <w:rPr>
          <w:rFonts w:ascii="Arial;sans-serif" w:hAnsi="Arial;sans-serif"/>
          <w:b w:val="false"/>
          <w:i/>
          <w:color w:val="000000"/>
          <w:sz w:val="18"/>
        </w:rPr>
      </w:pPr>
      <w:r>
        <w:rPr>
          <w:rFonts w:ascii="Arial;sans-serif" w:hAnsi="Arial;sans-serif"/>
          <w:b w:val="false"/>
          <w:i/>
          <w:color w:val="000000"/>
          <w:sz w:val="18"/>
        </w:rPr>
        <w:t>This list of important factors is not intended to be exhaustive. These and other important factors, including those discussed under “Risk Factors” in Norfolk Southern’s Annual Report on Form 10-K for the year ended December 31, 2025, as filed with the SEC on February 9, 2026 (available at https://www.sec.gov/ix?doc=/Archives/edgar/data/0000702165/000162828026006268/nsc-20251231.htm) and Norfolk Southern’s subsequent filings with the SEC, the Company’s most recent Annual Report on Form 10-K for the year ended December 31, 2025, as filed with the SEC on February 6, 2026 (available at https://www.sec.gov/ix?doc=/Archives/edgar/data/100885/000010088526000037/unp-20251231.htm) and the Company’s subsequent filings with the SEC, may cause actual results, performance, or achievements to differ materially from those expressed or implied by these forward-looking statements. References to the Company’s and Norfolk Southern’s website are provided for convenience and, therefore, information on or available through the website is not, and should not be deemed to be, incorporated by reference herein. The forward-looking statements herein are made only as of the date they were first issued, and unless otherwise required by applicable securities laws, the Company and Norfolk Southern disclaims any intention or obligation to update or revise any forward-looking statements, whether as a result of new information, future events, or otherwise, except as may be required by applicable law or regulation.</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pPr>
      <w:r>
        <w:rPr>
          <w:rFonts w:ascii="Arial;sans-serif" w:hAnsi="Arial;sans-serif"/>
          <w:b w:val="false"/>
          <w:color w:val="000000"/>
          <w:sz w:val="20"/>
        </w:rPr>
        <w:t>###</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Income (unaudited)</w:t>
      </w:r>
    </w:p>
    <w:tbl>
      <w:tblPr>
        <w:tblW w:w="10205" w:type="dxa"/>
        <w:jc w:val="left"/>
        <w:tblInd w:w="0" w:type="dxa"/>
        <w:tblLayout w:type="fixed"/>
        <w:tblCellMar>
          <w:top w:w="28" w:type="dxa"/>
          <w:left w:w="28" w:type="dxa"/>
          <w:bottom w:w="28" w:type="dxa"/>
          <w:right w:w="28" w:type="dxa"/>
        </w:tblCellMar>
      </w:tblPr>
      <w:tblGrid>
        <w:gridCol w:w="1106"/>
        <w:gridCol w:w="893"/>
        <w:gridCol w:w="895"/>
        <w:gridCol w:w="258"/>
        <w:gridCol w:w="176"/>
        <w:gridCol w:w="179"/>
        <w:gridCol w:w="144"/>
        <w:gridCol w:w="147"/>
        <w:gridCol w:w="286"/>
        <w:gridCol w:w="258"/>
        <w:gridCol w:w="176"/>
        <w:gridCol w:w="179"/>
        <w:gridCol w:w="144"/>
        <w:gridCol w:w="147"/>
        <w:gridCol w:w="286"/>
        <w:gridCol w:w="224"/>
        <w:gridCol w:w="224"/>
        <w:gridCol w:w="436"/>
        <w:gridCol w:w="109"/>
        <w:gridCol w:w="109"/>
        <w:gridCol w:w="109"/>
        <w:gridCol w:w="258"/>
        <w:gridCol w:w="205"/>
        <w:gridCol w:w="208"/>
        <w:gridCol w:w="168"/>
        <w:gridCol w:w="170"/>
        <w:gridCol w:w="286"/>
        <w:gridCol w:w="258"/>
        <w:gridCol w:w="205"/>
        <w:gridCol w:w="208"/>
        <w:gridCol w:w="168"/>
        <w:gridCol w:w="170"/>
        <w:gridCol w:w="286"/>
        <w:gridCol w:w="218"/>
        <w:gridCol w:w="218"/>
        <w:gridCol w:w="694"/>
      </w:tblGrid>
      <w:tr>
        <w:trPr/>
        <w:tc>
          <w:tcPr>
            <w:tcW w:w="110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2894" w:type="dxa"/>
            <w:gridSpan w:val="3"/>
            <w:vMerge w:val="restart"/>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 and percentages, for the periods ended September 30,</w:t>
            </w:r>
          </w:p>
        </w:tc>
        <w:tc>
          <w:tcPr>
            <w:tcW w:w="3264"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3rd quarter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2894" w:type="dxa"/>
            <w:gridSpan w:val="3"/>
            <w:vMerge w:val="continue"/>
            <w:tcBorders>
              <w:top w:val="single" w:sz="4" w:space="0" w:color="000000"/>
            </w:tcBorders>
            <w:shd w:fill="FFFFFF" w:val="clear"/>
            <w:tcMar>
              <w:top w:w="52" w:type="dxa"/>
              <w:left w:w="0" w:type="dxa"/>
              <w:bottom w:w="0" w:type="dxa"/>
              <w:right w:w="0" w:type="dxa"/>
            </w:tcMar>
            <w:vAlign w:val="center"/>
          </w:tcPr>
          <w:p>
            <w:pPr>
              <w:pStyle w:val="Normal"/>
              <w:bidi w:val="0"/>
              <w:jc w:val="left"/>
              <w:rPr/>
            </w:pPr>
            <w:r>
              <w:rPr/>
            </w:r>
          </w:p>
        </w:tc>
        <w:tc>
          <w:tcPr>
            <w:tcW w:w="61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5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5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6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6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28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6,813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384</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1,054</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7,197</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6,244 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20,278</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18,425 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2,621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69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2,128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1,914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355</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1,081</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04"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4,254</w:t>
            </w:r>
            <w:r>
              <w:rPr>
                <w:color w:val="000000"/>
              </w:rPr>
              <w:t>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3,695 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12,114</w:t>
            </w:r>
            <w:r>
              <w:rPr>
                <w:color w:val="000000"/>
              </w:rPr>
              <w:t>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10,980 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904"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2,943</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8,164</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7,445 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(312)</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(945)</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2,726</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2,318 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7,510</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9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(650)</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(1,740)</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2,076</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28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Share and per share</w:t>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9.72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9.71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594.5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594.0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declared per share</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ratio</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6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r>
        <w:trPr/>
        <w:tc>
          <w:tcPr>
            <w:tcW w:w="289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Effective tax rate</w:t>
            </w:r>
          </w:p>
        </w:tc>
        <w:tc>
          <w:tcPr>
            <w:tcW w:w="904"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23.8</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04"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3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23.2</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9"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94"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Freight Revenues Statistics (unaudited)</w:t>
      </w:r>
    </w:p>
    <w:tbl>
      <w:tblPr>
        <w:tblW w:w="9475" w:type="dxa"/>
        <w:jc w:val="left"/>
        <w:tblInd w:w="0" w:type="dxa"/>
        <w:tblLayout w:type="fixed"/>
        <w:tblCellMar>
          <w:top w:w="28" w:type="dxa"/>
          <w:left w:w="28" w:type="dxa"/>
          <w:bottom w:w="28" w:type="dxa"/>
          <w:right w:w="28" w:type="dxa"/>
        </w:tblCellMar>
      </w:tblPr>
      <w:tblGrid>
        <w:gridCol w:w="1211"/>
        <w:gridCol w:w="1064"/>
        <w:gridCol w:w="1070"/>
        <w:gridCol w:w="211"/>
        <w:gridCol w:w="646"/>
        <w:gridCol w:w="109"/>
        <w:gridCol w:w="211"/>
        <w:gridCol w:w="646"/>
        <w:gridCol w:w="109"/>
        <w:gridCol w:w="188"/>
        <w:gridCol w:w="188"/>
        <w:gridCol w:w="286"/>
        <w:gridCol w:w="109"/>
        <w:gridCol w:w="109"/>
        <w:gridCol w:w="109"/>
        <w:gridCol w:w="211"/>
        <w:gridCol w:w="751"/>
        <w:gridCol w:w="109"/>
        <w:gridCol w:w="211"/>
        <w:gridCol w:w="751"/>
        <w:gridCol w:w="109"/>
        <w:gridCol w:w="188"/>
        <w:gridCol w:w="188"/>
        <w:gridCol w:w="691"/>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3rd quarter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For the periods ended September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66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106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Freight revenues (millions)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2,116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6,185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2,509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7,086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5,953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carloads (thousands)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1,591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1,752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1,158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3,196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2,293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6,539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revenue per car</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4,004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3,889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3,789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3,717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4,136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4,044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3,324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3,251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2,971</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2,940</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ind w:left="0" w:right="0" w:hanging="360"/>
        <w:jc w:val="left"/>
        <w:rPr>
          <w:rFonts w:ascii="Arial;sans-serif" w:hAnsi="Arial;sans-serif"/>
          <w:b w:val="false"/>
          <w:color w:val="000000"/>
          <w:sz w:val="18"/>
        </w:rPr>
      </w:pPr>
      <w:r>
        <w:rPr>
          <w:rFonts w:ascii="Arial;sans-serif" w:hAnsi="Arial;sans-serif"/>
          <w:b w:val="false"/>
          <w:color w:val="000000"/>
          <w:sz w:val="18"/>
        </w:rPr>
        <w:t>[a]For intermodal shipments each container or trailer equals one carload.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Financial Position (unaudited)</w:t>
      </w:r>
    </w:p>
    <w:tbl>
      <w:tblPr>
        <w:tblW w:w="6859" w:type="dxa"/>
        <w:jc w:val="left"/>
        <w:tblInd w:w="0" w:type="dxa"/>
        <w:tblLayout w:type="fixed"/>
        <w:tblCellMar>
          <w:top w:w="28" w:type="dxa"/>
          <w:left w:w="28" w:type="dxa"/>
          <w:bottom w:w="28" w:type="dxa"/>
          <w:right w:w="28" w:type="dxa"/>
        </w:tblCellMar>
      </w:tblPr>
      <w:tblGrid>
        <w:gridCol w:w="1568"/>
        <w:gridCol w:w="1374"/>
        <w:gridCol w:w="1393"/>
        <w:gridCol w:w="211"/>
        <w:gridCol w:w="751"/>
        <w:gridCol w:w="109"/>
        <w:gridCol w:w="211"/>
        <w:gridCol w:w="751"/>
        <w:gridCol w:w="491"/>
      </w:tblGrid>
      <w:tr>
        <w:trPr/>
        <w:tc>
          <w:tcPr>
            <w:tcW w:w="156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Sep. 30,</w:t>
              <w:br/>
              <w:t>2026</w:t>
            </w:r>
          </w:p>
        </w:tc>
        <w:tc>
          <w:tcPr>
            <w:tcW w:w="14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43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Properties,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59,645 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72,609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common shareholders' equity</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within one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after one year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30,294 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13,421 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50,591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51,231 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common shareholders' equity</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22,018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18,467 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common shareholders' equity</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72,609</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4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Cash Flows (unaudited)</w:t>
      </w:r>
    </w:p>
    <w:tbl>
      <w:tblPr>
        <w:tblW w:w="7849" w:type="dxa"/>
        <w:jc w:val="left"/>
        <w:tblInd w:w="0" w:type="dxa"/>
        <w:tblLayout w:type="fixed"/>
        <w:tblCellMar>
          <w:top w:w="28" w:type="dxa"/>
          <w:left w:w="28" w:type="dxa"/>
          <w:bottom w:w="28" w:type="dxa"/>
          <w:right w:w="28" w:type="dxa"/>
        </w:tblCellMar>
      </w:tblPr>
      <w:tblGrid>
        <w:gridCol w:w="2069"/>
        <w:gridCol w:w="1818"/>
        <w:gridCol w:w="1828"/>
        <w:gridCol w:w="211"/>
        <w:gridCol w:w="646"/>
        <w:gridCol w:w="109"/>
        <w:gridCol w:w="211"/>
        <w:gridCol w:w="646"/>
        <w:gridCol w:w="311"/>
      </w:tblGrid>
      <w:tr>
        <w:trPr/>
        <w:tc>
          <w:tcPr>
            <w:tcW w:w="206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periods ended September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7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and other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8,302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7,065 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Investing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Maturities of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(3,456)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(2,791)</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repaid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(1,424)</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issued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(3,908)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(4,472)</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year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Free cash flow**</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2,362</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3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*Capital investments include locomotive and freight car early lease buyouts of $320 million in 2026 and $311 million in 2025.</w:t>
      </w:r>
    </w:p>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**Free cash flow is defined as cash provided by operating activities less cash used in investing activities and dividends paid. Free cash flow is considered a non-GAAP financial measure by SEC Regulation G and Item 10(e) of SEC Regulation S-K and may not be defined and calculated by other companies in the same manner. We believe free cash flow is important to management and investors in evaluating our financial performance and measures our ability to generate cash without additional external financing. Free cash flow should be considered in addition to, rather than as a substitute for, cash provided by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Operating and Performance Statistics (unaudited)</w:t>
      </w:r>
    </w:p>
    <w:tbl>
      <w:tblPr>
        <w:tblW w:w="10205" w:type="dxa"/>
        <w:jc w:val="left"/>
        <w:tblInd w:w="0" w:type="dxa"/>
        <w:tblLayout w:type="fixed"/>
        <w:tblCellMar>
          <w:top w:w="28" w:type="dxa"/>
          <w:left w:w="28" w:type="dxa"/>
          <w:bottom w:w="28" w:type="dxa"/>
          <w:right w:w="28" w:type="dxa"/>
        </w:tblCellMar>
      </w:tblPr>
      <w:tblGrid>
        <w:gridCol w:w="1520"/>
        <w:gridCol w:w="1305"/>
        <w:gridCol w:w="1312"/>
        <w:gridCol w:w="240"/>
        <w:gridCol w:w="616"/>
        <w:gridCol w:w="109"/>
        <w:gridCol w:w="240"/>
        <w:gridCol w:w="616"/>
        <w:gridCol w:w="109"/>
        <w:gridCol w:w="187"/>
        <w:gridCol w:w="189"/>
        <w:gridCol w:w="436"/>
        <w:gridCol w:w="109"/>
        <w:gridCol w:w="109"/>
        <w:gridCol w:w="109"/>
        <w:gridCol w:w="240"/>
        <w:gridCol w:w="616"/>
        <w:gridCol w:w="109"/>
        <w:gridCol w:w="240"/>
        <w:gridCol w:w="616"/>
        <w:gridCol w:w="109"/>
        <w:gridCol w:w="187"/>
        <w:gridCol w:w="189"/>
        <w:gridCol w:w="693"/>
      </w:tblGrid>
      <w:tr>
        <w:trPr/>
        <w:tc>
          <w:tcPr>
            <w:tcW w:w="152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3rd quarter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For the periods ended September 30,</w:t>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106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413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Operating/performance statistics</w:t>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 velocity (daily miles per car)</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228</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231</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train speed (miles per hour)*</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24.3</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24.8</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terminal dwell time (hours)*</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19.9</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19.8</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 productivity (GTMs per horsepower day)</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140</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142</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ton-miles (GTMs) (millions)</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232,506</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223,029</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678,251</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656,079</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Train length (feet)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9,969</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9,801</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9,871</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9,661</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service performance index (%)</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Manifest service performance index (%)</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Workforce productivity (car miles per employee)</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1,219</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1,186</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employees (average)</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28,540</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28,871</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28,658</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29,576</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Locomotive fuel statistics</w:t>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fuel price per gallon consumed</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 consumed in gallons (millions)</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240</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712</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 consumption rate**</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1.034</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1.052</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1.049</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ton-miles (millions)</w:t>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3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54,234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164,506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155,706 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8,443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8,087 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24,929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23,828 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9,898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35,019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32,121 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100,445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95,056 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4,514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13,476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3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24,828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70,576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69,654 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114,081</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108,855 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335,527</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320,416 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*Surface Transportation Board (STB) reported performance measures.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**Fuel consumption is computed as follows: gallons of fuel consumed divided by gross ton-miles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Income (unaudited)</w:t>
      </w:r>
    </w:p>
    <w:tbl>
      <w:tblPr>
        <w:tblW w:w="10067" w:type="dxa"/>
        <w:jc w:val="left"/>
        <w:tblInd w:w="0" w:type="dxa"/>
        <w:tblLayout w:type="fixed"/>
        <w:tblCellMar>
          <w:top w:w="28" w:type="dxa"/>
          <w:left w:w="28" w:type="dxa"/>
          <w:bottom w:w="28" w:type="dxa"/>
          <w:right w:w="28" w:type="dxa"/>
        </w:tblCellMar>
      </w:tblPr>
      <w:tblGrid>
        <w:gridCol w:w="1452"/>
        <w:gridCol w:w="1273"/>
        <w:gridCol w:w="1279"/>
        <w:gridCol w:w="339"/>
        <w:gridCol w:w="175"/>
        <w:gridCol w:w="175"/>
        <w:gridCol w:w="161"/>
        <w:gridCol w:w="163"/>
        <w:gridCol w:w="286"/>
        <w:gridCol w:w="375"/>
        <w:gridCol w:w="193"/>
        <w:gridCol w:w="197"/>
        <w:gridCol w:w="157"/>
        <w:gridCol w:w="158"/>
        <w:gridCol w:w="286"/>
        <w:gridCol w:w="354"/>
        <w:gridCol w:w="183"/>
        <w:gridCol w:w="183"/>
        <w:gridCol w:w="161"/>
        <w:gridCol w:w="163"/>
        <w:gridCol w:w="286"/>
        <w:gridCol w:w="109"/>
        <w:gridCol w:w="211"/>
        <w:gridCol w:w="60"/>
        <w:gridCol w:w="345"/>
        <w:gridCol w:w="346"/>
        <w:gridCol w:w="542"/>
        <w:gridCol w:w="132"/>
        <w:gridCol w:w="132"/>
        <w:gridCol w:w="191"/>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gridSpan w:val="3"/>
            <w:vMerge w:val="restart"/>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w:t>
              <w:br/>
              <w:t>except per share amounts and percentages,</w:t>
            </w:r>
          </w:p>
        </w:tc>
        <w:tc>
          <w:tcPr>
            <w:tcW w:w="4104" w:type="dxa"/>
            <w:gridSpan w:val="1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2026</w:t>
            </w:r>
          </w:p>
        </w:tc>
        <w:tc>
          <w:tcPr>
            <w:tcW w:w="271"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6"/>
            <w:tcBorders/>
          </w:tcPr>
          <w:p>
            <w:pPr>
              <w:pStyle w:val="TableContents"/>
              <w:bidi w:val="0"/>
              <w:spacing w:before="0" w:after="283"/>
              <w:jc w:val="left"/>
              <w:rPr>
                <w:sz w:val="4"/>
                <w:szCs w:val="4"/>
              </w:rPr>
            </w:pPr>
            <w:r>
              <w:rPr>
                <w:sz w:val="4"/>
                <w:szCs w:val="4"/>
              </w:rPr>
            </w:r>
          </w:p>
        </w:tc>
      </w:tr>
      <w:tr>
        <w:trPr/>
        <w:tc>
          <w:tcPr>
            <w:tcW w:w="4004" w:type="dxa"/>
            <w:gridSpan w:val="3"/>
            <w:vMerge w:val="continue"/>
            <w:tcBorders>
              <w:top w:val="single" w:sz="4" w:space="0" w:color="000000"/>
            </w:tcBorders>
            <w:shd w:fill="FFFFFF" w:val="clear"/>
            <w:tcMar>
              <w:top w:w="52" w:type="dxa"/>
              <w:left w:w="0" w:type="dxa"/>
              <w:bottom w:w="0" w:type="dxa"/>
              <w:right w:w="0" w:type="dxa"/>
            </w:tcMar>
            <w:vAlign w:val="center"/>
          </w:tcPr>
          <w:p>
            <w:pPr>
              <w:pStyle w:val="Normal"/>
              <w:bidi w:val="0"/>
              <w:jc w:val="left"/>
              <w:rPr/>
            </w:pPr>
            <w:r>
              <w:rPr/>
            </w:r>
          </w:p>
        </w:tc>
        <w:tc>
          <w:tcPr>
            <w:tcW w:w="6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1st qtr</w:t>
            </w:r>
          </w:p>
        </w:tc>
        <w:tc>
          <w:tcPr>
            <w:tcW w:w="6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2nd qtr</w:t>
            </w:r>
          </w:p>
        </w:tc>
        <w:tc>
          <w:tcPr>
            <w:tcW w:w="6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3rd qtr</w:t>
            </w:r>
          </w:p>
        </w:tc>
        <w:tc>
          <w:tcPr>
            <w:tcW w:w="6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vAlign w:val="center"/>
          </w:tcPr>
          <w:p>
            <w:pPr>
              <w:pStyle w:val="TableContents"/>
              <w:bidi w:val="0"/>
              <w:spacing w:before="0" w:after="283"/>
              <w:jc w:val="left"/>
              <w:rPr>
                <w:sz w:val="4"/>
                <w:szCs w:val="4"/>
              </w:rPr>
            </w:pPr>
            <w:r>
              <w:rPr>
                <w:sz w:val="4"/>
                <w:szCs w:val="4"/>
              </w:rPr>
            </w:r>
          </w:p>
        </w:tc>
        <w:tc>
          <w:tcPr>
            <w:tcW w:w="1688" w:type="dxa"/>
            <w:gridSpan w:val="6"/>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Year-to-date</w:t>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6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19,224 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54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13"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6,217 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6,864 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7,197 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20,278 </w:t>
            </w:r>
          </w:p>
        </w:tc>
        <w:tc>
          <w:tcPr>
            <w:tcW w:w="5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6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3,731 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2,621 </w:t>
            </w:r>
          </w:p>
        </w:tc>
        <w:tc>
          <w:tcPr>
            <w:tcW w:w="54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2,128 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54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1,081 </w:t>
            </w:r>
          </w:p>
        </w:tc>
        <w:tc>
          <w:tcPr>
            <w:tcW w:w="54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13"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3,759 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4,101 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4,254 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12,114 </w:t>
            </w:r>
          </w:p>
        </w:tc>
        <w:tc>
          <w:tcPr>
            <w:tcW w:w="54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1013"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2,458 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2,763 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8,164 </w:t>
            </w:r>
          </w:p>
        </w:tc>
        <w:tc>
          <w:tcPr>
            <w:tcW w:w="5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(945)</w:t>
            </w:r>
          </w:p>
        </w:tc>
        <w:tc>
          <w:tcPr>
            <w:tcW w:w="54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13"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2,229 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2,555 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2,726 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7,510 </w:t>
            </w:r>
          </w:p>
        </w:tc>
        <w:tc>
          <w:tcPr>
            <w:tcW w:w="5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(1,740)</w:t>
            </w:r>
          </w:p>
        </w:tc>
        <w:tc>
          <w:tcPr>
            <w:tcW w:w="54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33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5,770 </w:t>
            </w:r>
          </w:p>
        </w:tc>
        <w:tc>
          <w:tcPr>
            <w:tcW w:w="5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Share and per share</w:t>
            </w:r>
          </w:p>
        </w:tc>
        <w:tc>
          <w:tcPr>
            <w:tcW w:w="6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54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593.4 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54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declared per share</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ratio</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w:t>
            </w:r>
          </w:p>
        </w:tc>
        <w:tc>
          <w:tcPr>
            <w:tcW w:w="54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5" w:type="dxa"/>
            <w:gridSpan w:val="3"/>
            <w:tcBorders/>
          </w:tcPr>
          <w:p>
            <w:pPr>
              <w:pStyle w:val="TableContents"/>
              <w:bidi w:val="0"/>
              <w:spacing w:before="0" w:after="283"/>
              <w:jc w:val="left"/>
              <w:rPr>
                <w:sz w:val="4"/>
                <w:szCs w:val="4"/>
              </w:rPr>
            </w:pPr>
            <w:r>
              <w:rPr>
                <w:sz w:val="4"/>
                <w:szCs w:val="4"/>
              </w:rPr>
            </w:r>
          </w:p>
        </w:tc>
      </w:tr>
      <w:tr>
        <w:trPr/>
        <w:tc>
          <w:tcPr>
            <w:tcW w:w="400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Effective tax rate</w:t>
            </w:r>
          </w:p>
        </w:tc>
        <w:tc>
          <w:tcPr>
            <w:tcW w:w="1013"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4"/>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542"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5"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00"/>
        <w:jc w:val="left"/>
        <w:rPr>
          <w:rFonts w:ascii="Arial;sans-serif" w:hAnsi="Arial;sans-serif"/>
          <w:b w:val="false"/>
          <w:i/>
          <w:color w:val="000000"/>
          <w:sz w:val="22"/>
        </w:rPr>
      </w:pPr>
      <w:r>
        <w:rPr>
          <w:rFonts w:ascii="Arial;sans-serif" w:hAnsi="Arial;sans-serif"/>
          <w:b w:val="false"/>
          <w:i/>
          <w:color w:val="000000"/>
          <w:sz w:val="22"/>
        </w:rPr>
        <w:t>Freight Revenue Statistics (unaudited)</w:t>
      </w:r>
    </w:p>
    <w:tbl>
      <w:tblPr>
        <w:tblW w:w="7385" w:type="dxa"/>
        <w:jc w:val="left"/>
        <w:tblInd w:w="0" w:type="dxa"/>
        <w:tblLayout w:type="fixed"/>
        <w:tblCellMar>
          <w:top w:w="28" w:type="dxa"/>
          <w:left w:w="28" w:type="dxa"/>
          <w:bottom w:w="28" w:type="dxa"/>
          <w:right w:w="28" w:type="dxa"/>
        </w:tblCellMar>
      </w:tblPr>
      <w:tblGrid>
        <w:gridCol w:w="1059"/>
        <w:gridCol w:w="932"/>
        <w:gridCol w:w="934"/>
        <w:gridCol w:w="211"/>
        <w:gridCol w:w="646"/>
        <w:gridCol w:w="109"/>
        <w:gridCol w:w="211"/>
        <w:gridCol w:w="646"/>
        <w:gridCol w:w="109"/>
        <w:gridCol w:w="211"/>
        <w:gridCol w:w="646"/>
        <w:gridCol w:w="109"/>
        <w:gridCol w:w="109"/>
        <w:gridCol w:w="211"/>
        <w:gridCol w:w="751"/>
        <w:gridCol w:w="491"/>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10"/>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2026</w:t>
            </w:r>
          </w:p>
        </w:tc>
        <w:tc>
          <w:tcPr>
            <w:tcW w:w="1453" w:type="dxa"/>
            <w:gridSpan w:val="3"/>
            <w:tcBorders/>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1st qtr</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2nd qtr</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3rd qtr</w:t>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Year-to-date</w:t>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Freight revenues (millions)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2,041 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7,086 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5,953 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6,813 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19,224 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carloads (thousands)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1,752 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3,196 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6,539 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revenue per car</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3,889 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3,717 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6,706 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4,044 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3,251 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1,862 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2,829 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2,971 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2,940 </w:t>
            </w:r>
          </w:p>
        </w:tc>
        <w:tc>
          <w:tcPr>
            <w:tcW w:w="4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[a]For intermodal shipments each container or trailer equals one carload.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Non-GAAP Measures Reconciliation to GAAP (unaudited)</w:t>
      </w:r>
    </w:p>
    <w:tbl>
      <w:tblPr>
        <w:tblW w:w="9107" w:type="dxa"/>
        <w:jc w:val="left"/>
        <w:tblInd w:w="0" w:type="dxa"/>
        <w:tblLayout w:type="fixed"/>
        <w:tblCellMar>
          <w:top w:w="28" w:type="dxa"/>
          <w:left w:w="28" w:type="dxa"/>
          <w:bottom w:w="28" w:type="dxa"/>
          <w:right w:w="28" w:type="dxa"/>
        </w:tblCellMar>
      </w:tblPr>
      <w:tblGrid>
        <w:gridCol w:w="1732"/>
        <w:gridCol w:w="1524"/>
        <w:gridCol w:w="1528"/>
        <w:gridCol w:w="282"/>
        <w:gridCol w:w="865"/>
        <w:gridCol w:w="383"/>
        <w:gridCol w:w="300"/>
        <w:gridCol w:w="773"/>
        <w:gridCol w:w="411"/>
        <w:gridCol w:w="109"/>
        <w:gridCol w:w="213"/>
        <w:gridCol w:w="653"/>
        <w:gridCol w:w="33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Performance*</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three months ended September 30, 2026</w:t>
            </w:r>
          </w:p>
        </w:tc>
        <w:tc>
          <w:tcPr>
            <w:tcW w:w="15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Reported results</w:t>
              <w:br/>
              <w:t>(GAAP)</w:t>
            </w:r>
          </w:p>
        </w:tc>
        <w:tc>
          <w:tcPr>
            <w:tcW w:w="14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Acquisition-</w:t>
              <w:br/>
              <w:t>related expense</w:t>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results</w:t>
              <w:br/>
              <w:t>(non-GAAP)</w:t>
            </w:r>
          </w:p>
        </w:tc>
      </w:tr>
      <w:tr>
        <w:trPr/>
        <w:tc>
          <w:tcPr>
            <w:tcW w:w="47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4,254 </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4,232 </w:t>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[a]</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114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38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73"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334"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8720" w:type="dxa"/>
        <w:jc w:val="left"/>
        <w:tblInd w:w="0" w:type="dxa"/>
        <w:tblLayout w:type="fixed"/>
        <w:tblCellMar>
          <w:top w:w="28" w:type="dxa"/>
          <w:left w:w="28" w:type="dxa"/>
          <w:bottom w:w="28" w:type="dxa"/>
          <w:right w:w="28" w:type="dxa"/>
        </w:tblCellMar>
      </w:tblPr>
      <w:tblGrid>
        <w:gridCol w:w="1732"/>
        <w:gridCol w:w="1524"/>
        <w:gridCol w:w="1528"/>
        <w:gridCol w:w="211"/>
        <w:gridCol w:w="646"/>
        <w:gridCol w:w="286"/>
        <w:gridCol w:w="300"/>
        <w:gridCol w:w="773"/>
        <w:gridCol w:w="411"/>
        <w:gridCol w:w="109"/>
        <w:gridCol w:w="213"/>
        <w:gridCol w:w="653"/>
        <w:gridCol w:w="33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three months ended September 30, 2025</w:t>
            </w:r>
          </w:p>
        </w:tc>
        <w:tc>
          <w:tcPr>
            <w:tcW w:w="11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Reported </w:t>
              <w:br/>
              <w:t>results</w:t>
              <w:br/>
              <w:t>(GAAP)</w:t>
            </w:r>
          </w:p>
        </w:tc>
        <w:tc>
          <w:tcPr>
            <w:tcW w:w="14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Acquisition-</w:t>
              <w:br/>
              <w:t>related expense</w:t>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results</w:t>
              <w:br/>
              <w:t>(non-GAAP)</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3,695 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4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3,654 </w:t>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85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73"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4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334"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00"/>
        <w:ind w:left="0" w:right="0" w:hanging="360"/>
        <w:jc w:val="both"/>
        <w:rPr>
          <w:rFonts w:ascii="Arial;sans-serif" w:hAnsi="Arial;sans-serif"/>
          <w:b w:val="false"/>
          <w:color w:val="000000"/>
          <w:sz w:val="18"/>
        </w:rPr>
      </w:pPr>
      <w:r>
        <w:rPr>
          <w:rFonts w:ascii="Arial;sans-serif" w:hAnsi="Arial;sans-serif"/>
          <w:b w:val="false"/>
          <w:color w:val="000000"/>
          <w:sz w:val="18"/>
        </w:rPr>
        <w:t>[a]Certain acquisition-related costs are non-deductible for income tax purposes.</w:t>
      </w:r>
    </w:p>
    <w:p>
      <w:pPr>
        <w:pStyle w:val="TextBody"/>
        <w:bidi w:val="0"/>
        <w:spacing w:lineRule="auto" w:line="288" w:before="0" w:after="200"/>
        <w:ind w:left="0" w:right="0" w:hanging="360"/>
        <w:jc w:val="both"/>
        <w:rPr/>
      </w:pPr>
      <w:r>
        <w:rPr>
          <w:rFonts w:ascii="Arial;sans-serif" w:hAnsi="Arial;sans-serif"/>
          <w:b w:val="false"/>
          <w:color w:val="000000"/>
          <w:sz w:val="20"/>
        </w:rPr>
        <w:t>*</w:t>
      </w:r>
      <w:r>
        <w:rPr>
          <w:rFonts w:ascii="Arial;sans-serif" w:hAnsi="Arial;sans-serif"/>
          <w:b w:val="false"/>
          <w:color w:val="000000"/>
          <w:sz w:val="18"/>
        </w:rPr>
        <w:t>The above tables reconcile our results for the three months ended September 30, 2026 and 2025, to adjusted results that exclude the impact of certain items identified as affecting comparability. We use adjusted operating expenses, adjusted operating income, adjusted income tax expense, adjusted net income, adjusted diluted earnings per share (EPS), and adjusted operating ratio, as applicable, among other measures, to evaluate our actual operating performance. The measures listed in the above table are considered non-GAAP by SEC Regulation G and Item 10(e) of SEC Regulation S-K. We believe these non-GAAP financial measures provide valuable information regarding earnings and business trends by excluding specific items that we believe are not indicative of our ongoing operating results of our business, providing a useful way for investors to make a comparison of our performance over time and against other companies in our industry. Since these are not measures of performance calculated in accordance with GAAP, they should be considered in addition to, rather than as a substitute for, operating expenses, operating income, income tax expense, net income, diluted EPS, and operating ratio as indicators of operating performance.</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Non-GAAP Measures Reconciliation to GAAP (unaudited)</w:t>
      </w:r>
    </w:p>
    <w:tbl>
      <w:tblPr>
        <w:tblW w:w="9199" w:type="dxa"/>
        <w:jc w:val="left"/>
        <w:tblInd w:w="0" w:type="dxa"/>
        <w:tblLayout w:type="fixed"/>
        <w:tblCellMar>
          <w:top w:w="28" w:type="dxa"/>
          <w:left w:w="28" w:type="dxa"/>
          <w:bottom w:w="28" w:type="dxa"/>
          <w:right w:w="28" w:type="dxa"/>
        </w:tblCellMar>
      </w:tblPr>
      <w:tblGrid>
        <w:gridCol w:w="1732"/>
        <w:gridCol w:w="1524"/>
        <w:gridCol w:w="1528"/>
        <w:gridCol w:w="258"/>
        <w:gridCol w:w="921"/>
        <w:gridCol w:w="350"/>
        <w:gridCol w:w="300"/>
        <w:gridCol w:w="773"/>
        <w:gridCol w:w="411"/>
        <w:gridCol w:w="109"/>
        <w:gridCol w:w="211"/>
        <w:gridCol w:w="751"/>
        <w:gridCol w:w="331"/>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Performance*</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ind w:left="0" w:right="0" w:hanging="90"/>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nine months ended September 30, 2026</w:t>
            </w:r>
          </w:p>
        </w:tc>
        <w:tc>
          <w:tcPr>
            <w:tcW w:w="15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Reported results</w:t>
            </w:r>
          </w:p>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(GAAP)</w:t>
            </w:r>
          </w:p>
        </w:tc>
        <w:tc>
          <w:tcPr>
            <w:tcW w:w="14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Acquisition-</w:t>
              <w:br/>
              <w:t>related expense</w:t>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 xml:space="preserve">results </w:t>
              <w:br/>
              <w:t>(non-GAAP)</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12,114 </w:t>
            </w:r>
          </w:p>
        </w:tc>
        <w:tc>
          <w:tcPr>
            <w:tcW w:w="35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4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12,021 </w:t>
            </w:r>
          </w:p>
        </w:tc>
        <w:tc>
          <w:tcPr>
            <w:tcW w:w="3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8,164 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[a]</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1179"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350"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73"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33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109"/>
        <w:gridCol w:w="976"/>
        <w:gridCol w:w="978"/>
        <w:gridCol w:w="211"/>
        <w:gridCol w:w="751"/>
        <w:gridCol w:w="286"/>
        <w:gridCol w:w="265"/>
        <w:gridCol w:w="682"/>
        <w:gridCol w:w="362"/>
        <w:gridCol w:w="318"/>
        <w:gridCol w:w="892"/>
        <w:gridCol w:w="432"/>
        <w:gridCol w:w="334"/>
        <w:gridCol w:w="857"/>
        <w:gridCol w:w="453"/>
        <w:gridCol w:w="211"/>
        <w:gridCol w:w="751"/>
        <w:gridCol w:w="337"/>
      </w:tblGrid>
      <w:tr>
        <w:trPr/>
        <w:tc>
          <w:tcPr>
            <w:tcW w:w="1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nine months ended September 30, 2025</w:t>
            </w:r>
          </w:p>
        </w:tc>
        <w:tc>
          <w:tcPr>
            <w:tcW w:w="124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Reported </w:t>
              <w:br/>
              <w:t>results</w:t>
              <w:br/>
              <w:t>(GAAP)</w:t>
            </w:r>
          </w:p>
        </w:tc>
        <w:tc>
          <w:tcPr>
            <w:tcW w:w="130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Acquisition-</w:t>
              <w:br/>
              <w:t>related expense</w:t>
            </w:r>
          </w:p>
        </w:tc>
        <w:tc>
          <w:tcPr>
            <w:tcW w:w="16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Deferred tax adjustment</w:t>
            </w:r>
          </w:p>
        </w:tc>
        <w:tc>
          <w:tcPr>
            <w:tcW w:w="16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Crew staffing agreement</w:t>
            </w:r>
          </w:p>
        </w:tc>
        <w:tc>
          <w:tcPr>
            <w:tcW w:w="12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results</w:t>
              <w:br/>
              <w:t>(non-GAAP)</w:t>
            </w:r>
          </w:p>
        </w:tc>
      </w:tr>
      <w:tr>
        <w:trPr/>
        <w:tc>
          <w:tcPr>
            <w:tcW w:w="306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10,980 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45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10,883 </w:t>
            </w:r>
          </w:p>
        </w:tc>
        <w:tc>
          <w:tcPr>
            <w:tcW w:w="3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[a]</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96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4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62"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21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2"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9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5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6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33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00"/>
        <w:ind w:left="0" w:right="0" w:hanging="360"/>
        <w:jc w:val="both"/>
        <w:rPr>
          <w:rFonts w:ascii="Arial;sans-serif" w:hAnsi="Arial;sans-serif"/>
          <w:b w:val="false"/>
          <w:color w:val="000000"/>
          <w:sz w:val="18"/>
        </w:rPr>
      </w:pPr>
      <w:r>
        <w:rPr>
          <w:rFonts w:ascii="Arial;sans-serif" w:hAnsi="Arial;sans-serif"/>
          <w:b w:val="false"/>
          <w:color w:val="000000"/>
          <w:sz w:val="18"/>
        </w:rPr>
        <w:t>[a]Certain acquisition-related costs are non-deductible for income tax purposes.</w:t>
      </w:r>
    </w:p>
    <w:p>
      <w:pPr>
        <w:pStyle w:val="TextBody"/>
        <w:bidi w:val="0"/>
        <w:spacing w:lineRule="auto" w:line="288" w:before="0" w:after="200"/>
        <w:ind w:left="0" w:right="0" w:hanging="360"/>
        <w:jc w:val="both"/>
        <w:rPr/>
      </w:pPr>
      <w:r>
        <w:rPr>
          <w:rFonts w:ascii="Arial;sans-serif" w:hAnsi="Arial;sans-serif"/>
          <w:b w:val="false"/>
          <w:color w:val="000000"/>
          <w:sz w:val="20"/>
        </w:rPr>
        <w:t>*</w:t>
      </w:r>
      <w:r>
        <w:rPr>
          <w:rFonts w:ascii="Arial;sans-serif" w:hAnsi="Arial;sans-serif"/>
          <w:b w:val="false"/>
          <w:color w:val="000000"/>
          <w:sz w:val="18"/>
        </w:rPr>
        <w:t>The above tables reconcile our results for the nine months ended September 30, 2026 and 2025, to adjusted results that exclude the impact of certain items identified as affecting comparability. We use adjusted operating expenses, adjusted operating income, adjusted income tax expense, adjusted net income, adjusted diluted EPS, and adjusted operating ratio, as applicable, among other measures, to evaluate our actual operating performance. The measures listed in the above table are considered non-GAAP by SEC Regulation G and Item 10(e) of SEC Regulation S-K. We believe these non-GAAP financial measures provide valuable information regarding earnings and business trends by excluding specific items that we believe are not indicative of our ongoing operating results of our business, providing a useful way for investors to make a comparison of our performance over time and against other companies in our industry. Since these are not measures of performance calculated in accordance with GAAP, they should be considered in addition to, rather than as a substitute for, operating expenses, operating income, income tax expense, net income, diluted EPS, and operating ratio as indicators of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Non-GAAP Measures Reconciliation to GAAP (unaudited)</w:t>
      </w:r>
    </w:p>
    <w:tbl>
      <w:tblPr>
        <w:tblW w:w="5682" w:type="dxa"/>
        <w:jc w:val="left"/>
        <w:tblInd w:w="0" w:type="dxa"/>
        <w:tblLayout w:type="fixed"/>
        <w:tblCellMar>
          <w:top w:w="28" w:type="dxa"/>
          <w:left w:w="28" w:type="dxa"/>
          <w:bottom w:w="28" w:type="dxa"/>
          <w:right w:w="28" w:type="dxa"/>
        </w:tblCellMar>
      </w:tblPr>
      <w:tblGrid>
        <w:gridCol w:w="1267"/>
        <w:gridCol w:w="1112"/>
        <w:gridCol w:w="1116"/>
        <w:gridCol w:w="211"/>
        <w:gridCol w:w="751"/>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Debt / net income</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Sep. 30,</w:t>
              <w:br/>
              <w:t>2026</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49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 net income</w:t>
            </w:r>
          </w:p>
        </w:tc>
        <w:tc>
          <w:tcPr>
            <w:tcW w:w="1071"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4.0</w:t>
            </w:r>
          </w:p>
        </w:tc>
        <w:tc>
          <w:tcPr>
            <w:tcW w:w="111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r>
    </w:tbl>
    <w:tbl>
      <w:tblPr>
        <w:tblW w:w="5869" w:type="dxa"/>
        <w:jc w:val="left"/>
        <w:tblInd w:w="0" w:type="dxa"/>
        <w:tblLayout w:type="fixed"/>
        <w:tblCellMar>
          <w:top w:w="28" w:type="dxa"/>
          <w:left w:w="28" w:type="dxa"/>
          <w:bottom w:w="28" w:type="dxa"/>
          <w:right w:w="28" w:type="dxa"/>
        </w:tblCellMar>
      </w:tblPr>
      <w:tblGrid>
        <w:gridCol w:w="1276"/>
        <w:gridCol w:w="1123"/>
        <w:gridCol w:w="1126"/>
        <w:gridCol w:w="211"/>
        <w:gridCol w:w="751"/>
        <w:gridCol w:w="109"/>
        <w:gridCol w:w="211"/>
        <w:gridCol w:w="751"/>
        <w:gridCol w:w="311"/>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debt / adjusted EBITDA*</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Sep. 30,</w:t>
              <w:br/>
              <w:t>2026</w:t>
            </w:r>
          </w:p>
        </w:tc>
        <w:tc>
          <w:tcPr>
            <w:tcW w:w="127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5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7,618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13,726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12,940 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on operating lease liabilities [2]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13,136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12,351 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(b)</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31,112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32,822 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 adjusted EBITDA (b/a)</w:t>
            </w:r>
          </w:p>
        </w:tc>
        <w:tc>
          <w:tcPr>
            <w:tcW w:w="107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w:t>
            </w:r>
          </w:p>
        </w:tc>
        <w:tc>
          <w:tcPr>
            <w:tcW w:w="127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r>
    </w:tbl>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[1]The trailing twelve months income statement information ended September 30, 2026, is recalculated by taking the twelve months ended December 31, 2025, subtracting the nine months ended September 30, 2025, and adding the nine months ended September 30, 2026.</w:t>
      </w:r>
    </w:p>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[2]Represents the hypothetical interest expense we would incur (using the incremental borrowing rate) if the property under our operating leases were owned or accounted for as finance leases.</w:t>
      </w:r>
    </w:p>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10(e)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September 30, 2026, and December 31, 2025, the incremental borrowing rate on operating leases was 4.2% and 4.0%, respectively. Pension and OPEB were funded at September 30, 2026, and December 31, 2025.</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5236</Words>
  <Characters>28235</Characters>
  <CharactersWithSpaces>32685</CharactersWithSpaces>
  <Paragraphs>1676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