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Will W Anthony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1400 DOUGLAS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OMAHA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68179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UNION PACIFIC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UNP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73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498"/>
        <w:gridCol w:w="30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3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162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272.42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Distribution ratio for Phantom Stock Units is 1:1.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Phantom Stock Units are payable in cash only commencing at retirement.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Trevor L. Kingston, Attorney-in-Fact For: W Anthony Will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96130" TargetMode="External"/><Relationship Id="rId5" Type="http://schemas.openxmlformats.org/officeDocument/2006/relationships/hyperlink" Target="http://www.sec.gov/cgi-bin/browse-edgar?action=getcompany&amp;CIK=000010088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590</Words>
  <Characters>3190</Characters>
  <CharactersWithSpaces>3709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