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197"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0</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jc w:val="center"/>
        <w:spacing w:after="0" w:line="214" w:lineRule="auto"/>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222" w:lineRule="auto"/>
        <w:rPr>
          <w:sz w:val="20"/>
          <w:szCs w:val="20"/>
          <w:color w:val="auto"/>
        </w:rPr>
      </w:pPr>
      <w:r>
        <w:rPr>
          <w:rFonts w:ascii="Arial" w:cs="Arial" w:eastAsia="Arial" w:hAnsi="Arial"/>
          <w:sz w:val="16"/>
          <w:szCs w:val="16"/>
          <w:i w:val="1"/>
          <w:iCs w:val="1"/>
          <w:color w:val="auto"/>
        </w:rPr>
        <w:t>(Mark One)</w:t>
      </w:r>
    </w:p>
    <w:p>
      <w:pPr>
        <w:ind w:left="560" w:hanging="555"/>
        <w:spacing w:after="0"/>
        <w:tabs>
          <w:tab w:leader="none" w:pos="5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 the quarterly period ended March 31, 2020</w:t>
      </w:r>
    </w:p>
    <w:p>
      <w:pPr>
        <w:jc w:val="center"/>
        <w:spacing w:after="0" w:line="236" w:lineRule="auto"/>
        <w:rPr>
          <w:sz w:val="20"/>
          <w:szCs w:val="20"/>
          <w:color w:val="auto"/>
        </w:rPr>
      </w:pPr>
      <w:r>
        <w:rPr>
          <w:rFonts w:ascii="Arial" w:cs="Arial" w:eastAsia="Arial" w:hAnsi="Arial"/>
          <w:sz w:val="17"/>
          <w:szCs w:val="17"/>
          <w:color w:val="auto"/>
        </w:rPr>
        <w:t>OR</w:t>
      </w:r>
    </w:p>
    <w:p>
      <w:pPr>
        <w:spacing w:after="0" w:line="4" w:lineRule="exact"/>
        <w:rPr>
          <w:sz w:val="24"/>
          <w:szCs w:val="24"/>
          <w:color w:val="auto"/>
        </w:rPr>
      </w:pPr>
    </w:p>
    <w:p>
      <w:pPr>
        <w:ind w:left="3520" w:right="2280" w:hanging="3515"/>
        <w:spacing w:after="0" w:line="322" w:lineRule="auto"/>
        <w:tabs>
          <w:tab w:leader="none" w:pos="503"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 xml:space="preserve">TRANSITION REPORT PURSUANT TO SECTION 13 OR 15(d) OF THE SECURITIES EXCHANGE ACT OF 1934 </w:t>
      </w:r>
      <w:r>
        <w:rPr>
          <w:rFonts w:ascii="Arial" w:cs="Arial" w:eastAsia="Arial" w:hAnsi="Arial"/>
          <w:sz w:val="15"/>
          <w:szCs w:val="15"/>
          <w:color w:val="auto"/>
        </w:rPr>
        <w:t>For the transition period from __________ to ____________</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Commission File Number 1-6075</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UNION PACIFIC CORPORATION</w:t>
      </w:r>
    </w:p>
    <w:tbl>
      <w:tblPr>
        <w:tblLayout w:type="fixed"/>
        <w:tblInd w:w="0" w:type="dxa"/>
        <w:tblCellMar>
          <w:top w:w="0" w:type="dxa"/>
          <w:left w:w="0" w:type="dxa"/>
          <w:bottom w:w="0" w:type="dxa"/>
          <w:right w:w="0" w:type="dxa"/>
        </w:tblCellMar>
      </w:tblPr>
      <w:tr>
        <w:trPr>
          <w:trHeight w:val="140"/>
        </w:trPr>
        <w:tc>
          <w:tcPr>
            <w:tcW w:w="14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20" w:type="dxa"/>
            <w:vAlign w:val="bottom"/>
            <w:vMerge w:val="restart"/>
          </w:tcPr>
          <w:p>
            <w:pPr>
              <w:jc w:val="center"/>
              <w:ind w:left="541"/>
              <w:spacing w:after="0"/>
              <w:rPr>
                <w:sz w:val="20"/>
                <w:szCs w:val="20"/>
                <w:color w:val="auto"/>
              </w:rPr>
            </w:pPr>
            <w:r>
              <w:rPr>
                <w:rFonts w:ascii="Arial" w:cs="Arial" w:eastAsia="Arial" w:hAnsi="Arial"/>
                <w:sz w:val="16"/>
                <w:szCs w:val="16"/>
                <w:b w:val="1"/>
                <w:bCs w:val="1"/>
                <w:color w:val="auto"/>
              </w:rPr>
              <w:t>Utah</w:t>
            </w:r>
          </w:p>
        </w:tc>
        <w:tc>
          <w:tcPr>
            <w:tcW w:w="6660" w:type="dxa"/>
            <w:vAlign w:val="bottom"/>
            <w:gridSpan w:val="5"/>
          </w:tcPr>
          <w:p>
            <w:pPr>
              <w:jc w:val="center"/>
              <w:ind w:right="3006"/>
              <w:spacing w:after="0" w:line="140" w:lineRule="exact"/>
              <w:rPr>
                <w:sz w:val="20"/>
                <w:szCs w:val="20"/>
                <w:color w:val="auto"/>
              </w:rPr>
            </w:pPr>
            <w:r>
              <w:rPr>
                <w:rFonts w:ascii="Arial" w:cs="Arial" w:eastAsia="Arial" w:hAnsi="Arial"/>
                <w:sz w:val="15"/>
                <w:szCs w:val="15"/>
                <w:color w:val="auto"/>
                <w:w w:val="98"/>
              </w:rPr>
              <w:t>(Exact name of registrant as specified in its charter)</w:t>
            </w:r>
          </w:p>
        </w:tc>
        <w:tc>
          <w:tcPr>
            <w:tcW w:w="0" w:type="dxa"/>
            <w:vAlign w:val="bottom"/>
          </w:tcPr>
          <w:p>
            <w:pPr>
              <w:spacing w:after="0"/>
              <w:rPr>
                <w:sz w:val="1"/>
                <w:szCs w:val="1"/>
                <w:color w:val="auto"/>
              </w:rPr>
            </w:pPr>
          </w:p>
        </w:tc>
      </w:tr>
      <w:tr>
        <w:trPr>
          <w:trHeight w:val="180"/>
        </w:trPr>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520" w:type="dxa"/>
            <w:vAlign w:val="bottom"/>
            <w:gridSpan w:val="2"/>
          </w:tcPr>
          <w:p>
            <w:pPr>
              <w:jc w:val="center"/>
              <w:ind w:right="2126"/>
              <w:spacing w:after="0" w:line="181" w:lineRule="exact"/>
              <w:rPr>
                <w:sz w:val="20"/>
                <w:szCs w:val="20"/>
                <w:color w:val="auto"/>
              </w:rPr>
            </w:pPr>
            <w:r>
              <w:rPr>
                <w:rFonts w:ascii="Arial" w:cs="Arial" w:eastAsia="Arial" w:hAnsi="Arial"/>
                <w:sz w:val="16"/>
                <w:szCs w:val="16"/>
                <w:b w:val="1"/>
                <w:bCs w:val="1"/>
                <w:color w:val="auto"/>
                <w:w w:val="98"/>
              </w:rPr>
              <w:t>13-2626465</w:t>
            </w:r>
          </w:p>
        </w:tc>
        <w:tc>
          <w:tcPr>
            <w:tcW w:w="0" w:type="dxa"/>
            <w:vAlign w:val="bottom"/>
          </w:tcPr>
          <w:p>
            <w:pPr>
              <w:spacing w:after="0"/>
              <w:rPr>
                <w:sz w:val="1"/>
                <w:szCs w:val="1"/>
                <w:color w:val="auto"/>
              </w:rPr>
            </w:pPr>
          </w:p>
        </w:tc>
      </w:tr>
      <w:tr>
        <w:trPr>
          <w:trHeight w:val="157"/>
        </w:trPr>
        <w:tc>
          <w:tcPr>
            <w:tcW w:w="1400" w:type="dxa"/>
            <w:vAlign w:val="bottom"/>
          </w:tcPr>
          <w:p>
            <w:pPr>
              <w:spacing w:after="0"/>
              <w:rPr>
                <w:sz w:val="13"/>
                <w:szCs w:val="13"/>
                <w:color w:val="auto"/>
              </w:rPr>
            </w:pPr>
          </w:p>
        </w:tc>
        <w:tc>
          <w:tcPr>
            <w:tcW w:w="5580" w:type="dxa"/>
            <w:vAlign w:val="bottom"/>
            <w:gridSpan w:val="5"/>
          </w:tcPr>
          <w:p>
            <w:pPr>
              <w:jc w:val="center"/>
              <w:ind w:right="1300"/>
              <w:spacing w:after="0" w:line="157" w:lineRule="exact"/>
              <w:rPr>
                <w:sz w:val="20"/>
                <w:szCs w:val="20"/>
                <w:color w:val="auto"/>
              </w:rPr>
            </w:pPr>
            <w:r>
              <w:rPr>
                <w:rFonts w:ascii="Arial" w:cs="Arial" w:eastAsia="Arial" w:hAnsi="Arial"/>
                <w:sz w:val="15"/>
                <w:szCs w:val="15"/>
                <w:color w:val="auto"/>
                <w:w w:val="98"/>
              </w:rPr>
              <w:t>(State or other jurisdiction of</w:t>
            </w:r>
          </w:p>
        </w:tc>
        <w:tc>
          <w:tcPr>
            <w:tcW w:w="3520" w:type="dxa"/>
            <w:vAlign w:val="bottom"/>
            <w:gridSpan w:val="2"/>
          </w:tcPr>
          <w:p>
            <w:pPr>
              <w:jc w:val="center"/>
              <w:ind w:right="2146"/>
              <w:spacing w:after="0" w:line="157" w:lineRule="exact"/>
              <w:rPr>
                <w:sz w:val="20"/>
                <w:szCs w:val="20"/>
                <w:color w:val="auto"/>
              </w:rPr>
            </w:pPr>
            <w:r>
              <w:rPr>
                <w:rFonts w:ascii="Arial" w:cs="Arial" w:eastAsia="Arial" w:hAnsi="Arial"/>
                <w:sz w:val="15"/>
                <w:szCs w:val="15"/>
                <w:color w:val="auto"/>
                <w:w w:val="99"/>
              </w:rPr>
              <w:t>(I.R.S. Employer</w:t>
            </w:r>
          </w:p>
        </w:tc>
        <w:tc>
          <w:tcPr>
            <w:tcW w:w="0" w:type="dxa"/>
            <w:vAlign w:val="bottom"/>
          </w:tcPr>
          <w:p>
            <w:pPr>
              <w:spacing w:after="0"/>
              <w:rPr>
                <w:sz w:val="1"/>
                <w:szCs w:val="1"/>
                <w:color w:val="auto"/>
              </w:rPr>
            </w:pPr>
          </w:p>
        </w:tc>
      </w:tr>
      <w:tr>
        <w:trPr>
          <w:trHeight w:val="178"/>
        </w:trPr>
        <w:tc>
          <w:tcPr>
            <w:tcW w:w="1400" w:type="dxa"/>
            <w:vAlign w:val="bottom"/>
          </w:tcPr>
          <w:p>
            <w:pPr>
              <w:spacing w:after="0"/>
              <w:rPr>
                <w:sz w:val="15"/>
                <w:szCs w:val="15"/>
                <w:color w:val="auto"/>
              </w:rPr>
            </w:pPr>
          </w:p>
        </w:tc>
        <w:tc>
          <w:tcPr>
            <w:tcW w:w="5580" w:type="dxa"/>
            <w:vAlign w:val="bottom"/>
            <w:gridSpan w:val="5"/>
          </w:tcPr>
          <w:p>
            <w:pPr>
              <w:jc w:val="center"/>
              <w:ind w:right="1300"/>
              <w:spacing w:after="0"/>
              <w:rPr>
                <w:sz w:val="20"/>
                <w:szCs w:val="20"/>
                <w:color w:val="auto"/>
              </w:rPr>
            </w:pPr>
            <w:r>
              <w:rPr>
                <w:rFonts w:ascii="Arial" w:cs="Arial" w:eastAsia="Arial" w:hAnsi="Arial"/>
                <w:sz w:val="15"/>
                <w:szCs w:val="15"/>
                <w:color w:val="auto"/>
                <w:w w:val="98"/>
              </w:rPr>
              <w:t>incorporation or organization)</w:t>
            </w:r>
          </w:p>
        </w:tc>
        <w:tc>
          <w:tcPr>
            <w:tcW w:w="3520" w:type="dxa"/>
            <w:vAlign w:val="bottom"/>
            <w:gridSpan w:val="2"/>
          </w:tcPr>
          <w:p>
            <w:pPr>
              <w:jc w:val="center"/>
              <w:ind w:right="2146"/>
              <w:spacing w:after="0"/>
              <w:rPr>
                <w:sz w:val="20"/>
                <w:szCs w:val="20"/>
                <w:color w:val="auto"/>
              </w:rPr>
            </w:pPr>
            <w:r>
              <w:rPr>
                <w:rFonts w:ascii="Arial" w:cs="Arial" w:eastAsia="Arial" w:hAnsi="Arial"/>
                <w:sz w:val="15"/>
                <w:szCs w:val="15"/>
                <w:color w:val="auto"/>
                <w:w w:val="97"/>
              </w:rPr>
              <w:t>Identification No.)</w:t>
            </w: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60" w:type="dxa"/>
            <w:vAlign w:val="bottom"/>
            <w:gridSpan w:val="5"/>
          </w:tcPr>
          <w:p>
            <w:pPr>
              <w:jc w:val="center"/>
              <w:ind w:right="3026"/>
              <w:spacing w:after="0"/>
              <w:rPr>
                <w:sz w:val="20"/>
                <w:szCs w:val="20"/>
                <w:color w:val="auto"/>
              </w:rPr>
            </w:pPr>
            <w:r>
              <w:rPr>
                <w:rFonts w:ascii="Arial" w:cs="Arial" w:eastAsia="Arial" w:hAnsi="Arial"/>
                <w:sz w:val="16"/>
                <w:szCs w:val="16"/>
                <w:b w:val="1"/>
                <w:bCs w:val="1"/>
                <w:color w:val="auto"/>
                <w:w w:val="98"/>
              </w:rPr>
              <w:t>1400 Douglas Street, Omaha, Nebraska</w:t>
            </w:r>
          </w:p>
        </w:tc>
        <w:tc>
          <w:tcPr>
            <w:tcW w:w="0" w:type="dxa"/>
            <w:vAlign w:val="bottom"/>
          </w:tcPr>
          <w:p>
            <w:pPr>
              <w:spacing w:after="0"/>
              <w:rPr>
                <w:sz w:val="1"/>
                <w:szCs w:val="1"/>
                <w:color w:val="auto"/>
              </w:rPr>
            </w:pPr>
          </w:p>
        </w:tc>
      </w:tr>
      <w:tr>
        <w:trPr>
          <w:trHeight w:val="178"/>
        </w:trPr>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140" w:type="dxa"/>
            <w:vAlign w:val="bottom"/>
            <w:gridSpan w:val="3"/>
          </w:tcPr>
          <w:p>
            <w:pPr>
              <w:jc w:val="center"/>
              <w:ind w:left="364"/>
              <w:spacing w:after="0"/>
              <w:rPr>
                <w:sz w:val="20"/>
                <w:szCs w:val="20"/>
                <w:color w:val="auto"/>
              </w:rPr>
            </w:pPr>
            <w:r>
              <w:rPr>
                <w:rFonts w:ascii="Arial" w:cs="Arial" w:eastAsia="Arial" w:hAnsi="Arial"/>
                <w:sz w:val="15"/>
                <w:szCs w:val="15"/>
                <w:color w:val="auto"/>
                <w:w w:val="98"/>
              </w:rPr>
              <w:t>(Address of principal executive offices)</w:t>
            </w:r>
          </w:p>
        </w:tc>
        <w:tc>
          <w:tcPr>
            <w:tcW w:w="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00" w:type="dxa"/>
            <w:vAlign w:val="bottom"/>
            <w:gridSpan w:val="2"/>
          </w:tcPr>
          <w:p>
            <w:pPr>
              <w:jc w:val="right"/>
              <w:ind w:right="26"/>
              <w:spacing w:after="0"/>
              <w:rPr>
                <w:sz w:val="20"/>
                <w:szCs w:val="20"/>
                <w:color w:val="auto"/>
              </w:rPr>
            </w:pPr>
            <w:r>
              <w:rPr>
                <w:rFonts w:ascii="Arial" w:cs="Arial" w:eastAsia="Arial" w:hAnsi="Arial"/>
                <w:sz w:val="16"/>
                <w:szCs w:val="16"/>
                <w:b w:val="1"/>
                <w:bCs w:val="1"/>
                <w:color w:val="auto"/>
              </w:rPr>
              <w:t>68179</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80" w:type="dxa"/>
            <w:vAlign w:val="bottom"/>
            <w:gridSpan w:val="2"/>
          </w:tcPr>
          <w:p>
            <w:pPr>
              <w:jc w:val="center"/>
              <w:ind w:right="620"/>
              <w:spacing w:after="0"/>
              <w:rPr>
                <w:sz w:val="20"/>
                <w:szCs w:val="20"/>
                <w:color w:val="auto"/>
              </w:rPr>
            </w:pPr>
            <w:r>
              <w:rPr>
                <w:rFonts w:ascii="Arial" w:cs="Arial" w:eastAsia="Arial" w:hAnsi="Arial"/>
                <w:sz w:val="15"/>
                <w:szCs w:val="15"/>
                <w:color w:val="auto"/>
                <w:w w:val="98"/>
              </w:rPr>
              <w:t>(Zip Code)</w:t>
            </w:r>
          </w:p>
        </w:tc>
        <w:tc>
          <w:tcPr>
            <w:tcW w:w="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140" w:type="dxa"/>
            <w:vAlign w:val="bottom"/>
            <w:gridSpan w:val="3"/>
          </w:tcPr>
          <w:p>
            <w:pPr>
              <w:jc w:val="right"/>
              <w:ind w:right="820"/>
              <w:spacing w:after="0"/>
              <w:rPr>
                <w:sz w:val="20"/>
                <w:szCs w:val="20"/>
                <w:color w:val="auto"/>
              </w:rPr>
            </w:pPr>
            <w:r>
              <w:rPr>
                <w:rFonts w:ascii="Arial" w:cs="Arial" w:eastAsia="Arial" w:hAnsi="Arial"/>
                <w:sz w:val="16"/>
                <w:szCs w:val="16"/>
                <w:b w:val="1"/>
                <w:bCs w:val="1"/>
                <w:color w:val="auto"/>
              </w:rPr>
              <w:t>(402) 544-5000</w:t>
            </w:r>
          </w:p>
        </w:tc>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60" w:type="dxa"/>
            <w:vAlign w:val="bottom"/>
            <w:gridSpan w:val="5"/>
          </w:tcPr>
          <w:p>
            <w:pPr>
              <w:jc w:val="center"/>
              <w:ind w:right="3026"/>
              <w:spacing w:after="0"/>
              <w:rPr>
                <w:sz w:val="20"/>
                <w:szCs w:val="20"/>
                <w:color w:val="auto"/>
              </w:rPr>
            </w:pPr>
            <w:r>
              <w:rPr>
                <w:rFonts w:ascii="Arial" w:cs="Arial" w:eastAsia="Arial" w:hAnsi="Arial"/>
                <w:sz w:val="15"/>
                <w:szCs w:val="15"/>
                <w:color w:val="auto"/>
                <w:w w:val="98"/>
              </w:rPr>
              <w:t>(Registrant’s telephone number, including area code)</w:t>
            </w:r>
          </w:p>
        </w:tc>
        <w:tc>
          <w:tcPr>
            <w:tcW w:w="0" w:type="dxa"/>
            <w:vAlign w:val="bottom"/>
          </w:tcPr>
          <w:p>
            <w:pPr>
              <w:spacing w:after="0"/>
              <w:rPr>
                <w:sz w:val="1"/>
                <w:szCs w:val="1"/>
                <w:color w:val="auto"/>
              </w:rPr>
            </w:pPr>
          </w:p>
        </w:tc>
      </w:tr>
      <w:tr>
        <w:trPr>
          <w:trHeight w:val="315"/>
        </w:trPr>
        <w:tc>
          <w:tcPr>
            <w:tcW w:w="3840" w:type="dxa"/>
            <w:vAlign w:val="bottom"/>
            <w:gridSpan w:val="3"/>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4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Title of each Class</w:t>
            </w: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Trading Symbol</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Name of each exchange on which registered</w:t>
            </w:r>
          </w:p>
        </w:tc>
        <w:tc>
          <w:tcPr>
            <w:tcW w:w="0" w:type="dxa"/>
            <w:vAlign w:val="bottom"/>
          </w:tcPr>
          <w:p>
            <w:pPr>
              <w:spacing w:after="0"/>
              <w:rPr>
                <w:sz w:val="1"/>
                <w:szCs w:val="1"/>
                <w:color w:val="auto"/>
              </w:rPr>
            </w:pPr>
          </w:p>
        </w:tc>
      </w:tr>
      <w:tr>
        <w:trPr>
          <w:trHeight w:val="172"/>
        </w:trPr>
        <w:tc>
          <w:tcPr>
            <w:tcW w:w="3840" w:type="dxa"/>
            <w:vAlign w:val="bottom"/>
            <w:gridSpan w:val="3"/>
          </w:tcPr>
          <w:p>
            <w:pPr>
              <w:jc w:val="center"/>
              <w:ind w:left="126"/>
              <w:spacing w:after="0"/>
              <w:rPr>
                <w:sz w:val="20"/>
                <w:szCs w:val="20"/>
                <w:color w:val="auto"/>
              </w:rPr>
            </w:pPr>
            <w:r>
              <w:rPr>
                <w:rFonts w:ascii="Arial" w:cs="Arial" w:eastAsia="Arial" w:hAnsi="Arial"/>
                <w:sz w:val="15"/>
                <w:szCs w:val="15"/>
                <w:color w:val="auto"/>
                <w:w w:val="98"/>
              </w:rPr>
              <w:t>Common Stock (Par Value $2.50 per share)</w:t>
            </w:r>
          </w:p>
        </w:tc>
        <w:tc>
          <w:tcPr>
            <w:tcW w:w="1060" w:type="dxa"/>
            <w:vAlign w:val="bottom"/>
          </w:tcPr>
          <w:p>
            <w:pPr>
              <w:spacing w:after="0"/>
              <w:rPr>
                <w:sz w:val="14"/>
                <w:szCs w:val="14"/>
                <w:color w:val="auto"/>
              </w:rPr>
            </w:pPr>
          </w:p>
        </w:tc>
        <w:tc>
          <w:tcPr>
            <w:tcW w:w="2080" w:type="dxa"/>
            <w:vAlign w:val="bottom"/>
            <w:gridSpan w:val="2"/>
          </w:tcPr>
          <w:p>
            <w:pPr>
              <w:jc w:val="center"/>
              <w:ind w:right="1040"/>
              <w:spacing w:after="0"/>
              <w:rPr>
                <w:sz w:val="20"/>
                <w:szCs w:val="20"/>
                <w:color w:val="auto"/>
              </w:rPr>
            </w:pPr>
            <w:r>
              <w:rPr>
                <w:rFonts w:ascii="Arial" w:cs="Arial" w:eastAsia="Arial" w:hAnsi="Arial"/>
                <w:sz w:val="15"/>
                <w:szCs w:val="15"/>
                <w:color w:val="auto"/>
              </w:rPr>
              <w:t>UNP</w:t>
            </w:r>
          </w:p>
        </w:tc>
        <w:tc>
          <w:tcPr>
            <w:tcW w:w="580" w:type="dxa"/>
            <w:vAlign w:val="bottom"/>
          </w:tcPr>
          <w:p>
            <w:pPr>
              <w:spacing w:after="0"/>
              <w:rPr>
                <w:sz w:val="14"/>
                <w:szCs w:val="14"/>
                <w:color w:val="auto"/>
              </w:rPr>
            </w:pPr>
          </w:p>
        </w:tc>
        <w:tc>
          <w:tcPr>
            <w:tcW w:w="2940" w:type="dxa"/>
            <w:vAlign w:val="bottom"/>
          </w:tcPr>
          <w:p>
            <w:pPr>
              <w:jc w:val="center"/>
              <w:spacing w:after="0"/>
              <w:rPr>
                <w:sz w:val="20"/>
                <w:szCs w:val="20"/>
                <w:color w:val="auto"/>
              </w:rPr>
            </w:pPr>
            <w:r>
              <w:rPr>
                <w:rFonts w:ascii="Arial" w:cs="Arial" w:eastAsia="Arial" w:hAnsi="Arial"/>
                <w:sz w:val="15"/>
                <w:szCs w:val="15"/>
                <w:color w:val="auto"/>
                <w:w w:val="97"/>
              </w:rPr>
              <w:t>New York Stock Exchange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both"/>
        <w:spacing w:after="0" w:line="212"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220"/>
        <w:spacing w:after="0" w:line="196" w:lineRule="exact"/>
        <w:tabs>
          <w:tab w:leader="none" w:pos="10820" w:val="left"/>
        </w:tabs>
        <w:rPr>
          <w:sz w:val="20"/>
          <w:szCs w:val="20"/>
          <w:color w:val="auto"/>
        </w:rPr>
      </w:pPr>
      <w:r>
        <w:rPr>
          <w:rFonts w:ascii="Arial" w:cs="Arial" w:eastAsia="Arial" w:hAnsi="Arial"/>
          <w:sz w:val="17"/>
          <w:szCs w:val="17"/>
          <w:color w:val="auto"/>
        </w:rPr>
        <w:t xml:space="preserve">x </w:t>
      </w:r>
      <w:r>
        <w:rPr>
          <w:rFonts w:ascii="Arial" w:cs="Arial" w:eastAsia="Arial" w:hAnsi="Arial"/>
          <w:sz w:val="15"/>
          <w:szCs w:val="15"/>
          <w:color w:val="auto"/>
        </w:rPr>
        <w:t>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4"/>
          <w:szCs w:val="14"/>
          <w:color w:val="auto"/>
        </w:rPr>
        <w:t>No</w:t>
      </w:r>
    </w:p>
    <w:p>
      <w:pPr>
        <w:spacing w:after="0" w:line="147" w:lineRule="exact"/>
        <w:rPr>
          <w:sz w:val="24"/>
          <w:szCs w:val="24"/>
          <w:color w:val="auto"/>
        </w:rPr>
      </w:pPr>
    </w:p>
    <w:p>
      <w:pPr>
        <w:jc w:val="both"/>
        <w:spacing w:after="0" w:line="20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200"/>
        <w:spacing w:after="0" w:line="196" w:lineRule="exact"/>
        <w:tabs>
          <w:tab w:leader="none" w:pos="10820" w:val="left"/>
        </w:tabs>
        <w:rPr>
          <w:sz w:val="20"/>
          <w:szCs w:val="20"/>
          <w:color w:val="auto"/>
        </w:rPr>
      </w:pPr>
      <w:r>
        <w:rPr>
          <w:rFonts w:ascii="Arial" w:cs="Arial" w:eastAsia="Arial" w:hAnsi="Arial"/>
          <w:sz w:val="17"/>
          <w:szCs w:val="17"/>
          <w:color w:val="auto"/>
        </w:rPr>
        <w:t xml:space="preserve">x </w:t>
      </w:r>
      <w:r>
        <w:rPr>
          <w:rFonts w:ascii="Arial" w:cs="Arial" w:eastAsia="Arial" w:hAnsi="Arial"/>
          <w:sz w:val="15"/>
          <w:szCs w:val="15"/>
          <w:color w:val="auto"/>
        </w:rPr>
        <w:t>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4"/>
          <w:szCs w:val="14"/>
          <w:color w:val="auto"/>
        </w:rPr>
        <w:t>No</w:t>
      </w:r>
    </w:p>
    <w:p>
      <w:pPr>
        <w:spacing w:after="0" w:line="147" w:lineRule="exact"/>
        <w:rPr>
          <w:sz w:val="24"/>
          <w:szCs w:val="24"/>
          <w:color w:val="auto"/>
        </w:rPr>
      </w:pPr>
    </w:p>
    <w:p>
      <w:pPr>
        <w:jc w:val="both"/>
        <w:spacing w:after="0" w:line="22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08" w:right="339" w:bottom="1440" w:gutter="0" w:footer="0" w:header="0"/>
        </w:sectPr>
      </w:pPr>
    </w:p>
    <w:p>
      <w:pPr>
        <w:spacing w:after="0" w:line="400" w:lineRule="exact"/>
        <w:rPr>
          <w:sz w:val="24"/>
          <w:szCs w:val="24"/>
          <w:color w:val="auto"/>
        </w:rPr>
      </w:pPr>
    </w:p>
    <w:p>
      <w:pPr>
        <w:jc w:val="center"/>
        <w:ind w:left="6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145" w:lineRule="exact"/>
        <w:rPr>
          <w:sz w:val="24"/>
          <w:szCs w:val="24"/>
          <w:color w:val="auto"/>
        </w:rPr>
      </w:pPr>
    </w:p>
    <w:p>
      <w:pPr>
        <w:sectPr>
          <w:pgSz w:w="11900" w:h="16838" w:orient="portrait"/>
          <w:cols w:equalWidth="0" w:num="6">
            <w:col w:w="3700" w:space="720"/>
            <w:col w:w="140" w:space="280"/>
            <w:col w:w="2120" w:space="720"/>
            <w:col w:w="140" w:space="320"/>
            <w:col w:w="1880" w:space="720"/>
            <w:col w:w="500"/>
          </w:cols>
          <w:pgMar w:left="320" w:top="208" w:right="339" w:bottom="1440" w:gutter="0" w:footer="0" w:header="0"/>
          <w:type w:val="continuous"/>
        </w:sectPr>
      </w:pPr>
    </w:p>
    <w:p>
      <w:pPr>
        <w:spacing w:after="0" w:line="47" w:lineRule="exact"/>
        <w:rPr>
          <w:sz w:val="24"/>
          <w:szCs w:val="24"/>
          <w:color w:val="auto"/>
        </w:rPr>
      </w:pPr>
    </w:p>
    <w:p>
      <w:pPr>
        <w:ind w:left="140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32" w:lineRule="exact"/>
        <w:rPr>
          <w:sz w:val="24"/>
          <w:szCs w:val="24"/>
          <w:color w:val="auto"/>
        </w:rPr>
      </w:pPr>
    </w:p>
    <w:p>
      <w:pPr>
        <w:sectPr>
          <w:pgSz w:w="11900" w:h="16838" w:orient="portrait"/>
          <w:cols w:equalWidth="0" w:num="4">
            <w:col w:w="3700" w:space="720"/>
            <w:col w:w="140" w:space="280"/>
            <w:col w:w="2120" w:space="720"/>
            <w:col w:w="3560"/>
          </w:cols>
          <w:pgMar w:left="320" w:top="208" w:right="339" w:bottom="1440" w:gutter="0" w:footer="0" w:header="0"/>
          <w:type w:val="continuous"/>
        </w:sectPr>
      </w:pPr>
    </w:p>
    <w:p>
      <w:pPr>
        <w:spacing w:after="0" w:line="20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95"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jc w:val="right"/>
        <w:spacing w:after="0" w:line="184" w:lineRule="exact"/>
        <w:tabs>
          <w:tab w:leader="none" w:pos="300" w:val="left"/>
        </w:tabs>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Arial" w:cs="Arial" w:eastAsia="Arial" w:hAnsi="Arial"/>
          <w:sz w:val="16"/>
          <w:szCs w:val="16"/>
          <w:color w:val="auto"/>
        </w:rPr>
        <w:t xml:space="preserve">x </w:t>
      </w:r>
      <w:r>
        <w:rPr>
          <w:rFonts w:ascii="Arial" w:cs="Arial" w:eastAsia="Arial" w:hAnsi="Arial"/>
          <w:sz w:val="14"/>
          <w:szCs w:val="14"/>
          <w:color w:val="auto"/>
        </w:rPr>
        <w:t>No</w:t>
      </w:r>
    </w:p>
    <w:p>
      <w:pPr>
        <w:spacing w:after="0" w:line="163" w:lineRule="exact"/>
        <w:rPr>
          <w:sz w:val="24"/>
          <w:szCs w:val="24"/>
          <w:color w:val="auto"/>
        </w:rPr>
      </w:pPr>
    </w:p>
    <w:p>
      <w:pPr>
        <w:spacing w:after="0"/>
        <w:rPr>
          <w:sz w:val="20"/>
          <w:szCs w:val="20"/>
          <w:color w:val="auto"/>
        </w:rPr>
      </w:pPr>
      <w:r>
        <w:rPr>
          <w:rFonts w:ascii="Arial" w:cs="Arial" w:eastAsia="Arial" w:hAnsi="Arial"/>
          <w:sz w:val="15"/>
          <w:szCs w:val="15"/>
          <w:color w:val="auto"/>
        </w:rPr>
        <w:t>As of April 17, 2020, there were 678,568,053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92710</wp:posOffset>
            </wp:positionV>
            <wp:extent cx="713613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583565</wp:posOffset>
            </wp:positionV>
            <wp:extent cx="713613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0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2"/>
        </w:trPr>
        <w:tc>
          <w:tcPr>
            <w:tcW w:w="10700" w:type="dxa"/>
            <w:vAlign w:val="bottom"/>
            <w:gridSpan w:val="2"/>
          </w:tcPr>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tc>
        <w:tc>
          <w:tcPr>
            <w:tcW w:w="540" w:type="dxa"/>
            <w:vAlign w:val="bottom"/>
          </w:tcPr>
          <w:p>
            <w:pPr>
              <w:spacing w:after="0"/>
              <w:rPr>
                <w:sz w:val="20"/>
                <w:szCs w:val="20"/>
                <w:color w:val="auto"/>
              </w:rPr>
            </w:pPr>
          </w:p>
        </w:tc>
      </w:tr>
      <w:tr>
        <w:trPr>
          <w:trHeight w:val="686"/>
        </w:trPr>
        <w:tc>
          <w:tcPr>
            <w:tcW w:w="1100" w:type="dxa"/>
            <w:vAlign w:val="bottom"/>
          </w:tcPr>
          <w:p>
            <w:pPr>
              <w:spacing w:after="0"/>
              <w:rPr>
                <w:sz w:val="24"/>
                <w:szCs w:val="24"/>
                <w:color w:val="auto"/>
              </w:rPr>
            </w:pPr>
          </w:p>
        </w:tc>
        <w:tc>
          <w:tcPr>
            <w:tcW w:w="9600" w:type="dxa"/>
            <w:vAlign w:val="bottom"/>
          </w:tcPr>
          <w:p>
            <w:pPr>
              <w:jc w:val="center"/>
              <w:ind w:right="473"/>
              <w:spacing w:after="0"/>
              <w:rPr>
                <w:sz w:val="20"/>
                <w:szCs w:val="20"/>
                <w:color w:val="auto"/>
              </w:rPr>
            </w:pPr>
            <w:r>
              <w:rPr>
                <w:rFonts w:ascii="Arial" w:cs="Arial" w:eastAsia="Arial" w:hAnsi="Arial"/>
                <w:sz w:val="17"/>
                <w:szCs w:val="17"/>
                <w:b w:val="1"/>
                <w:bCs w:val="1"/>
                <w:color w:val="auto"/>
              </w:rPr>
              <w:t>TABLE OF CONTENTS</w:t>
            </w:r>
          </w:p>
        </w:tc>
        <w:tc>
          <w:tcPr>
            <w:tcW w:w="540" w:type="dxa"/>
            <w:vAlign w:val="bottom"/>
          </w:tcPr>
          <w:p>
            <w:pPr>
              <w:spacing w:after="0"/>
              <w:rPr>
                <w:sz w:val="24"/>
                <w:szCs w:val="24"/>
                <w:color w:val="auto"/>
              </w:rPr>
            </w:pPr>
          </w:p>
        </w:tc>
      </w:tr>
      <w:tr>
        <w:trPr>
          <w:trHeight w:val="184"/>
        </w:trPr>
        <w:tc>
          <w:tcPr>
            <w:tcW w:w="1100" w:type="dxa"/>
            <w:vAlign w:val="bottom"/>
          </w:tcPr>
          <w:p>
            <w:pPr>
              <w:spacing w:after="0"/>
              <w:rPr>
                <w:sz w:val="15"/>
                <w:szCs w:val="15"/>
                <w:color w:val="auto"/>
              </w:rPr>
            </w:pPr>
          </w:p>
        </w:tc>
        <w:tc>
          <w:tcPr>
            <w:tcW w:w="9600" w:type="dxa"/>
            <w:vAlign w:val="bottom"/>
          </w:tcPr>
          <w:p>
            <w:pPr>
              <w:jc w:val="center"/>
              <w:ind w:right="473"/>
              <w:spacing w:after="0" w:line="184" w:lineRule="exact"/>
              <w:rPr>
                <w:sz w:val="20"/>
                <w:szCs w:val="20"/>
                <w:color w:val="auto"/>
              </w:rPr>
            </w:pPr>
            <w:r>
              <w:rPr>
                <w:rFonts w:ascii="Arial" w:cs="Arial" w:eastAsia="Arial" w:hAnsi="Arial"/>
                <w:sz w:val="17"/>
                <w:szCs w:val="17"/>
                <w:b w:val="1"/>
                <w:bCs w:val="1"/>
                <w:color w:val="auto"/>
              </w:rPr>
              <w:t>UNION PACIFIC CORPORATION</w:t>
            </w:r>
          </w:p>
        </w:tc>
        <w:tc>
          <w:tcPr>
            <w:tcW w:w="540" w:type="dxa"/>
            <w:vAlign w:val="bottom"/>
          </w:tcPr>
          <w:p>
            <w:pPr>
              <w:spacing w:after="0"/>
              <w:rPr>
                <w:sz w:val="15"/>
                <w:szCs w:val="15"/>
                <w:color w:val="auto"/>
              </w:rPr>
            </w:pPr>
          </w:p>
        </w:tc>
      </w:tr>
      <w:tr>
        <w:trPr>
          <w:trHeight w:val="232"/>
        </w:trPr>
        <w:tc>
          <w:tcPr>
            <w:tcW w:w="1100" w:type="dxa"/>
            <w:vAlign w:val="bottom"/>
          </w:tcPr>
          <w:p>
            <w:pPr>
              <w:spacing w:after="0"/>
              <w:rPr>
                <w:sz w:val="20"/>
                <w:szCs w:val="20"/>
                <w:color w:val="auto"/>
              </w:rPr>
            </w:pPr>
          </w:p>
        </w:tc>
        <w:tc>
          <w:tcPr>
            <w:tcW w:w="9600" w:type="dxa"/>
            <w:vAlign w:val="bottom"/>
          </w:tcPr>
          <w:p>
            <w:pPr>
              <w:jc w:val="center"/>
              <w:ind w:right="473"/>
              <w:spacing w:after="0"/>
              <w:rPr>
                <w:sz w:val="20"/>
                <w:szCs w:val="20"/>
                <w:color w:val="auto"/>
              </w:rPr>
            </w:pPr>
            <w:r>
              <w:rPr>
                <w:rFonts w:ascii="Arial" w:cs="Arial" w:eastAsia="Arial" w:hAnsi="Arial"/>
                <w:sz w:val="17"/>
                <w:szCs w:val="17"/>
                <w:b w:val="1"/>
                <w:bCs w:val="1"/>
                <w:color w:val="auto"/>
              </w:rPr>
              <w:t>AND SUBSIDIARY COMPANIES</w:t>
            </w:r>
          </w:p>
        </w:tc>
        <w:tc>
          <w:tcPr>
            <w:tcW w:w="540" w:type="dxa"/>
            <w:vAlign w:val="bottom"/>
          </w:tcPr>
          <w:p>
            <w:pPr>
              <w:spacing w:after="0"/>
              <w:rPr>
                <w:sz w:val="20"/>
                <w:szCs w:val="20"/>
                <w:color w:val="auto"/>
              </w:rPr>
            </w:pPr>
          </w:p>
        </w:tc>
      </w:tr>
      <w:tr>
        <w:trPr>
          <w:trHeight w:val="367"/>
        </w:trPr>
        <w:tc>
          <w:tcPr>
            <w:tcW w:w="1100" w:type="dxa"/>
            <w:vAlign w:val="bottom"/>
          </w:tcPr>
          <w:p>
            <w:pPr>
              <w:spacing w:after="0"/>
              <w:rPr>
                <w:sz w:val="24"/>
                <w:szCs w:val="24"/>
                <w:color w:val="auto"/>
              </w:rPr>
            </w:pPr>
          </w:p>
        </w:tc>
        <w:tc>
          <w:tcPr>
            <w:tcW w:w="9600" w:type="dxa"/>
            <w:vAlign w:val="bottom"/>
          </w:tcPr>
          <w:p>
            <w:pPr>
              <w:jc w:val="center"/>
              <w:ind w:right="453"/>
              <w:spacing w:after="0"/>
              <w:rPr>
                <w:rFonts w:ascii="Arial" w:cs="Arial" w:eastAsia="Arial" w:hAnsi="Arial"/>
                <w:sz w:val="17"/>
                <w:szCs w:val="17"/>
                <w:b w:val="1"/>
                <w:bCs w:val="1"/>
                <w:u w:val="single" w:color="auto"/>
                <w:color w:val="0563C1"/>
              </w:rPr>
            </w:pPr>
            <w:hyperlink w:anchor="page3">
              <w:r>
                <w:rPr>
                  <w:rFonts w:ascii="Arial" w:cs="Arial" w:eastAsia="Arial" w:hAnsi="Arial"/>
                  <w:sz w:val="17"/>
                  <w:szCs w:val="17"/>
                  <w:b w:val="1"/>
                  <w:bCs w:val="1"/>
                  <w:u w:val="single" w:color="auto"/>
                  <w:color w:val="0563C1"/>
                </w:rPr>
                <w:t>PART I. FINANCIAL INFORMATION</w:t>
              </w:r>
            </w:hyperlink>
          </w:p>
        </w:tc>
        <w:tc>
          <w:tcPr>
            <w:tcW w:w="540" w:type="dxa"/>
            <w:vAlign w:val="bottom"/>
          </w:tcPr>
          <w:p>
            <w:pPr>
              <w:spacing w:after="0"/>
              <w:rPr>
                <w:sz w:val="24"/>
                <w:szCs w:val="24"/>
                <w:color w:val="auto"/>
              </w:rPr>
            </w:pPr>
          </w:p>
        </w:tc>
      </w:tr>
      <w:tr>
        <w:trPr>
          <w:trHeight w:val="380"/>
        </w:trPr>
        <w:tc>
          <w:tcPr>
            <w:tcW w:w="1100" w:type="dxa"/>
            <w:vAlign w:val="bottom"/>
          </w:tcPr>
          <w:p>
            <w:pPr>
              <w:spacing w:after="0"/>
              <w:rPr>
                <w:rFonts w:ascii="Arial" w:cs="Arial" w:eastAsia="Arial" w:hAnsi="Arial"/>
                <w:sz w:val="17"/>
                <w:szCs w:val="17"/>
                <w:u w:val="single" w:color="auto"/>
                <w:color w:val="0563C1"/>
              </w:rPr>
            </w:pPr>
            <w:hyperlink w:anchor="page3">
              <w:r>
                <w:rPr>
                  <w:rFonts w:ascii="Arial" w:cs="Arial" w:eastAsia="Arial" w:hAnsi="Arial"/>
                  <w:sz w:val="17"/>
                  <w:szCs w:val="17"/>
                  <w:u w:val="single" w:color="auto"/>
                  <w:color w:val="0563C1"/>
                </w:rPr>
                <w:t>Item 1.</w:t>
              </w:r>
            </w:hyperlink>
          </w:p>
        </w:tc>
        <w:tc>
          <w:tcPr>
            <w:tcW w:w="9600" w:type="dxa"/>
            <w:vAlign w:val="bottom"/>
          </w:tcPr>
          <w:p>
            <w:pPr>
              <w:ind w:left="80"/>
              <w:spacing w:after="0"/>
              <w:rPr>
                <w:rFonts w:ascii="Arial" w:cs="Arial" w:eastAsia="Arial" w:hAnsi="Arial"/>
                <w:sz w:val="17"/>
                <w:szCs w:val="17"/>
                <w:u w:val="single" w:color="auto"/>
                <w:color w:val="0563C1"/>
              </w:rPr>
            </w:pPr>
            <w:hyperlink w:anchor="page3">
              <w:r>
                <w:rPr>
                  <w:rFonts w:ascii="Arial" w:cs="Arial" w:eastAsia="Arial" w:hAnsi="Arial"/>
                  <w:sz w:val="17"/>
                  <w:szCs w:val="17"/>
                  <w:u w:val="single" w:color="auto"/>
                  <w:color w:val="0563C1"/>
                </w:rPr>
                <w:t>Condensed Consolidated Financial Statements:</w:t>
              </w:r>
            </w:hyperlink>
          </w:p>
        </w:tc>
        <w:tc>
          <w:tcPr>
            <w:tcW w:w="540" w:type="dxa"/>
            <w:vAlign w:val="bottom"/>
          </w:tcPr>
          <w:p>
            <w:pPr>
              <w:spacing w:after="0"/>
              <w:rPr>
                <w:sz w:val="24"/>
                <w:szCs w:val="24"/>
                <w:color w:val="auto"/>
              </w:rPr>
            </w:pPr>
          </w:p>
        </w:tc>
      </w:tr>
      <w:tr>
        <w:trPr>
          <w:trHeight w:val="327"/>
        </w:trPr>
        <w:tc>
          <w:tcPr>
            <w:tcW w:w="1100" w:type="dxa"/>
            <w:vAlign w:val="bottom"/>
          </w:tcPr>
          <w:p>
            <w:pPr>
              <w:spacing w:after="0"/>
              <w:rPr>
                <w:sz w:val="24"/>
                <w:szCs w:val="24"/>
                <w:color w:val="auto"/>
              </w:rPr>
            </w:pPr>
          </w:p>
        </w:tc>
        <w:tc>
          <w:tcPr>
            <w:tcW w:w="9600" w:type="dxa"/>
            <w:vAlign w:val="bottom"/>
          </w:tcPr>
          <w:p>
            <w:pPr>
              <w:ind w:left="240"/>
              <w:spacing w:after="0"/>
              <w:rPr>
                <w:rFonts w:ascii="Arial" w:cs="Arial" w:eastAsia="Arial" w:hAnsi="Arial"/>
                <w:sz w:val="17"/>
                <w:szCs w:val="17"/>
                <w:u w:val="single" w:color="auto"/>
                <w:color w:val="0563C1"/>
              </w:rPr>
            </w:pPr>
            <w:hyperlink w:anchor="page3">
              <w:r>
                <w:rPr>
                  <w:rFonts w:ascii="Arial" w:cs="Arial" w:eastAsia="Arial" w:hAnsi="Arial"/>
                  <w:sz w:val="17"/>
                  <w:szCs w:val="17"/>
                  <w:u w:val="single" w:color="auto"/>
                  <w:color w:val="0563C1"/>
                </w:rPr>
                <w:t>CONDENSED CONSOLIDATED STATEMENTS OF INCOME (Unaudited)</w:t>
              </w:r>
            </w:hyperlink>
          </w:p>
        </w:tc>
        <w:tc>
          <w:tcPr>
            <w:tcW w:w="540" w:type="dxa"/>
            <w:vAlign w:val="bottom"/>
          </w:tcPr>
          <w:p>
            <w:pPr>
              <w:spacing w:after="0"/>
              <w:rPr>
                <w:sz w:val="24"/>
                <w:szCs w:val="24"/>
                <w:color w:val="auto"/>
              </w:rPr>
            </w:pPr>
          </w:p>
        </w:tc>
      </w:tr>
      <w:tr>
        <w:trPr>
          <w:trHeight w:val="210"/>
        </w:trPr>
        <w:tc>
          <w:tcPr>
            <w:tcW w:w="1100" w:type="dxa"/>
            <w:vAlign w:val="bottom"/>
          </w:tcPr>
          <w:p>
            <w:pPr>
              <w:spacing w:after="0"/>
              <w:rPr>
                <w:sz w:val="18"/>
                <w:szCs w:val="18"/>
                <w:color w:val="auto"/>
              </w:rPr>
            </w:pPr>
          </w:p>
        </w:tc>
        <w:tc>
          <w:tcPr>
            <w:tcW w:w="9600" w:type="dxa"/>
            <w:vAlign w:val="bottom"/>
          </w:tcPr>
          <w:p>
            <w:pPr>
              <w:ind w:left="560"/>
              <w:spacing w:after="0"/>
              <w:rPr>
                <w:rFonts w:ascii="Arial" w:cs="Arial" w:eastAsia="Arial" w:hAnsi="Arial"/>
                <w:sz w:val="17"/>
                <w:szCs w:val="17"/>
                <w:u w:val="single" w:color="auto"/>
                <w:color w:val="0563C1"/>
              </w:rPr>
            </w:pPr>
            <w:hyperlink w:anchor="page3">
              <w:r>
                <w:rPr>
                  <w:rFonts w:ascii="Arial" w:cs="Arial" w:eastAsia="Arial" w:hAnsi="Arial"/>
                  <w:sz w:val="17"/>
                  <w:szCs w:val="17"/>
                  <w:u w:val="single" w:color="auto"/>
                  <w:color w:val="0563C1"/>
                </w:rPr>
                <w:t>For the Three Months Ended March 31, 2020 and 2019</w:t>
              </w:r>
            </w:hyperlink>
          </w:p>
        </w:tc>
        <w:tc>
          <w:tcPr>
            <w:tcW w:w="540" w:type="dxa"/>
            <w:vAlign w:val="bottom"/>
          </w:tcPr>
          <w:p>
            <w:pPr>
              <w:ind w:left="160"/>
              <w:spacing w:after="0"/>
              <w:rPr>
                <w:sz w:val="20"/>
                <w:szCs w:val="20"/>
                <w:color w:val="auto"/>
              </w:rPr>
            </w:pPr>
            <w:r>
              <w:rPr>
                <w:rFonts w:ascii="Arial" w:cs="Arial" w:eastAsia="Arial" w:hAnsi="Arial"/>
                <w:sz w:val="17"/>
                <w:szCs w:val="17"/>
                <w:color w:val="auto"/>
              </w:rPr>
              <w:t>3</w:t>
            </w:r>
          </w:p>
        </w:tc>
      </w:tr>
      <w:tr>
        <w:trPr>
          <w:trHeight w:val="327"/>
        </w:trPr>
        <w:tc>
          <w:tcPr>
            <w:tcW w:w="1100" w:type="dxa"/>
            <w:vAlign w:val="bottom"/>
          </w:tcPr>
          <w:p>
            <w:pPr>
              <w:spacing w:after="0"/>
              <w:rPr>
                <w:sz w:val="24"/>
                <w:szCs w:val="24"/>
                <w:color w:val="auto"/>
              </w:rPr>
            </w:pPr>
          </w:p>
        </w:tc>
        <w:tc>
          <w:tcPr>
            <w:tcW w:w="9600" w:type="dxa"/>
            <w:vAlign w:val="bottom"/>
          </w:tcPr>
          <w:p>
            <w:pPr>
              <w:ind w:left="240"/>
              <w:spacing w:after="0"/>
              <w:rPr>
                <w:rFonts w:ascii="Arial" w:cs="Arial" w:eastAsia="Arial" w:hAnsi="Arial"/>
                <w:sz w:val="17"/>
                <w:szCs w:val="17"/>
                <w:u w:val="single" w:color="auto"/>
                <w:color w:val="0563C1"/>
              </w:rPr>
            </w:pPr>
            <w:hyperlink w:anchor="page3">
              <w:r>
                <w:rPr>
                  <w:rFonts w:ascii="Arial" w:cs="Arial" w:eastAsia="Arial" w:hAnsi="Arial"/>
                  <w:sz w:val="17"/>
                  <w:szCs w:val="17"/>
                  <w:u w:val="single" w:color="auto"/>
                  <w:color w:val="0563C1"/>
                </w:rPr>
                <w:t>CONDENSED CONSOLIDATED STATEMENTS OF COMPREHENSIVE INCOME (Unaudited)</w:t>
              </w:r>
            </w:hyperlink>
          </w:p>
        </w:tc>
        <w:tc>
          <w:tcPr>
            <w:tcW w:w="540" w:type="dxa"/>
            <w:vAlign w:val="bottom"/>
          </w:tcPr>
          <w:p>
            <w:pPr>
              <w:spacing w:after="0"/>
              <w:rPr>
                <w:sz w:val="24"/>
                <w:szCs w:val="24"/>
                <w:color w:val="auto"/>
              </w:rPr>
            </w:pPr>
          </w:p>
        </w:tc>
      </w:tr>
      <w:tr>
        <w:trPr>
          <w:trHeight w:val="210"/>
        </w:trPr>
        <w:tc>
          <w:tcPr>
            <w:tcW w:w="1100" w:type="dxa"/>
            <w:vAlign w:val="bottom"/>
          </w:tcPr>
          <w:p>
            <w:pPr>
              <w:spacing w:after="0"/>
              <w:rPr>
                <w:sz w:val="18"/>
                <w:szCs w:val="18"/>
                <w:color w:val="auto"/>
              </w:rPr>
            </w:pPr>
          </w:p>
        </w:tc>
        <w:tc>
          <w:tcPr>
            <w:tcW w:w="9600" w:type="dxa"/>
            <w:vAlign w:val="bottom"/>
          </w:tcPr>
          <w:p>
            <w:pPr>
              <w:ind w:left="560"/>
              <w:spacing w:after="0"/>
              <w:rPr>
                <w:rFonts w:ascii="Arial" w:cs="Arial" w:eastAsia="Arial" w:hAnsi="Arial"/>
                <w:sz w:val="17"/>
                <w:szCs w:val="17"/>
                <w:u w:val="single" w:color="auto"/>
                <w:color w:val="0563C1"/>
              </w:rPr>
            </w:pPr>
            <w:hyperlink w:anchor="page3">
              <w:r>
                <w:rPr>
                  <w:rFonts w:ascii="Arial" w:cs="Arial" w:eastAsia="Arial" w:hAnsi="Arial"/>
                  <w:sz w:val="17"/>
                  <w:szCs w:val="17"/>
                  <w:u w:val="single" w:color="auto"/>
                  <w:color w:val="0563C1"/>
                </w:rPr>
                <w:t>For the Three Months Ended March 31, 2020 and 2019</w:t>
              </w:r>
            </w:hyperlink>
          </w:p>
        </w:tc>
        <w:tc>
          <w:tcPr>
            <w:tcW w:w="540" w:type="dxa"/>
            <w:vAlign w:val="bottom"/>
          </w:tcPr>
          <w:p>
            <w:pPr>
              <w:ind w:left="160"/>
              <w:spacing w:after="0"/>
              <w:rPr>
                <w:sz w:val="20"/>
                <w:szCs w:val="20"/>
                <w:color w:val="auto"/>
              </w:rPr>
            </w:pPr>
            <w:r>
              <w:rPr>
                <w:rFonts w:ascii="Arial" w:cs="Arial" w:eastAsia="Arial" w:hAnsi="Arial"/>
                <w:sz w:val="17"/>
                <w:szCs w:val="17"/>
                <w:color w:val="auto"/>
              </w:rPr>
              <w:t>3</w:t>
            </w:r>
          </w:p>
        </w:tc>
      </w:tr>
      <w:tr>
        <w:trPr>
          <w:trHeight w:val="327"/>
        </w:trPr>
        <w:tc>
          <w:tcPr>
            <w:tcW w:w="1100" w:type="dxa"/>
            <w:vAlign w:val="bottom"/>
          </w:tcPr>
          <w:p>
            <w:pPr>
              <w:spacing w:after="0"/>
              <w:rPr>
                <w:sz w:val="24"/>
                <w:szCs w:val="24"/>
                <w:color w:val="auto"/>
              </w:rPr>
            </w:pPr>
          </w:p>
        </w:tc>
        <w:tc>
          <w:tcPr>
            <w:tcW w:w="9600" w:type="dxa"/>
            <w:vAlign w:val="bottom"/>
          </w:tcPr>
          <w:p>
            <w:pPr>
              <w:ind w:left="240"/>
              <w:spacing w:after="0"/>
              <w:rPr>
                <w:rFonts w:ascii="Arial" w:cs="Arial" w:eastAsia="Arial" w:hAnsi="Arial"/>
                <w:sz w:val="17"/>
                <w:szCs w:val="17"/>
                <w:u w:val="single" w:color="auto"/>
                <w:color w:val="0563C1"/>
              </w:rPr>
            </w:pPr>
            <w:hyperlink w:anchor="page4">
              <w:r>
                <w:rPr>
                  <w:rFonts w:ascii="Arial" w:cs="Arial" w:eastAsia="Arial" w:hAnsi="Arial"/>
                  <w:sz w:val="17"/>
                  <w:szCs w:val="17"/>
                  <w:u w:val="single" w:color="auto"/>
                  <w:color w:val="0563C1"/>
                </w:rPr>
                <w:t>CONDENSED CONSOLIDATED STATEMENTS OF FINANCIAL POSITION (Unaudited)</w:t>
              </w:r>
            </w:hyperlink>
          </w:p>
        </w:tc>
        <w:tc>
          <w:tcPr>
            <w:tcW w:w="540" w:type="dxa"/>
            <w:vAlign w:val="bottom"/>
          </w:tcPr>
          <w:p>
            <w:pPr>
              <w:spacing w:after="0"/>
              <w:rPr>
                <w:sz w:val="24"/>
                <w:szCs w:val="24"/>
                <w:color w:val="auto"/>
              </w:rPr>
            </w:pPr>
          </w:p>
        </w:tc>
      </w:tr>
      <w:tr>
        <w:trPr>
          <w:trHeight w:val="210"/>
        </w:trPr>
        <w:tc>
          <w:tcPr>
            <w:tcW w:w="1100" w:type="dxa"/>
            <w:vAlign w:val="bottom"/>
          </w:tcPr>
          <w:p>
            <w:pPr>
              <w:spacing w:after="0"/>
              <w:rPr>
                <w:sz w:val="18"/>
                <w:szCs w:val="18"/>
                <w:color w:val="auto"/>
              </w:rPr>
            </w:pPr>
          </w:p>
        </w:tc>
        <w:tc>
          <w:tcPr>
            <w:tcW w:w="9600" w:type="dxa"/>
            <w:vAlign w:val="bottom"/>
          </w:tcPr>
          <w:p>
            <w:pPr>
              <w:ind w:left="560"/>
              <w:spacing w:after="0"/>
              <w:rPr>
                <w:rFonts w:ascii="Arial" w:cs="Arial" w:eastAsia="Arial" w:hAnsi="Arial"/>
                <w:sz w:val="17"/>
                <w:szCs w:val="17"/>
                <w:u w:val="single" w:color="auto"/>
                <w:color w:val="0563C1"/>
              </w:rPr>
            </w:pPr>
            <w:hyperlink w:anchor="page4">
              <w:r>
                <w:rPr>
                  <w:rFonts w:ascii="Arial" w:cs="Arial" w:eastAsia="Arial" w:hAnsi="Arial"/>
                  <w:sz w:val="17"/>
                  <w:szCs w:val="17"/>
                  <w:u w:val="single" w:color="auto"/>
                  <w:color w:val="0563C1"/>
                </w:rPr>
                <w:t>At March 31, 2020 and December 31, 2019</w:t>
              </w:r>
            </w:hyperlink>
          </w:p>
        </w:tc>
        <w:tc>
          <w:tcPr>
            <w:tcW w:w="540" w:type="dxa"/>
            <w:vAlign w:val="bottom"/>
          </w:tcPr>
          <w:p>
            <w:pPr>
              <w:ind w:left="160"/>
              <w:spacing w:after="0"/>
              <w:rPr>
                <w:sz w:val="20"/>
                <w:szCs w:val="20"/>
                <w:color w:val="auto"/>
              </w:rPr>
            </w:pPr>
            <w:r>
              <w:rPr>
                <w:rFonts w:ascii="Arial" w:cs="Arial" w:eastAsia="Arial" w:hAnsi="Arial"/>
                <w:sz w:val="17"/>
                <w:szCs w:val="17"/>
                <w:color w:val="auto"/>
              </w:rPr>
              <w:t>4</w:t>
            </w:r>
          </w:p>
        </w:tc>
      </w:tr>
      <w:tr>
        <w:trPr>
          <w:trHeight w:val="327"/>
        </w:trPr>
        <w:tc>
          <w:tcPr>
            <w:tcW w:w="1100" w:type="dxa"/>
            <w:vAlign w:val="bottom"/>
          </w:tcPr>
          <w:p>
            <w:pPr>
              <w:spacing w:after="0"/>
              <w:rPr>
                <w:sz w:val="24"/>
                <w:szCs w:val="24"/>
                <w:color w:val="auto"/>
              </w:rPr>
            </w:pPr>
          </w:p>
        </w:tc>
        <w:tc>
          <w:tcPr>
            <w:tcW w:w="9600" w:type="dxa"/>
            <w:vAlign w:val="bottom"/>
          </w:tcPr>
          <w:p>
            <w:pPr>
              <w:ind w:left="240"/>
              <w:spacing w:after="0"/>
              <w:rPr>
                <w:rFonts w:ascii="Arial" w:cs="Arial" w:eastAsia="Arial" w:hAnsi="Arial"/>
                <w:sz w:val="17"/>
                <w:szCs w:val="17"/>
                <w:u w:val="single" w:color="auto"/>
                <w:color w:val="0563C1"/>
              </w:rPr>
            </w:pPr>
            <w:hyperlink w:anchor="page5">
              <w:r>
                <w:rPr>
                  <w:rFonts w:ascii="Arial" w:cs="Arial" w:eastAsia="Arial" w:hAnsi="Arial"/>
                  <w:sz w:val="17"/>
                  <w:szCs w:val="17"/>
                  <w:u w:val="single" w:color="auto"/>
                  <w:color w:val="0563C1"/>
                </w:rPr>
                <w:t>CONDENSED CONSOLIDATED STATEMENTS OF CASH FLOWS (Unaudited)</w:t>
              </w:r>
            </w:hyperlink>
          </w:p>
        </w:tc>
        <w:tc>
          <w:tcPr>
            <w:tcW w:w="540" w:type="dxa"/>
            <w:vAlign w:val="bottom"/>
          </w:tcPr>
          <w:p>
            <w:pPr>
              <w:spacing w:after="0"/>
              <w:rPr>
                <w:sz w:val="24"/>
                <w:szCs w:val="24"/>
                <w:color w:val="auto"/>
              </w:rPr>
            </w:pPr>
          </w:p>
        </w:tc>
      </w:tr>
      <w:tr>
        <w:trPr>
          <w:trHeight w:val="210"/>
        </w:trPr>
        <w:tc>
          <w:tcPr>
            <w:tcW w:w="1100" w:type="dxa"/>
            <w:vAlign w:val="bottom"/>
          </w:tcPr>
          <w:p>
            <w:pPr>
              <w:spacing w:after="0"/>
              <w:rPr>
                <w:sz w:val="18"/>
                <w:szCs w:val="18"/>
                <w:color w:val="auto"/>
              </w:rPr>
            </w:pPr>
          </w:p>
        </w:tc>
        <w:tc>
          <w:tcPr>
            <w:tcW w:w="9600" w:type="dxa"/>
            <w:vAlign w:val="bottom"/>
          </w:tcPr>
          <w:p>
            <w:pPr>
              <w:ind w:left="560"/>
              <w:spacing w:after="0"/>
              <w:rPr>
                <w:rFonts w:ascii="Arial" w:cs="Arial" w:eastAsia="Arial" w:hAnsi="Arial"/>
                <w:sz w:val="17"/>
                <w:szCs w:val="17"/>
                <w:u w:val="single" w:color="auto"/>
                <w:color w:val="0563C1"/>
              </w:rPr>
            </w:pPr>
            <w:hyperlink w:anchor="page5">
              <w:r>
                <w:rPr>
                  <w:rFonts w:ascii="Arial" w:cs="Arial" w:eastAsia="Arial" w:hAnsi="Arial"/>
                  <w:sz w:val="17"/>
                  <w:szCs w:val="17"/>
                  <w:u w:val="single" w:color="auto"/>
                  <w:color w:val="0563C1"/>
                </w:rPr>
                <w:t>For the Three Months Ended March 31, 2020 and 2019</w:t>
              </w:r>
            </w:hyperlink>
          </w:p>
        </w:tc>
        <w:tc>
          <w:tcPr>
            <w:tcW w:w="540" w:type="dxa"/>
            <w:vAlign w:val="bottom"/>
          </w:tcPr>
          <w:p>
            <w:pPr>
              <w:ind w:left="160"/>
              <w:spacing w:after="0"/>
              <w:rPr>
                <w:sz w:val="20"/>
                <w:szCs w:val="20"/>
                <w:color w:val="auto"/>
              </w:rPr>
            </w:pPr>
            <w:r>
              <w:rPr>
                <w:rFonts w:ascii="Arial" w:cs="Arial" w:eastAsia="Arial" w:hAnsi="Arial"/>
                <w:sz w:val="17"/>
                <w:szCs w:val="17"/>
                <w:color w:val="auto"/>
              </w:rPr>
              <w:t>5</w:t>
            </w:r>
          </w:p>
        </w:tc>
      </w:tr>
      <w:tr>
        <w:trPr>
          <w:trHeight w:val="327"/>
        </w:trPr>
        <w:tc>
          <w:tcPr>
            <w:tcW w:w="1100" w:type="dxa"/>
            <w:vAlign w:val="bottom"/>
          </w:tcPr>
          <w:p>
            <w:pPr>
              <w:spacing w:after="0"/>
              <w:rPr>
                <w:sz w:val="24"/>
                <w:szCs w:val="24"/>
                <w:color w:val="auto"/>
              </w:rPr>
            </w:pPr>
          </w:p>
        </w:tc>
        <w:tc>
          <w:tcPr>
            <w:tcW w:w="9600" w:type="dxa"/>
            <w:vAlign w:val="bottom"/>
          </w:tcPr>
          <w:p>
            <w:pPr>
              <w:ind w:left="240"/>
              <w:spacing w:after="0"/>
              <w:rPr>
                <w:rFonts w:ascii="Arial" w:cs="Arial" w:eastAsia="Arial" w:hAnsi="Arial"/>
                <w:sz w:val="17"/>
                <w:szCs w:val="17"/>
                <w:u w:val="single" w:color="auto"/>
                <w:color w:val="0563C1"/>
              </w:rPr>
            </w:pPr>
            <w:hyperlink w:anchor="page6">
              <w:r>
                <w:rPr>
                  <w:rFonts w:ascii="Arial" w:cs="Arial" w:eastAsia="Arial" w:hAnsi="Arial"/>
                  <w:sz w:val="17"/>
                  <w:szCs w:val="17"/>
                  <w:u w:val="single" w:color="auto"/>
                  <w:color w:val="0563C1"/>
                </w:rPr>
                <w:t>CONDENSED CONSOLIDATED STATEMENTS OF CHANGES IN COMMON SHAREHOLDERS’ EQUITY (Unaudited)</w:t>
              </w:r>
            </w:hyperlink>
          </w:p>
        </w:tc>
        <w:tc>
          <w:tcPr>
            <w:tcW w:w="540" w:type="dxa"/>
            <w:vAlign w:val="bottom"/>
          </w:tcPr>
          <w:p>
            <w:pPr>
              <w:spacing w:after="0"/>
              <w:rPr>
                <w:sz w:val="24"/>
                <w:szCs w:val="24"/>
                <w:color w:val="auto"/>
              </w:rPr>
            </w:pPr>
          </w:p>
        </w:tc>
      </w:tr>
      <w:tr>
        <w:trPr>
          <w:trHeight w:val="210"/>
        </w:trPr>
        <w:tc>
          <w:tcPr>
            <w:tcW w:w="1100" w:type="dxa"/>
            <w:vAlign w:val="bottom"/>
          </w:tcPr>
          <w:p>
            <w:pPr>
              <w:spacing w:after="0"/>
              <w:rPr>
                <w:sz w:val="18"/>
                <w:szCs w:val="18"/>
                <w:color w:val="auto"/>
              </w:rPr>
            </w:pPr>
          </w:p>
        </w:tc>
        <w:tc>
          <w:tcPr>
            <w:tcW w:w="9600" w:type="dxa"/>
            <w:vAlign w:val="bottom"/>
          </w:tcPr>
          <w:p>
            <w:pPr>
              <w:ind w:left="560"/>
              <w:spacing w:after="0"/>
              <w:rPr>
                <w:rFonts w:ascii="Arial" w:cs="Arial" w:eastAsia="Arial" w:hAnsi="Arial"/>
                <w:sz w:val="17"/>
                <w:szCs w:val="17"/>
                <w:u w:val="single" w:color="auto"/>
                <w:color w:val="0563C1"/>
              </w:rPr>
            </w:pPr>
            <w:hyperlink w:anchor="page6">
              <w:r>
                <w:rPr>
                  <w:rFonts w:ascii="Arial" w:cs="Arial" w:eastAsia="Arial" w:hAnsi="Arial"/>
                  <w:sz w:val="17"/>
                  <w:szCs w:val="17"/>
                  <w:u w:val="single" w:color="auto"/>
                  <w:color w:val="0563C1"/>
                </w:rPr>
                <w:t>For the Three and Three Months Ended March 31, 2020 and 2019</w:t>
              </w:r>
            </w:hyperlink>
          </w:p>
        </w:tc>
        <w:tc>
          <w:tcPr>
            <w:tcW w:w="540" w:type="dxa"/>
            <w:vAlign w:val="bottom"/>
          </w:tcPr>
          <w:p>
            <w:pPr>
              <w:ind w:left="160"/>
              <w:spacing w:after="0"/>
              <w:rPr>
                <w:sz w:val="20"/>
                <w:szCs w:val="20"/>
                <w:color w:val="auto"/>
              </w:rPr>
            </w:pPr>
            <w:r>
              <w:rPr>
                <w:rFonts w:ascii="Arial" w:cs="Arial" w:eastAsia="Arial" w:hAnsi="Arial"/>
                <w:sz w:val="17"/>
                <w:szCs w:val="17"/>
                <w:color w:val="auto"/>
              </w:rPr>
              <w:t>6</w:t>
            </w:r>
          </w:p>
        </w:tc>
      </w:tr>
      <w:tr>
        <w:trPr>
          <w:trHeight w:val="354"/>
        </w:trPr>
        <w:tc>
          <w:tcPr>
            <w:tcW w:w="1100" w:type="dxa"/>
            <w:vAlign w:val="bottom"/>
          </w:tcPr>
          <w:p>
            <w:pPr>
              <w:spacing w:after="0"/>
              <w:rPr>
                <w:sz w:val="24"/>
                <w:szCs w:val="24"/>
                <w:color w:val="auto"/>
              </w:rPr>
            </w:pPr>
          </w:p>
        </w:tc>
        <w:tc>
          <w:tcPr>
            <w:tcW w:w="9600" w:type="dxa"/>
            <w:vAlign w:val="bottom"/>
          </w:tcPr>
          <w:p>
            <w:pPr>
              <w:ind w:left="240"/>
              <w:spacing w:after="0"/>
              <w:rPr>
                <w:rFonts w:ascii="Arial" w:cs="Arial" w:eastAsia="Arial" w:hAnsi="Arial"/>
                <w:sz w:val="17"/>
                <w:szCs w:val="17"/>
                <w:u w:val="single" w:color="auto"/>
                <w:color w:val="0563C1"/>
              </w:rPr>
            </w:pPr>
            <w:hyperlink w:anchor="page7">
              <w:r>
                <w:rPr>
                  <w:rFonts w:ascii="Arial" w:cs="Arial" w:eastAsia="Arial" w:hAnsi="Arial"/>
                  <w:sz w:val="17"/>
                  <w:szCs w:val="17"/>
                  <w:u w:val="single" w:color="auto"/>
                  <w:color w:val="0563C1"/>
                </w:rPr>
                <w:t>NOTES TO THE CONDENSED CONSOLIDATED FINANCIAL STATEMENTS (Unaudited)</w:t>
              </w:r>
            </w:hyperlink>
          </w:p>
        </w:tc>
        <w:tc>
          <w:tcPr>
            <w:tcW w:w="540" w:type="dxa"/>
            <w:vAlign w:val="bottom"/>
          </w:tcPr>
          <w:p>
            <w:pPr>
              <w:ind w:left="160"/>
              <w:spacing w:after="0"/>
              <w:rPr>
                <w:sz w:val="20"/>
                <w:szCs w:val="20"/>
                <w:color w:val="auto"/>
              </w:rPr>
            </w:pPr>
            <w:r>
              <w:rPr>
                <w:rFonts w:ascii="Arial" w:cs="Arial" w:eastAsia="Arial" w:hAnsi="Arial"/>
                <w:sz w:val="17"/>
                <w:szCs w:val="17"/>
                <w:color w:val="auto"/>
              </w:rPr>
              <w:t>7</w:t>
            </w:r>
          </w:p>
        </w:tc>
      </w:tr>
      <w:tr>
        <w:trPr>
          <w:trHeight w:val="354"/>
        </w:trPr>
        <w:tc>
          <w:tcPr>
            <w:tcW w:w="1100" w:type="dxa"/>
            <w:vAlign w:val="bottom"/>
          </w:tcPr>
          <w:p>
            <w:pPr>
              <w:spacing w:after="0"/>
              <w:rPr>
                <w:rFonts w:ascii="Arial" w:cs="Arial" w:eastAsia="Arial" w:hAnsi="Arial"/>
                <w:sz w:val="17"/>
                <w:szCs w:val="17"/>
                <w:u w:val="single" w:color="auto"/>
                <w:color w:val="0563C1"/>
              </w:rPr>
            </w:pPr>
            <w:hyperlink w:anchor="page22">
              <w:r>
                <w:rPr>
                  <w:rFonts w:ascii="Arial" w:cs="Arial" w:eastAsia="Arial" w:hAnsi="Arial"/>
                  <w:sz w:val="17"/>
                  <w:szCs w:val="17"/>
                  <w:u w:val="single" w:color="auto"/>
                  <w:color w:val="0563C1"/>
                </w:rPr>
                <w:t>Item 2.</w:t>
              </w:r>
            </w:hyperlink>
          </w:p>
        </w:tc>
        <w:tc>
          <w:tcPr>
            <w:tcW w:w="9600" w:type="dxa"/>
            <w:vAlign w:val="bottom"/>
          </w:tcPr>
          <w:p>
            <w:pPr>
              <w:ind w:left="80"/>
              <w:spacing w:after="0"/>
              <w:rPr>
                <w:rFonts w:ascii="Arial" w:cs="Arial" w:eastAsia="Arial" w:hAnsi="Arial"/>
                <w:sz w:val="17"/>
                <w:szCs w:val="17"/>
                <w:u w:val="single" w:color="auto"/>
                <w:color w:val="0563C1"/>
              </w:rPr>
            </w:pPr>
            <w:hyperlink w:anchor="page22">
              <w:r>
                <w:rPr>
                  <w:rFonts w:ascii="Arial" w:cs="Arial" w:eastAsia="Arial" w:hAnsi="Arial"/>
                  <w:sz w:val="17"/>
                  <w:szCs w:val="17"/>
                  <w:u w:val="single" w:color="auto"/>
                  <w:color w:val="0563C1"/>
                </w:rPr>
                <w:t>Management's Discussion and Analysis of Financial Condition and Results of Operations</w:t>
              </w:r>
            </w:hyperlink>
          </w:p>
        </w:tc>
        <w:tc>
          <w:tcPr>
            <w:tcW w:w="540" w:type="dxa"/>
            <w:vAlign w:val="bottom"/>
          </w:tcPr>
          <w:p>
            <w:pPr>
              <w:ind w:left="160"/>
              <w:spacing w:after="0"/>
              <w:rPr>
                <w:sz w:val="20"/>
                <w:szCs w:val="20"/>
                <w:color w:val="auto"/>
              </w:rPr>
            </w:pPr>
            <w:r>
              <w:rPr>
                <w:rFonts w:ascii="Arial" w:cs="Arial" w:eastAsia="Arial" w:hAnsi="Arial"/>
                <w:sz w:val="17"/>
                <w:szCs w:val="17"/>
                <w:color w:val="auto"/>
              </w:rPr>
              <w:t>22</w:t>
            </w:r>
          </w:p>
        </w:tc>
      </w:tr>
      <w:tr>
        <w:trPr>
          <w:trHeight w:val="354"/>
        </w:trPr>
        <w:tc>
          <w:tcPr>
            <w:tcW w:w="1100" w:type="dxa"/>
            <w:vAlign w:val="bottom"/>
          </w:tcPr>
          <w:p>
            <w:pPr>
              <w:spacing w:after="0"/>
              <w:rPr>
                <w:rFonts w:ascii="Arial" w:cs="Arial" w:eastAsia="Arial" w:hAnsi="Arial"/>
                <w:sz w:val="17"/>
                <w:szCs w:val="17"/>
                <w:u w:val="single" w:color="auto"/>
                <w:color w:val="0563C1"/>
              </w:rPr>
            </w:pPr>
            <w:hyperlink w:anchor="page35">
              <w:r>
                <w:rPr>
                  <w:rFonts w:ascii="Arial" w:cs="Arial" w:eastAsia="Arial" w:hAnsi="Arial"/>
                  <w:sz w:val="17"/>
                  <w:szCs w:val="17"/>
                  <w:u w:val="single" w:color="auto"/>
                  <w:color w:val="0563C1"/>
                </w:rPr>
                <w:t>Item 3.</w:t>
              </w:r>
            </w:hyperlink>
          </w:p>
        </w:tc>
        <w:tc>
          <w:tcPr>
            <w:tcW w:w="9600" w:type="dxa"/>
            <w:vAlign w:val="bottom"/>
          </w:tcPr>
          <w:p>
            <w:pPr>
              <w:ind w:left="80"/>
              <w:spacing w:after="0"/>
              <w:rPr>
                <w:rFonts w:ascii="Arial" w:cs="Arial" w:eastAsia="Arial" w:hAnsi="Arial"/>
                <w:sz w:val="17"/>
                <w:szCs w:val="17"/>
                <w:u w:val="single" w:color="auto"/>
                <w:color w:val="0563C1"/>
              </w:rPr>
            </w:pPr>
            <w:hyperlink w:anchor="page35">
              <w:r>
                <w:rPr>
                  <w:rFonts w:ascii="Arial" w:cs="Arial" w:eastAsia="Arial" w:hAnsi="Arial"/>
                  <w:sz w:val="17"/>
                  <w:szCs w:val="17"/>
                  <w:u w:val="single" w:color="auto"/>
                  <w:color w:val="0563C1"/>
                </w:rPr>
                <w:t>Quantitative and Qualitative Disclosures About Market Risk</w:t>
              </w:r>
            </w:hyperlink>
          </w:p>
        </w:tc>
        <w:tc>
          <w:tcPr>
            <w:tcW w:w="540" w:type="dxa"/>
            <w:vAlign w:val="bottom"/>
          </w:tcPr>
          <w:p>
            <w:pPr>
              <w:ind w:left="160"/>
              <w:spacing w:after="0"/>
              <w:rPr>
                <w:sz w:val="20"/>
                <w:szCs w:val="20"/>
                <w:color w:val="auto"/>
              </w:rPr>
            </w:pPr>
            <w:r>
              <w:rPr>
                <w:rFonts w:ascii="Arial" w:cs="Arial" w:eastAsia="Arial" w:hAnsi="Arial"/>
                <w:sz w:val="17"/>
                <w:szCs w:val="17"/>
                <w:color w:val="auto"/>
              </w:rPr>
              <w:t>35</w:t>
            </w:r>
          </w:p>
        </w:tc>
      </w:tr>
      <w:tr>
        <w:trPr>
          <w:trHeight w:val="354"/>
        </w:trPr>
        <w:tc>
          <w:tcPr>
            <w:tcW w:w="1100" w:type="dxa"/>
            <w:vAlign w:val="bottom"/>
          </w:tcPr>
          <w:p>
            <w:pPr>
              <w:spacing w:after="0"/>
              <w:rPr>
                <w:rFonts w:ascii="Arial" w:cs="Arial" w:eastAsia="Arial" w:hAnsi="Arial"/>
                <w:sz w:val="17"/>
                <w:szCs w:val="17"/>
                <w:u w:val="single" w:color="auto"/>
                <w:color w:val="0563C1"/>
              </w:rPr>
            </w:pPr>
            <w:hyperlink w:anchor="page35">
              <w:r>
                <w:rPr>
                  <w:rFonts w:ascii="Arial" w:cs="Arial" w:eastAsia="Arial" w:hAnsi="Arial"/>
                  <w:sz w:val="17"/>
                  <w:szCs w:val="17"/>
                  <w:u w:val="single" w:color="auto"/>
                  <w:color w:val="0563C1"/>
                </w:rPr>
                <w:t>Item 4.</w:t>
              </w:r>
            </w:hyperlink>
          </w:p>
        </w:tc>
        <w:tc>
          <w:tcPr>
            <w:tcW w:w="9600" w:type="dxa"/>
            <w:vAlign w:val="bottom"/>
          </w:tcPr>
          <w:p>
            <w:pPr>
              <w:ind w:left="80"/>
              <w:spacing w:after="0"/>
              <w:rPr>
                <w:rFonts w:ascii="Arial" w:cs="Arial" w:eastAsia="Arial" w:hAnsi="Arial"/>
                <w:sz w:val="17"/>
                <w:szCs w:val="17"/>
                <w:u w:val="single" w:color="auto"/>
                <w:color w:val="0563C1"/>
              </w:rPr>
            </w:pPr>
            <w:hyperlink w:anchor="page35">
              <w:r>
                <w:rPr>
                  <w:rFonts w:ascii="Arial" w:cs="Arial" w:eastAsia="Arial" w:hAnsi="Arial"/>
                  <w:sz w:val="17"/>
                  <w:szCs w:val="17"/>
                  <w:u w:val="single" w:color="auto"/>
                  <w:color w:val="0563C1"/>
                </w:rPr>
                <w:t>Controls and Procedures</w:t>
              </w:r>
            </w:hyperlink>
          </w:p>
        </w:tc>
        <w:tc>
          <w:tcPr>
            <w:tcW w:w="540" w:type="dxa"/>
            <w:vAlign w:val="bottom"/>
          </w:tcPr>
          <w:p>
            <w:pPr>
              <w:ind w:left="160"/>
              <w:spacing w:after="0"/>
              <w:rPr>
                <w:sz w:val="20"/>
                <w:szCs w:val="20"/>
                <w:color w:val="auto"/>
              </w:rPr>
            </w:pPr>
            <w:r>
              <w:rPr>
                <w:rFonts w:ascii="Arial" w:cs="Arial" w:eastAsia="Arial" w:hAnsi="Arial"/>
                <w:sz w:val="17"/>
                <w:szCs w:val="17"/>
                <w:color w:val="auto"/>
              </w:rPr>
              <w:t>35</w:t>
            </w:r>
          </w:p>
        </w:tc>
      </w:tr>
      <w:tr>
        <w:trPr>
          <w:trHeight w:val="341"/>
        </w:trPr>
        <w:tc>
          <w:tcPr>
            <w:tcW w:w="1100" w:type="dxa"/>
            <w:vAlign w:val="bottom"/>
          </w:tcPr>
          <w:p>
            <w:pPr>
              <w:spacing w:after="0"/>
              <w:rPr>
                <w:sz w:val="24"/>
                <w:szCs w:val="24"/>
                <w:color w:val="auto"/>
              </w:rPr>
            </w:pPr>
          </w:p>
        </w:tc>
        <w:tc>
          <w:tcPr>
            <w:tcW w:w="9600" w:type="dxa"/>
            <w:vAlign w:val="bottom"/>
          </w:tcPr>
          <w:p>
            <w:pPr>
              <w:jc w:val="center"/>
              <w:ind w:right="453"/>
              <w:spacing w:after="0"/>
              <w:rPr>
                <w:rFonts w:ascii="Arial" w:cs="Arial" w:eastAsia="Arial" w:hAnsi="Arial"/>
                <w:sz w:val="17"/>
                <w:szCs w:val="17"/>
                <w:b w:val="1"/>
                <w:bCs w:val="1"/>
                <w:u w:val="single" w:color="auto"/>
                <w:color w:val="0563C1"/>
              </w:rPr>
            </w:pPr>
            <w:hyperlink w:anchor="page36">
              <w:r>
                <w:rPr>
                  <w:rFonts w:ascii="Arial" w:cs="Arial" w:eastAsia="Arial" w:hAnsi="Arial"/>
                  <w:sz w:val="17"/>
                  <w:szCs w:val="17"/>
                  <w:b w:val="1"/>
                  <w:bCs w:val="1"/>
                  <w:u w:val="single" w:color="auto"/>
                  <w:color w:val="0563C1"/>
                </w:rPr>
                <w:t>PART II. OTHER INFORMATION</w:t>
              </w:r>
            </w:hyperlink>
          </w:p>
        </w:tc>
        <w:tc>
          <w:tcPr>
            <w:tcW w:w="540" w:type="dxa"/>
            <w:vAlign w:val="bottom"/>
          </w:tcPr>
          <w:p>
            <w:pPr>
              <w:spacing w:after="0"/>
              <w:rPr>
                <w:sz w:val="24"/>
                <w:szCs w:val="24"/>
                <w:color w:val="auto"/>
              </w:rPr>
            </w:pPr>
          </w:p>
        </w:tc>
      </w:tr>
      <w:tr>
        <w:trPr>
          <w:trHeight w:val="380"/>
        </w:trPr>
        <w:tc>
          <w:tcPr>
            <w:tcW w:w="1100" w:type="dxa"/>
            <w:vAlign w:val="bottom"/>
          </w:tcPr>
          <w:p>
            <w:pPr>
              <w:spacing w:after="0"/>
              <w:rPr>
                <w:rFonts w:ascii="Arial" w:cs="Arial" w:eastAsia="Arial" w:hAnsi="Arial"/>
                <w:sz w:val="17"/>
                <w:szCs w:val="17"/>
                <w:u w:val="single" w:color="auto"/>
                <w:color w:val="0563C1"/>
              </w:rPr>
            </w:pPr>
            <w:hyperlink w:anchor="page36">
              <w:r>
                <w:rPr>
                  <w:rFonts w:ascii="Arial" w:cs="Arial" w:eastAsia="Arial" w:hAnsi="Arial"/>
                  <w:sz w:val="17"/>
                  <w:szCs w:val="17"/>
                  <w:u w:val="single" w:color="auto"/>
                  <w:color w:val="0563C1"/>
                </w:rPr>
                <w:t>Item 1.</w:t>
              </w:r>
            </w:hyperlink>
          </w:p>
        </w:tc>
        <w:tc>
          <w:tcPr>
            <w:tcW w:w="9600" w:type="dxa"/>
            <w:vAlign w:val="bottom"/>
          </w:tcPr>
          <w:p>
            <w:pPr>
              <w:ind w:left="80"/>
              <w:spacing w:after="0"/>
              <w:rPr>
                <w:rFonts w:ascii="Arial" w:cs="Arial" w:eastAsia="Arial" w:hAnsi="Arial"/>
                <w:sz w:val="17"/>
                <w:szCs w:val="17"/>
                <w:u w:val="single" w:color="auto"/>
                <w:color w:val="0563C1"/>
              </w:rPr>
            </w:pPr>
            <w:hyperlink w:anchor="page36">
              <w:r>
                <w:rPr>
                  <w:rFonts w:ascii="Arial" w:cs="Arial" w:eastAsia="Arial" w:hAnsi="Arial"/>
                  <w:sz w:val="17"/>
                  <w:szCs w:val="17"/>
                  <w:u w:val="single" w:color="auto"/>
                  <w:color w:val="0563C1"/>
                </w:rPr>
                <w:t>Legal Proceedings</w:t>
              </w:r>
            </w:hyperlink>
          </w:p>
        </w:tc>
        <w:tc>
          <w:tcPr>
            <w:tcW w:w="540" w:type="dxa"/>
            <w:vAlign w:val="bottom"/>
          </w:tcPr>
          <w:p>
            <w:pPr>
              <w:ind w:left="140"/>
              <w:spacing w:after="0"/>
              <w:rPr>
                <w:sz w:val="20"/>
                <w:szCs w:val="20"/>
                <w:color w:val="auto"/>
              </w:rPr>
            </w:pPr>
            <w:r>
              <w:rPr>
                <w:rFonts w:ascii="Arial" w:cs="Arial" w:eastAsia="Arial" w:hAnsi="Arial"/>
                <w:sz w:val="17"/>
                <w:szCs w:val="17"/>
                <w:color w:val="auto"/>
              </w:rPr>
              <w:t>36</w:t>
            </w:r>
          </w:p>
        </w:tc>
      </w:tr>
      <w:tr>
        <w:trPr>
          <w:trHeight w:val="354"/>
        </w:trPr>
        <w:tc>
          <w:tcPr>
            <w:tcW w:w="1100" w:type="dxa"/>
            <w:vAlign w:val="bottom"/>
          </w:tcPr>
          <w:p>
            <w:pPr>
              <w:spacing w:after="0"/>
              <w:rPr>
                <w:rFonts w:ascii="Arial" w:cs="Arial" w:eastAsia="Arial" w:hAnsi="Arial"/>
                <w:sz w:val="17"/>
                <w:szCs w:val="17"/>
                <w:u w:val="single" w:color="auto"/>
                <w:color w:val="0563C1"/>
              </w:rPr>
            </w:pPr>
            <w:hyperlink w:anchor="page36">
              <w:r>
                <w:rPr>
                  <w:rFonts w:ascii="Arial" w:cs="Arial" w:eastAsia="Arial" w:hAnsi="Arial"/>
                  <w:sz w:val="17"/>
                  <w:szCs w:val="17"/>
                  <w:u w:val="single" w:color="auto"/>
                  <w:color w:val="0563C1"/>
                </w:rPr>
                <w:t>Item 1A.</w:t>
              </w:r>
            </w:hyperlink>
          </w:p>
        </w:tc>
        <w:tc>
          <w:tcPr>
            <w:tcW w:w="9600" w:type="dxa"/>
            <w:vAlign w:val="bottom"/>
          </w:tcPr>
          <w:p>
            <w:pPr>
              <w:ind w:left="80"/>
              <w:spacing w:after="0"/>
              <w:rPr>
                <w:rFonts w:ascii="Arial" w:cs="Arial" w:eastAsia="Arial" w:hAnsi="Arial"/>
                <w:sz w:val="17"/>
                <w:szCs w:val="17"/>
                <w:u w:val="single" w:color="auto"/>
                <w:color w:val="0563C1"/>
              </w:rPr>
            </w:pPr>
            <w:hyperlink w:anchor="page36">
              <w:r>
                <w:rPr>
                  <w:rFonts w:ascii="Arial" w:cs="Arial" w:eastAsia="Arial" w:hAnsi="Arial"/>
                  <w:sz w:val="17"/>
                  <w:szCs w:val="17"/>
                  <w:u w:val="single" w:color="auto"/>
                  <w:color w:val="0563C1"/>
                </w:rPr>
                <w:t>Risk Factors</w:t>
              </w:r>
            </w:hyperlink>
          </w:p>
        </w:tc>
        <w:tc>
          <w:tcPr>
            <w:tcW w:w="540" w:type="dxa"/>
            <w:vAlign w:val="bottom"/>
          </w:tcPr>
          <w:p>
            <w:pPr>
              <w:ind w:left="140"/>
              <w:spacing w:after="0"/>
              <w:rPr>
                <w:sz w:val="20"/>
                <w:szCs w:val="20"/>
                <w:color w:val="auto"/>
              </w:rPr>
            </w:pPr>
            <w:r>
              <w:rPr>
                <w:rFonts w:ascii="Arial" w:cs="Arial" w:eastAsia="Arial" w:hAnsi="Arial"/>
                <w:sz w:val="17"/>
                <w:szCs w:val="17"/>
                <w:color w:val="auto"/>
              </w:rPr>
              <w:t>36</w:t>
            </w:r>
          </w:p>
        </w:tc>
      </w:tr>
      <w:tr>
        <w:trPr>
          <w:trHeight w:val="354"/>
        </w:trPr>
        <w:tc>
          <w:tcPr>
            <w:tcW w:w="1100" w:type="dxa"/>
            <w:vAlign w:val="bottom"/>
          </w:tcPr>
          <w:p>
            <w:pPr>
              <w:spacing w:after="0"/>
              <w:rPr>
                <w:rFonts w:ascii="Arial" w:cs="Arial" w:eastAsia="Arial" w:hAnsi="Arial"/>
                <w:sz w:val="17"/>
                <w:szCs w:val="17"/>
                <w:u w:val="single" w:color="auto"/>
                <w:color w:val="0563C1"/>
              </w:rPr>
            </w:pPr>
            <w:hyperlink w:anchor="page38">
              <w:r>
                <w:rPr>
                  <w:rFonts w:ascii="Arial" w:cs="Arial" w:eastAsia="Arial" w:hAnsi="Arial"/>
                  <w:sz w:val="17"/>
                  <w:szCs w:val="17"/>
                  <w:u w:val="single" w:color="auto"/>
                  <w:color w:val="0563C1"/>
                </w:rPr>
                <w:t>Item 2.</w:t>
              </w:r>
            </w:hyperlink>
          </w:p>
        </w:tc>
        <w:tc>
          <w:tcPr>
            <w:tcW w:w="9600" w:type="dxa"/>
            <w:vAlign w:val="bottom"/>
          </w:tcPr>
          <w:p>
            <w:pPr>
              <w:ind w:left="80"/>
              <w:spacing w:after="0"/>
              <w:rPr>
                <w:rFonts w:ascii="Arial" w:cs="Arial" w:eastAsia="Arial" w:hAnsi="Arial"/>
                <w:sz w:val="17"/>
                <w:szCs w:val="17"/>
                <w:u w:val="single" w:color="auto"/>
                <w:color w:val="0563C1"/>
              </w:rPr>
            </w:pPr>
            <w:hyperlink w:anchor="page38">
              <w:r>
                <w:rPr>
                  <w:rFonts w:ascii="Arial" w:cs="Arial" w:eastAsia="Arial" w:hAnsi="Arial"/>
                  <w:sz w:val="17"/>
                  <w:szCs w:val="17"/>
                  <w:u w:val="single" w:color="auto"/>
                  <w:color w:val="0563C1"/>
                </w:rPr>
                <w:t>Unregistered Sales of Equity Securities and Use of Proceeds</w:t>
              </w:r>
            </w:hyperlink>
          </w:p>
        </w:tc>
        <w:tc>
          <w:tcPr>
            <w:tcW w:w="540" w:type="dxa"/>
            <w:vAlign w:val="bottom"/>
          </w:tcPr>
          <w:p>
            <w:pPr>
              <w:ind w:left="140"/>
              <w:spacing w:after="0"/>
              <w:rPr>
                <w:sz w:val="20"/>
                <w:szCs w:val="20"/>
                <w:color w:val="auto"/>
              </w:rPr>
            </w:pPr>
            <w:r>
              <w:rPr>
                <w:rFonts w:ascii="Arial" w:cs="Arial" w:eastAsia="Arial" w:hAnsi="Arial"/>
                <w:sz w:val="17"/>
                <w:szCs w:val="17"/>
                <w:color w:val="auto"/>
              </w:rPr>
              <w:t>38</w:t>
            </w:r>
          </w:p>
        </w:tc>
      </w:tr>
      <w:tr>
        <w:trPr>
          <w:trHeight w:val="354"/>
        </w:trPr>
        <w:tc>
          <w:tcPr>
            <w:tcW w:w="1100" w:type="dxa"/>
            <w:vAlign w:val="bottom"/>
          </w:tcPr>
          <w:p>
            <w:pPr>
              <w:spacing w:after="0"/>
              <w:rPr>
                <w:rFonts w:ascii="Arial" w:cs="Arial" w:eastAsia="Arial" w:hAnsi="Arial"/>
                <w:sz w:val="17"/>
                <w:szCs w:val="17"/>
                <w:u w:val="single" w:color="auto"/>
                <w:color w:val="0563C1"/>
              </w:rPr>
            </w:pPr>
            <w:hyperlink w:anchor="page38">
              <w:r>
                <w:rPr>
                  <w:rFonts w:ascii="Arial" w:cs="Arial" w:eastAsia="Arial" w:hAnsi="Arial"/>
                  <w:sz w:val="17"/>
                  <w:szCs w:val="17"/>
                  <w:u w:val="single" w:color="auto"/>
                  <w:color w:val="0563C1"/>
                </w:rPr>
                <w:t>Item 3.</w:t>
              </w:r>
            </w:hyperlink>
          </w:p>
        </w:tc>
        <w:tc>
          <w:tcPr>
            <w:tcW w:w="9600" w:type="dxa"/>
            <w:vAlign w:val="bottom"/>
          </w:tcPr>
          <w:p>
            <w:pPr>
              <w:ind w:left="80"/>
              <w:spacing w:after="0"/>
              <w:rPr>
                <w:rFonts w:ascii="Arial" w:cs="Arial" w:eastAsia="Arial" w:hAnsi="Arial"/>
                <w:sz w:val="17"/>
                <w:szCs w:val="17"/>
                <w:u w:val="single" w:color="auto"/>
                <w:color w:val="0563C1"/>
              </w:rPr>
            </w:pPr>
            <w:hyperlink w:anchor="page38">
              <w:r>
                <w:rPr>
                  <w:rFonts w:ascii="Arial" w:cs="Arial" w:eastAsia="Arial" w:hAnsi="Arial"/>
                  <w:sz w:val="17"/>
                  <w:szCs w:val="17"/>
                  <w:u w:val="single" w:color="auto"/>
                  <w:color w:val="0563C1"/>
                </w:rPr>
                <w:t>Defaults Upon Senior Securities</w:t>
              </w:r>
            </w:hyperlink>
          </w:p>
        </w:tc>
        <w:tc>
          <w:tcPr>
            <w:tcW w:w="540" w:type="dxa"/>
            <w:vAlign w:val="bottom"/>
          </w:tcPr>
          <w:p>
            <w:pPr>
              <w:ind w:left="140"/>
              <w:spacing w:after="0"/>
              <w:rPr>
                <w:sz w:val="20"/>
                <w:szCs w:val="20"/>
                <w:color w:val="auto"/>
              </w:rPr>
            </w:pPr>
            <w:r>
              <w:rPr>
                <w:rFonts w:ascii="Arial" w:cs="Arial" w:eastAsia="Arial" w:hAnsi="Arial"/>
                <w:sz w:val="17"/>
                <w:szCs w:val="17"/>
                <w:color w:val="auto"/>
              </w:rPr>
              <w:t>38</w:t>
            </w:r>
          </w:p>
        </w:tc>
      </w:tr>
      <w:tr>
        <w:trPr>
          <w:trHeight w:val="354"/>
        </w:trPr>
        <w:tc>
          <w:tcPr>
            <w:tcW w:w="1100" w:type="dxa"/>
            <w:vAlign w:val="bottom"/>
          </w:tcPr>
          <w:p>
            <w:pPr>
              <w:spacing w:after="0"/>
              <w:rPr>
                <w:rFonts w:ascii="Arial" w:cs="Arial" w:eastAsia="Arial" w:hAnsi="Arial"/>
                <w:sz w:val="17"/>
                <w:szCs w:val="17"/>
                <w:u w:val="single" w:color="auto"/>
                <w:color w:val="0563C1"/>
              </w:rPr>
            </w:pPr>
            <w:hyperlink w:anchor="page38">
              <w:r>
                <w:rPr>
                  <w:rFonts w:ascii="Arial" w:cs="Arial" w:eastAsia="Arial" w:hAnsi="Arial"/>
                  <w:sz w:val="17"/>
                  <w:szCs w:val="17"/>
                  <w:u w:val="single" w:color="auto"/>
                  <w:color w:val="0563C1"/>
                </w:rPr>
                <w:t>Item 4.</w:t>
              </w:r>
            </w:hyperlink>
          </w:p>
        </w:tc>
        <w:tc>
          <w:tcPr>
            <w:tcW w:w="9600" w:type="dxa"/>
            <w:vAlign w:val="bottom"/>
          </w:tcPr>
          <w:p>
            <w:pPr>
              <w:ind w:left="80"/>
              <w:spacing w:after="0"/>
              <w:rPr>
                <w:rFonts w:ascii="Arial" w:cs="Arial" w:eastAsia="Arial" w:hAnsi="Arial"/>
                <w:sz w:val="17"/>
                <w:szCs w:val="17"/>
                <w:u w:val="single" w:color="auto"/>
                <w:color w:val="0563C1"/>
              </w:rPr>
            </w:pPr>
            <w:hyperlink w:anchor="page38">
              <w:r>
                <w:rPr>
                  <w:rFonts w:ascii="Arial" w:cs="Arial" w:eastAsia="Arial" w:hAnsi="Arial"/>
                  <w:sz w:val="17"/>
                  <w:szCs w:val="17"/>
                  <w:u w:val="single" w:color="auto"/>
                  <w:color w:val="0563C1"/>
                </w:rPr>
                <w:t>Mine Safety Disclosures</w:t>
              </w:r>
            </w:hyperlink>
          </w:p>
        </w:tc>
        <w:tc>
          <w:tcPr>
            <w:tcW w:w="540" w:type="dxa"/>
            <w:vAlign w:val="bottom"/>
          </w:tcPr>
          <w:p>
            <w:pPr>
              <w:ind w:left="140"/>
              <w:spacing w:after="0"/>
              <w:rPr>
                <w:sz w:val="20"/>
                <w:szCs w:val="20"/>
                <w:color w:val="auto"/>
              </w:rPr>
            </w:pPr>
            <w:r>
              <w:rPr>
                <w:rFonts w:ascii="Arial" w:cs="Arial" w:eastAsia="Arial" w:hAnsi="Arial"/>
                <w:sz w:val="17"/>
                <w:szCs w:val="17"/>
                <w:color w:val="auto"/>
              </w:rPr>
              <w:t>38</w:t>
            </w:r>
          </w:p>
        </w:tc>
      </w:tr>
      <w:tr>
        <w:trPr>
          <w:trHeight w:val="354"/>
        </w:trPr>
        <w:tc>
          <w:tcPr>
            <w:tcW w:w="1100" w:type="dxa"/>
            <w:vAlign w:val="bottom"/>
          </w:tcPr>
          <w:p>
            <w:pPr>
              <w:spacing w:after="0"/>
              <w:rPr>
                <w:rFonts w:ascii="Arial" w:cs="Arial" w:eastAsia="Arial" w:hAnsi="Arial"/>
                <w:sz w:val="17"/>
                <w:szCs w:val="17"/>
                <w:u w:val="single" w:color="auto"/>
                <w:color w:val="0563C1"/>
              </w:rPr>
            </w:pPr>
            <w:hyperlink w:anchor="page38">
              <w:r>
                <w:rPr>
                  <w:rFonts w:ascii="Arial" w:cs="Arial" w:eastAsia="Arial" w:hAnsi="Arial"/>
                  <w:sz w:val="17"/>
                  <w:szCs w:val="17"/>
                  <w:u w:val="single" w:color="auto"/>
                  <w:color w:val="0563C1"/>
                </w:rPr>
                <w:t>Item 5.</w:t>
              </w:r>
            </w:hyperlink>
          </w:p>
        </w:tc>
        <w:tc>
          <w:tcPr>
            <w:tcW w:w="9600" w:type="dxa"/>
            <w:vAlign w:val="bottom"/>
          </w:tcPr>
          <w:p>
            <w:pPr>
              <w:ind w:left="80"/>
              <w:spacing w:after="0"/>
              <w:rPr>
                <w:rFonts w:ascii="Arial" w:cs="Arial" w:eastAsia="Arial" w:hAnsi="Arial"/>
                <w:sz w:val="17"/>
                <w:szCs w:val="17"/>
                <w:u w:val="single" w:color="auto"/>
                <w:color w:val="0563C1"/>
              </w:rPr>
            </w:pPr>
            <w:hyperlink w:anchor="page38">
              <w:r>
                <w:rPr>
                  <w:rFonts w:ascii="Arial" w:cs="Arial" w:eastAsia="Arial" w:hAnsi="Arial"/>
                  <w:sz w:val="17"/>
                  <w:szCs w:val="17"/>
                  <w:u w:val="single" w:color="auto"/>
                  <w:color w:val="0563C1"/>
                </w:rPr>
                <w:t>Other Information</w:t>
              </w:r>
            </w:hyperlink>
          </w:p>
        </w:tc>
        <w:tc>
          <w:tcPr>
            <w:tcW w:w="540" w:type="dxa"/>
            <w:vAlign w:val="bottom"/>
          </w:tcPr>
          <w:p>
            <w:pPr>
              <w:ind w:left="140"/>
              <w:spacing w:after="0"/>
              <w:rPr>
                <w:sz w:val="20"/>
                <w:szCs w:val="20"/>
                <w:color w:val="auto"/>
              </w:rPr>
            </w:pPr>
            <w:r>
              <w:rPr>
                <w:rFonts w:ascii="Arial" w:cs="Arial" w:eastAsia="Arial" w:hAnsi="Arial"/>
                <w:sz w:val="17"/>
                <w:szCs w:val="17"/>
                <w:color w:val="auto"/>
              </w:rPr>
              <w:t>38</w:t>
            </w:r>
          </w:p>
        </w:tc>
      </w:tr>
      <w:tr>
        <w:trPr>
          <w:trHeight w:val="354"/>
        </w:trPr>
        <w:tc>
          <w:tcPr>
            <w:tcW w:w="1100" w:type="dxa"/>
            <w:vAlign w:val="bottom"/>
          </w:tcPr>
          <w:p>
            <w:pPr>
              <w:spacing w:after="0"/>
              <w:rPr>
                <w:rFonts w:ascii="Arial" w:cs="Arial" w:eastAsia="Arial" w:hAnsi="Arial"/>
                <w:sz w:val="17"/>
                <w:szCs w:val="17"/>
                <w:u w:val="single" w:color="auto"/>
                <w:color w:val="0563C1"/>
              </w:rPr>
            </w:pPr>
            <w:hyperlink w:anchor="page39">
              <w:r>
                <w:rPr>
                  <w:rFonts w:ascii="Arial" w:cs="Arial" w:eastAsia="Arial" w:hAnsi="Arial"/>
                  <w:sz w:val="17"/>
                  <w:szCs w:val="17"/>
                  <w:u w:val="single" w:color="auto"/>
                  <w:color w:val="0563C1"/>
                </w:rPr>
                <w:t>Item 6.</w:t>
              </w:r>
            </w:hyperlink>
          </w:p>
        </w:tc>
        <w:tc>
          <w:tcPr>
            <w:tcW w:w="9600" w:type="dxa"/>
            <w:vAlign w:val="bottom"/>
          </w:tcPr>
          <w:p>
            <w:pPr>
              <w:ind w:left="80"/>
              <w:spacing w:after="0"/>
              <w:rPr>
                <w:rFonts w:ascii="Arial" w:cs="Arial" w:eastAsia="Arial" w:hAnsi="Arial"/>
                <w:sz w:val="17"/>
                <w:szCs w:val="17"/>
                <w:u w:val="single" w:color="auto"/>
                <w:color w:val="0563C1"/>
              </w:rPr>
            </w:pPr>
            <w:hyperlink w:anchor="page39">
              <w:r>
                <w:rPr>
                  <w:rFonts w:ascii="Arial" w:cs="Arial" w:eastAsia="Arial" w:hAnsi="Arial"/>
                  <w:sz w:val="17"/>
                  <w:szCs w:val="17"/>
                  <w:u w:val="single" w:color="auto"/>
                  <w:color w:val="0563C1"/>
                </w:rPr>
                <w:t>Exhibits</w:t>
              </w:r>
            </w:hyperlink>
          </w:p>
        </w:tc>
        <w:tc>
          <w:tcPr>
            <w:tcW w:w="540" w:type="dxa"/>
            <w:vAlign w:val="bottom"/>
          </w:tcPr>
          <w:p>
            <w:pPr>
              <w:ind w:left="140"/>
              <w:spacing w:after="0"/>
              <w:rPr>
                <w:sz w:val="20"/>
                <w:szCs w:val="20"/>
                <w:color w:val="auto"/>
              </w:rPr>
            </w:pPr>
            <w:r>
              <w:rPr>
                <w:rFonts w:ascii="Arial" w:cs="Arial" w:eastAsia="Arial" w:hAnsi="Arial"/>
                <w:sz w:val="17"/>
                <w:szCs w:val="17"/>
                <w:color w:val="auto"/>
              </w:rPr>
              <w:t>39</w:t>
            </w:r>
          </w:p>
        </w:tc>
      </w:tr>
      <w:tr>
        <w:trPr>
          <w:trHeight w:val="354"/>
        </w:trPr>
        <w:tc>
          <w:tcPr>
            <w:tcW w:w="1100" w:type="dxa"/>
            <w:vAlign w:val="bottom"/>
          </w:tcPr>
          <w:p>
            <w:pPr>
              <w:spacing w:after="0"/>
              <w:rPr>
                <w:rFonts w:ascii="Arial" w:cs="Arial" w:eastAsia="Arial" w:hAnsi="Arial"/>
                <w:sz w:val="17"/>
                <w:szCs w:val="17"/>
                <w:u w:val="single" w:color="auto"/>
                <w:color w:val="0563C1"/>
              </w:rPr>
            </w:pPr>
            <w:hyperlink w:anchor="page40">
              <w:r>
                <w:rPr>
                  <w:rFonts w:ascii="Arial" w:cs="Arial" w:eastAsia="Arial" w:hAnsi="Arial"/>
                  <w:sz w:val="17"/>
                  <w:szCs w:val="17"/>
                  <w:u w:val="single" w:color="auto"/>
                  <w:color w:val="0563C1"/>
                </w:rPr>
                <w:t>Signatures</w:t>
              </w:r>
            </w:hyperlink>
          </w:p>
        </w:tc>
        <w:tc>
          <w:tcPr>
            <w:tcW w:w="96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Arial" w:cs="Arial" w:eastAsia="Arial" w:hAnsi="Arial"/>
                <w:sz w:val="17"/>
                <w:szCs w:val="17"/>
                <w:color w:val="auto"/>
              </w:rPr>
              <w:t>40</w:t>
            </w:r>
          </w:p>
        </w:tc>
      </w:tr>
      <w:tr>
        <w:trPr>
          <w:trHeight w:val="354"/>
        </w:trPr>
        <w:tc>
          <w:tcPr>
            <w:tcW w:w="1100" w:type="dxa"/>
            <w:vAlign w:val="bottom"/>
          </w:tcPr>
          <w:p>
            <w:pPr>
              <w:spacing w:after="0"/>
              <w:rPr>
                <w:sz w:val="20"/>
                <w:szCs w:val="20"/>
                <w:color w:val="auto"/>
              </w:rPr>
            </w:pPr>
            <w:r>
              <w:rPr>
                <w:rFonts w:ascii="Arial" w:cs="Arial" w:eastAsia="Arial" w:hAnsi="Arial"/>
                <w:sz w:val="17"/>
                <w:szCs w:val="17"/>
                <w:color w:val="auto"/>
              </w:rPr>
              <w:t>Certifications</w:t>
            </w:r>
          </w:p>
        </w:tc>
        <w:tc>
          <w:tcPr>
            <w:tcW w:w="9600" w:type="dxa"/>
            <w:vAlign w:val="bottom"/>
          </w:tcPr>
          <w:p>
            <w:pPr>
              <w:spacing w:after="0"/>
              <w:rPr>
                <w:sz w:val="24"/>
                <w:szCs w:val="24"/>
                <w:color w:val="auto"/>
              </w:rPr>
            </w:pPr>
          </w:p>
        </w:tc>
        <w:tc>
          <w:tcPr>
            <w:tcW w:w="540" w:type="dxa"/>
            <w:vAlign w:val="bottom"/>
          </w:tcPr>
          <w:p>
            <w:pPr>
              <w:ind w:left="140"/>
              <w:spacing w:after="0"/>
              <w:rPr>
                <w:sz w:val="20"/>
                <w:szCs w:val="20"/>
                <w:color w:val="auto"/>
              </w:rPr>
            </w:pPr>
            <w:r>
              <w:rPr>
                <w:rFonts w:ascii="Arial" w:cs="Arial" w:eastAsia="Arial" w:hAnsi="Arial"/>
                <w:sz w:val="17"/>
                <w:szCs w:val="17"/>
                <w:color w:val="auto"/>
              </w:rPr>
              <w:t>41</w:t>
            </w:r>
          </w:p>
        </w:tc>
      </w:tr>
      <w:tr>
        <w:trPr>
          <w:trHeight w:val="734"/>
        </w:trPr>
        <w:tc>
          <w:tcPr>
            <w:tcW w:w="1100" w:type="dxa"/>
            <w:vAlign w:val="bottom"/>
          </w:tcPr>
          <w:p>
            <w:pPr>
              <w:spacing w:after="0"/>
              <w:rPr>
                <w:sz w:val="24"/>
                <w:szCs w:val="24"/>
                <w:color w:val="auto"/>
              </w:rPr>
            </w:pPr>
          </w:p>
        </w:tc>
        <w:tc>
          <w:tcPr>
            <w:tcW w:w="9600" w:type="dxa"/>
            <w:vAlign w:val="bottom"/>
          </w:tcPr>
          <w:p>
            <w:pPr>
              <w:jc w:val="center"/>
              <w:ind w:right="453"/>
              <w:spacing w:after="0"/>
              <w:rPr>
                <w:sz w:val="20"/>
                <w:szCs w:val="20"/>
                <w:color w:val="auto"/>
              </w:rPr>
            </w:pPr>
            <w:r>
              <w:rPr>
                <w:rFonts w:ascii="Arial" w:cs="Arial" w:eastAsia="Arial" w:hAnsi="Arial"/>
                <w:sz w:val="17"/>
                <w:szCs w:val="17"/>
                <w:color w:val="auto"/>
              </w:rPr>
              <w:t>2</w:t>
            </w:r>
          </w:p>
        </w:tc>
        <w:tc>
          <w:tcPr>
            <w:tcW w:w="540" w:type="dxa"/>
            <w:vAlign w:val="bottom"/>
          </w:tcPr>
          <w:p>
            <w:pPr>
              <w:spacing w:after="0"/>
              <w:rPr>
                <w:sz w:val="24"/>
                <w:szCs w:val="24"/>
                <w:color w:val="auto"/>
              </w:rPr>
            </w:pPr>
          </w:p>
        </w:tc>
      </w:tr>
      <w:tr>
        <w:trPr>
          <w:trHeight w:val="308"/>
        </w:trPr>
        <w:tc>
          <w:tcPr>
            <w:tcW w:w="1100" w:type="dxa"/>
            <w:vAlign w:val="bottom"/>
            <w:tcBorders>
              <w:bottom w:val="single" w:sz="8" w:color="9A9A9A"/>
            </w:tcBorders>
          </w:tcPr>
          <w:p>
            <w:pPr>
              <w:spacing w:after="0"/>
              <w:rPr>
                <w:sz w:val="24"/>
                <w:szCs w:val="24"/>
                <w:color w:val="auto"/>
              </w:rPr>
            </w:pPr>
          </w:p>
        </w:tc>
        <w:tc>
          <w:tcPr>
            <w:tcW w:w="9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 w:name="page3"/>
    <w:bookmarkEnd w:id="2"/>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PART I. FINANCIAL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Income (Unaudited)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Union Pacific Corporation and Subsidiary Companies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120" w:type="dxa"/>
            <w:vAlign w:val="bottom"/>
            <w:tcBorders>
              <w:top w:val="single" w:sz="8" w:color="808080"/>
            </w:tcBorders>
          </w:tcPr>
          <w:p>
            <w:pPr>
              <w:ind w:left="40"/>
              <w:spacing w:after="0"/>
              <w:rPr>
                <w:sz w:val="20"/>
                <w:szCs w:val="20"/>
                <w:color w:val="auto"/>
              </w:rPr>
            </w:pPr>
            <w:r>
              <w:rPr>
                <w:rFonts w:ascii="Arial" w:cs="Arial" w:eastAsia="Arial" w:hAnsi="Arial"/>
                <w:sz w:val="16"/>
                <w:szCs w:val="16"/>
                <w:i w:val="1"/>
                <w:iCs w:val="1"/>
                <w:color w:val="auto"/>
              </w:rPr>
              <w:t>Millions, Except Per Share Amounts,</w:t>
            </w:r>
          </w:p>
        </w:tc>
        <w:tc>
          <w:tcPr>
            <w:tcW w:w="700" w:type="dxa"/>
            <w:vAlign w:val="bottom"/>
            <w:tcBorders>
              <w:top w:val="single" w:sz="8" w:color="7F7F7F"/>
            </w:tcBorders>
          </w:tcPr>
          <w:p>
            <w:pPr>
              <w:spacing w:after="0"/>
              <w:rPr>
                <w:sz w:val="21"/>
                <w:szCs w:val="21"/>
                <w:color w:val="auto"/>
              </w:rPr>
            </w:pPr>
          </w:p>
        </w:tc>
        <w:tc>
          <w:tcPr>
            <w:tcW w:w="960" w:type="dxa"/>
            <w:vAlign w:val="bottom"/>
            <w:tcBorders>
              <w:top w:val="single" w:sz="8" w:color="7F7F7F"/>
            </w:tcBorders>
          </w:tcPr>
          <w:p>
            <w:pPr>
              <w:spacing w:after="0"/>
              <w:rPr>
                <w:sz w:val="21"/>
                <w:szCs w:val="21"/>
                <w:color w:val="auto"/>
              </w:rPr>
            </w:pPr>
          </w:p>
        </w:tc>
        <w:tc>
          <w:tcPr>
            <w:tcW w:w="600" w:type="dxa"/>
            <w:vAlign w:val="bottom"/>
            <w:tcBorders>
              <w:top w:val="single" w:sz="8" w:color="7F7F7F"/>
            </w:tcBorders>
          </w:tcPr>
          <w:p>
            <w:pPr>
              <w:spacing w:after="0"/>
              <w:rPr>
                <w:sz w:val="21"/>
                <w:szCs w:val="21"/>
                <w:color w:val="auto"/>
              </w:rPr>
            </w:pPr>
          </w:p>
        </w:tc>
        <w:tc>
          <w:tcPr>
            <w:tcW w:w="860" w:type="dxa"/>
            <w:vAlign w:val="bottom"/>
            <w:tcBorders>
              <w:top w:val="single" w:sz="8" w:color="7F7F7F"/>
            </w:tcBorders>
          </w:tcPr>
          <w:p>
            <w:pPr>
              <w:spacing w:after="0"/>
              <w:rPr>
                <w:sz w:val="21"/>
                <w:szCs w:val="21"/>
                <w:color w:val="auto"/>
              </w:rPr>
            </w:pPr>
          </w:p>
        </w:tc>
      </w:tr>
      <w:tr>
        <w:trPr>
          <w:trHeight w:val="313"/>
        </w:trPr>
        <w:tc>
          <w:tcPr>
            <w:tcW w:w="8120" w:type="dxa"/>
            <w:vAlign w:val="bottom"/>
            <w:tcBorders>
              <w:bottom w:val="single" w:sz="8" w:color="808080"/>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700" w:type="dxa"/>
            <w:vAlign w:val="bottom"/>
            <w:tcBorders>
              <w:bottom w:val="single" w:sz="8" w:color="7F7F7F"/>
            </w:tcBorders>
          </w:tcPr>
          <w:p>
            <w:pPr>
              <w:spacing w:after="0"/>
              <w:rPr>
                <w:sz w:val="24"/>
                <w:szCs w:val="24"/>
                <w:color w:val="auto"/>
              </w:rPr>
            </w:pPr>
          </w:p>
        </w:tc>
        <w:tc>
          <w:tcPr>
            <w:tcW w:w="960" w:type="dxa"/>
            <w:vAlign w:val="bottom"/>
            <w:tcBorders>
              <w:bottom w:val="single" w:sz="8" w:color="7F7F7F"/>
            </w:tcBorders>
          </w:tcPr>
          <w:p>
            <w:pPr>
              <w:jc w:val="right"/>
              <w:ind w:right="1"/>
              <w:spacing w:after="0"/>
              <w:rPr>
                <w:sz w:val="20"/>
                <w:szCs w:val="20"/>
                <w:color w:val="auto"/>
              </w:rPr>
            </w:pPr>
            <w:r>
              <w:rPr>
                <w:rFonts w:ascii="Arial" w:cs="Arial" w:eastAsia="Arial" w:hAnsi="Arial"/>
                <w:sz w:val="16"/>
                <w:szCs w:val="16"/>
                <w:b w:val="1"/>
                <w:bCs w:val="1"/>
                <w:i w:val="1"/>
                <w:iCs w:val="1"/>
                <w:color w:val="auto"/>
              </w:rPr>
              <w:t>2020</w:t>
            </w:r>
          </w:p>
        </w:tc>
        <w:tc>
          <w:tcPr>
            <w:tcW w:w="600" w:type="dxa"/>
            <w:vAlign w:val="bottom"/>
            <w:tcBorders>
              <w:bottom w:val="single" w:sz="8" w:color="7F7F7F"/>
            </w:tcBorders>
          </w:tcPr>
          <w:p>
            <w:pPr>
              <w:spacing w:after="0"/>
              <w:rPr>
                <w:sz w:val="24"/>
                <w:szCs w:val="24"/>
                <w:color w:val="auto"/>
              </w:rPr>
            </w:pP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8120" w:type="dxa"/>
            <w:vAlign w:val="bottom"/>
          </w:tcPr>
          <w:p>
            <w:pPr>
              <w:ind w:left="260"/>
              <w:spacing w:after="0"/>
              <w:rPr>
                <w:sz w:val="20"/>
                <w:szCs w:val="20"/>
                <w:color w:val="auto"/>
              </w:rPr>
            </w:pPr>
            <w:r>
              <w:rPr>
                <w:rFonts w:ascii="Arial" w:cs="Arial" w:eastAsia="Arial" w:hAnsi="Arial"/>
                <w:sz w:val="16"/>
                <w:szCs w:val="16"/>
                <w:color w:val="auto"/>
              </w:rPr>
              <w:t>Freight revenues</w:t>
            </w:r>
          </w:p>
        </w:tc>
        <w:tc>
          <w:tcPr>
            <w:tcW w:w="700" w:type="dxa"/>
            <w:vAlign w:val="bottom"/>
          </w:tcPr>
          <w:p>
            <w:pPr>
              <w:jc w:val="right"/>
              <w:ind w:right="361"/>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4,880</w:t>
            </w:r>
          </w:p>
        </w:tc>
        <w:tc>
          <w:tcPr>
            <w:tcW w:w="60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5,010</w:t>
            </w:r>
          </w:p>
        </w:tc>
      </w:tr>
      <w:tr>
        <w:trPr>
          <w:trHeight w:val="223"/>
        </w:trPr>
        <w:tc>
          <w:tcPr>
            <w:tcW w:w="812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Other revenues</w:t>
            </w:r>
          </w:p>
        </w:tc>
        <w:tc>
          <w:tcPr>
            <w:tcW w:w="700" w:type="dxa"/>
            <w:vAlign w:val="bottom"/>
            <w:tcBorders>
              <w:bottom w:val="single" w:sz="8" w:color="7F7F7F"/>
            </w:tcBorders>
            <w:shd w:val="clear" w:color="auto" w:fill="CCEEFF"/>
          </w:tcPr>
          <w:p>
            <w:pPr>
              <w:spacing w:after="0"/>
              <w:rPr>
                <w:sz w:val="19"/>
                <w:szCs w:val="19"/>
                <w:color w:val="auto"/>
              </w:rPr>
            </w:pPr>
          </w:p>
        </w:tc>
        <w:tc>
          <w:tcPr>
            <w:tcW w:w="96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349</w:t>
            </w:r>
          </w:p>
        </w:tc>
        <w:tc>
          <w:tcPr>
            <w:tcW w:w="600" w:type="dxa"/>
            <w:vAlign w:val="bottom"/>
            <w:tcBorders>
              <w:bottom w:val="single" w:sz="8" w:color="7F7F7F"/>
            </w:tcBorders>
            <w:shd w:val="clear" w:color="auto" w:fill="CCEEFF"/>
          </w:tcPr>
          <w:p>
            <w:pPr>
              <w:spacing w:after="0"/>
              <w:rPr>
                <w:sz w:val="19"/>
                <w:szCs w:val="19"/>
                <w:color w:val="auto"/>
              </w:rPr>
            </w:pPr>
          </w:p>
        </w:tc>
        <w:tc>
          <w:tcPr>
            <w:tcW w:w="8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Total operating revenues</w:t>
            </w:r>
          </w:p>
        </w:tc>
        <w:tc>
          <w:tcPr>
            <w:tcW w:w="70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5,229</w:t>
            </w: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5,384</w:t>
            </w:r>
          </w:p>
        </w:tc>
      </w:tr>
      <w:tr>
        <w:trPr>
          <w:trHeight w:val="52"/>
        </w:trPr>
        <w:tc>
          <w:tcPr>
            <w:tcW w:w="81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60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r>
      <w:tr>
        <w:trPr>
          <w:trHeight w:val="19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9"/>
        </w:trPr>
        <w:tc>
          <w:tcPr>
            <w:tcW w:w="8120" w:type="dxa"/>
            <w:vAlign w:val="bottom"/>
          </w:tcPr>
          <w:p>
            <w:pPr>
              <w:ind w:left="260"/>
              <w:spacing w:after="0"/>
              <w:rPr>
                <w:sz w:val="20"/>
                <w:szCs w:val="20"/>
                <w:color w:val="auto"/>
              </w:rPr>
            </w:pPr>
            <w:r>
              <w:rPr>
                <w:rFonts w:ascii="Arial" w:cs="Arial" w:eastAsia="Arial" w:hAnsi="Arial"/>
                <w:sz w:val="16"/>
                <w:szCs w:val="16"/>
                <w:color w:val="auto"/>
              </w:rPr>
              <w:t>Compensation and benefits</w:t>
            </w:r>
          </w:p>
        </w:tc>
        <w:tc>
          <w:tcPr>
            <w:tcW w:w="70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1,059</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1,205</w:t>
            </w:r>
          </w:p>
        </w:tc>
      </w:tr>
      <w:tr>
        <w:trPr>
          <w:trHeight w:val="211"/>
        </w:trPr>
        <w:tc>
          <w:tcPr>
            <w:tcW w:w="81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Depreciation</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547</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09"/>
        </w:trPr>
        <w:tc>
          <w:tcPr>
            <w:tcW w:w="8120" w:type="dxa"/>
            <w:vAlign w:val="bottom"/>
          </w:tcPr>
          <w:p>
            <w:pPr>
              <w:ind w:left="260"/>
              <w:spacing w:after="0"/>
              <w:rPr>
                <w:sz w:val="20"/>
                <w:szCs w:val="20"/>
                <w:color w:val="auto"/>
              </w:rPr>
            </w:pPr>
            <w:r>
              <w:rPr>
                <w:rFonts w:ascii="Arial" w:cs="Arial" w:eastAsia="Arial" w:hAnsi="Arial"/>
                <w:sz w:val="16"/>
                <w:szCs w:val="16"/>
                <w:color w:val="auto"/>
              </w:rPr>
              <w:t>Purchased services and materials</w:t>
            </w:r>
          </w:p>
        </w:tc>
        <w:tc>
          <w:tcPr>
            <w:tcW w:w="70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521</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11"/>
        </w:trPr>
        <w:tc>
          <w:tcPr>
            <w:tcW w:w="81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Fuel</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434</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r>
      <w:tr>
        <w:trPr>
          <w:trHeight w:val="209"/>
        </w:trPr>
        <w:tc>
          <w:tcPr>
            <w:tcW w:w="8120" w:type="dxa"/>
            <w:vAlign w:val="bottom"/>
          </w:tcPr>
          <w:p>
            <w:pPr>
              <w:ind w:left="260"/>
              <w:spacing w:after="0"/>
              <w:rPr>
                <w:sz w:val="20"/>
                <w:szCs w:val="20"/>
                <w:color w:val="auto"/>
              </w:rPr>
            </w:pPr>
            <w:r>
              <w:rPr>
                <w:rFonts w:ascii="Arial" w:cs="Arial" w:eastAsia="Arial" w:hAnsi="Arial"/>
                <w:sz w:val="16"/>
                <w:szCs w:val="16"/>
                <w:color w:val="auto"/>
              </w:rPr>
              <w:t>Equipment and other rents</w:t>
            </w:r>
          </w:p>
        </w:tc>
        <w:tc>
          <w:tcPr>
            <w:tcW w:w="70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227</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04"/>
        </w:trPr>
        <w:tc>
          <w:tcPr>
            <w:tcW w:w="812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700" w:type="dxa"/>
            <w:vAlign w:val="bottom"/>
            <w:tcBorders>
              <w:bottom w:val="single" w:sz="8" w:color="7F7F7F"/>
            </w:tcBorders>
            <w:shd w:val="clear" w:color="auto" w:fill="CCEEFF"/>
          </w:tcPr>
          <w:p>
            <w:pPr>
              <w:spacing w:after="0"/>
              <w:rPr>
                <w:sz w:val="17"/>
                <w:szCs w:val="17"/>
                <w:color w:val="auto"/>
              </w:rPr>
            </w:pPr>
          </w:p>
        </w:tc>
        <w:tc>
          <w:tcPr>
            <w:tcW w:w="96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298</w:t>
            </w:r>
          </w:p>
        </w:tc>
        <w:tc>
          <w:tcPr>
            <w:tcW w:w="600" w:type="dxa"/>
            <w:vAlign w:val="bottom"/>
            <w:tcBorders>
              <w:bottom w:val="single" w:sz="8" w:color="7F7F7F"/>
            </w:tcBorders>
            <w:shd w:val="clear" w:color="auto" w:fill="CCEEFF"/>
          </w:tcPr>
          <w:p>
            <w:pPr>
              <w:spacing w:after="0"/>
              <w:rPr>
                <w:sz w:val="17"/>
                <w:szCs w:val="17"/>
                <w:color w:val="auto"/>
              </w:rPr>
            </w:pPr>
          </w:p>
        </w:tc>
        <w:tc>
          <w:tcPr>
            <w:tcW w:w="8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70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3,086</w:t>
            </w: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3,424</w:t>
            </w:r>
          </w:p>
        </w:tc>
      </w:tr>
      <w:tr>
        <w:trPr>
          <w:trHeight w:val="52"/>
        </w:trPr>
        <w:tc>
          <w:tcPr>
            <w:tcW w:w="81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60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r>
      <w:tr>
        <w:trPr>
          <w:trHeight w:val="19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2,143</w:t>
            </w: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w:t>
            </w:r>
          </w:p>
        </w:tc>
      </w:tr>
      <w:tr>
        <w:trPr>
          <w:trHeight w:val="209"/>
        </w:trPr>
        <w:tc>
          <w:tcPr>
            <w:tcW w:w="8120" w:type="dxa"/>
            <w:vAlign w:val="bottom"/>
          </w:tcPr>
          <w:p>
            <w:pPr>
              <w:ind w:left="40"/>
              <w:spacing w:after="0"/>
              <w:rPr>
                <w:sz w:val="20"/>
                <w:szCs w:val="20"/>
                <w:color w:val="auto"/>
              </w:rPr>
            </w:pPr>
            <w:r>
              <w:rPr>
                <w:rFonts w:ascii="Arial" w:cs="Arial" w:eastAsia="Arial" w:hAnsi="Arial"/>
                <w:sz w:val="16"/>
                <w:szCs w:val="16"/>
                <w:color w:val="auto"/>
              </w:rPr>
              <w:t>Other income (Note 6)</w:t>
            </w:r>
          </w:p>
        </w:tc>
        <w:tc>
          <w:tcPr>
            <w:tcW w:w="70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53</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04"/>
        </w:trPr>
        <w:tc>
          <w:tcPr>
            <w:tcW w:w="812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700" w:type="dxa"/>
            <w:vAlign w:val="bottom"/>
            <w:tcBorders>
              <w:bottom w:val="single" w:sz="8" w:color="7F7F7F"/>
            </w:tcBorders>
            <w:shd w:val="clear" w:color="auto" w:fill="CCEEFF"/>
          </w:tcPr>
          <w:p>
            <w:pPr>
              <w:spacing w:after="0"/>
              <w:rPr>
                <w:sz w:val="17"/>
                <w:szCs w:val="17"/>
                <w:color w:val="auto"/>
              </w:rPr>
            </w:pPr>
          </w:p>
        </w:tc>
        <w:tc>
          <w:tcPr>
            <w:tcW w:w="960" w:type="dxa"/>
            <w:vAlign w:val="bottom"/>
            <w:tcBorders>
              <w:bottom w:val="single" w:sz="8" w:color="7F7F7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(278)</w:t>
            </w:r>
          </w:p>
        </w:tc>
        <w:tc>
          <w:tcPr>
            <w:tcW w:w="600" w:type="dxa"/>
            <w:vAlign w:val="bottom"/>
            <w:tcBorders>
              <w:bottom w:val="single" w:sz="8" w:color="7F7F7F"/>
            </w:tcBorders>
            <w:shd w:val="clear" w:color="auto" w:fill="CCEEFF"/>
          </w:tcPr>
          <w:p>
            <w:pPr>
              <w:spacing w:after="0"/>
              <w:rPr>
                <w:sz w:val="17"/>
                <w:szCs w:val="17"/>
                <w:color w:val="auto"/>
              </w:rPr>
            </w:pPr>
          </w:p>
        </w:tc>
        <w:tc>
          <w:tcPr>
            <w:tcW w:w="8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197"/>
        </w:trPr>
        <w:tc>
          <w:tcPr>
            <w:tcW w:w="81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700" w:type="dxa"/>
            <w:vAlign w:val="bottom"/>
          </w:tcPr>
          <w:p>
            <w:pPr>
              <w:spacing w:after="0"/>
              <w:rPr>
                <w:sz w:val="17"/>
                <w:szCs w:val="17"/>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1,918</w:t>
            </w:r>
          </w:p>
        </w:tc>
        <w:tc>
          <w:tcPr>
            <w:tcW w:w="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1,790</w:t>
            </w:r>
          </w:p>
        </w:tc>
      </w:tr>
      <w:tr>
        <w:trPr>
          <w:trHeight w:val="203"/>
        </w:trPr>
        <w:tc>
          <w:tcPr>
            <w:tcW w:w="812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700" w:type="dxa"/>
            <w:vAlign w:val="bottom"/>
            <w:tcBorders>
              <w:bottom w:val="single" w:sz="8" w:color="7F7F7F"/>
            </w:tcBorders>
            <w:shd w:val="clear" w:color="auto" w:fill="CCEEFF"/>
          </w:tcPr>
          <w:p>
            <w:pPr>
              <w:spacing w:after="0"/>
              <w:rPr>
                <w:sz w:val="17"/>
                <w:szCs w:val="17"/>
                <w:color w:val="auto"/>
              </w:rPr>
            </w:pPr>
          </w:p>
        </w:tc>
        <w:tc>
          <w:tcPr>
            <w:tcW w:w="960" w:type="dxa"/>
            <w:vAlign w:val="bottom"/>
            <w:tcBorders>
              <w:bottom w:val="single" w:sz="8" w:color="7F7F7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(444)</w:t>
            </w:r>
          </w:p>
        </w:tc>
        <w:tc>
          <w:tcPr>
            <w:tcW w:w="600" w:type="dxa"/>
            <w:vAlign w:val="bottom"/>
            <w:tcBorders>
              <w:bottom w:val="single" w:sz="8" w:color="7F7F7F"/>
            </w:tcBorders>
            <w:shd w:val="clear" w:color="auto" w:fill="CCEEFF"/>
          </w:tcPr>
          <w:p>
            <w:pPr>
              <w:spacing w:after="0"/>
              <w:rPr>
                <w:sz w:val="17"/>
                <w:szCs w:val="17"/>
                <w:color w:val="auto"/>
              </w:rPr>
            </w:pPr>
          </w:p>
        </w:tc>
        <w:tc>
          <w:tcPr>
            <w:tcW w:w="8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700" w:type="dxa"/>
            <w:vAlign w:val="bottom"/>
          </w:tcPr>
          <w:p>
            <w:pPr>
              <w:jc w:val="right"/>
              <w:ind w:right="361"/>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1,474</w:t>
            </w:r>
          </w:p>
        </w:tc>
        <w:tc>
          <w:tcPr>
            <w:tcW w:w="60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1,391</w:t>
            </w:r>
          </w:p>
        </w:tc>
      </w:tr>
      <w:tr>
        <w:trPr>
          <w:trHeight w:val="52"/>
        </w:trPr>
        <w:tc>
          <w:tcPr>
            <w:tcW w:w="812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60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r>
      <w:tr>
        <w:trPr>
          <w:trHeight w:val="19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 and Per Share (Note 8):</w:t>
            </w: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9"/>
        </w:trPr>
        <w:tc>
          <w:tcPr>
            <w:tcW w:w="8120" w:type="dxa"/>
            <w:vAlign w:val="bottom"/>
          </w:tcPr>
          <w:p>
            <w:pPr>
              <w:ind w:left="260"/>
              <w:spacing w:after="0"/>
              <w:rPr>
                <w:sz w:val="20"/>
                <w:szCs w:val="20"/>
                <w:color w:val="auto"/>
              </w:rPr>
            </w:pPr>
            <w:r>
              <w:rPr>
                <w:rFonts w:ascii="Arial" w:cs="Arial" w:eastAsia="Arial" w:hAnsi="Arial"/>
                <w:sz w:val="16"/>
                <w:szCs w:val="16"/>
                <w:color w:val="auto"/>
              </w:rPr>
              <w:t>Earnings per share - basic</w:t>
            </w:r>
          </w:p>
        </w:tc>
        <w:tc>
          <w:tcPr>
            <w:tcW w:w="700" w:type="dxa"/>
            <w:vAlign w:val="bottom"/>
          </w:tcPr>
          <w:p>
            <w:pPr>
              <w:jc w:val="right"/>
              <w:ind w:right="361"/>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2.15</w:t>
            </w:r>
          </w:p>
        </w:tc>
        <w:tc>
          <w:tcPr>
            <w:tcW w:w="60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1"/>
        </w:trPr>
        <w:tc>
          <w:tcPr>
            <w:tcW w:w="81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Earnings per share - diluted</w:t>
            </w:r>
          </w:p>
        </w:tc>
        <w:tc>
          <w:tcPr>
            <w:tcW w:w="700" w:type="dxa"/>
            <w:vAlign w:val="bottom"/>
            <w:shd w:val="clear" w:color="auto" w:fill="CCEEFF"/>
          </w:tcPr>
          <w:p>
            <w:pPr>
              <w:jc w:val="right"/>
              <w:ind w:right="361"/>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2.15</w:t>
            </w:r>
          </w:p>
        </w:tc>
        <w:tc>
          <w:tcPr>
            <w:tcW w:w="6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09"/>
        </w:trPr>
        <w:tc>
          <w:tcPr>
            <w:tcW w:w="8120" w:type="dxa"/>
            <w:vAlign w:val="bottom"/>
          </w:tcPr>
          <w:p>
            <w:pPr>
              <w:ind w:left="260"/>
              <w:spacing w:after="0"/>
              <w:rPr>
                <w:sz w:val="20"/>
                <w:szCs w:val="20"/>
                <w:color w:val="auto"/>
              </w:rPr>
            </w:pPr>
            <w:r>
              <w:rPr>
                <w:rFonts w:ascii="Arial" w:cs="Arial" w:eastAsia="Arial" w:hAnsi="Arial"/>
                <w:sz w:val="16"/>
                <w:szCs w:val="16"/>
                <w:color w:val="auto"/>
              </w:rPr>
              <w:t>Weighted average number of shares - basic</w:t>
            </w:r>
          </w:p>
        </w:tc>
        <w:tc>
          <w:tcPr>
            <w:tcW w:w="70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684.3</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716.8</w:t>
            </w:r>
          </w:p>
        </w:tc>
      </w:tr>
      <w:tr>
        <w:trPr>
          <w:trHeight w:val="204"/>
        </w:trPr>
        <w:tc>
          <w:tcPr>
            <w:tcW w:w="812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Weighted average number of shares - diluted</w:t>
            </w:r>
          </w:p>
        </w:tc>
        <w:tc>
          <w:tcPr>
            <w:tcW w:w="700" w:type="dxa"/>
            <w:vAlign w:val="bottom"/>
            <w:tcBorders>
              <w:bottom w:val="single" w:sz="8" w:color="7F7F7F"/>
            </w:tcBorders>
            <w:shd w:val="clear" w:color="auto" w:fill="CCEEFF"/>
          </w:tcPr>
          <w:p>
            <w:pPr>
              <w:spacing w:after="0"/>
              <w:rPr>
                <w:sz w:val="17"/>
                <w:szCs w:val="17"/>
                <w:color w:val="auto"/>
              </w:rPr>
            </w:pPr>
          </w:p>
        </w:tc>
        <w:tc>
          <w:tcPr>
            <w:tcW w:w="96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686.2</w:t>
            </w:r>
          </w:p>
        </w:tc>
        <w:tc>
          <w:tcPr>
            <w:tcW w:w="600" w:type="dxa"/>
            <w:vAlign w:val="bottom"/>
            <w:tcBorders>
              <w:bottom w:val="single" w:sz="8" w:color="7F7F7F"/>
            </w:tcBorders>
            <w:shd w:val="clear" w:color="auto" w:fill="CCEEFF"/>
          </w:tcPr>
          <w:p>
            <w:pPr>
              <w:spacing w:after="0"/>
              <w:rPr>
                <w:sz w:val="17"/>
                <w:szCs w:val="17"/>
                <w:color w:val="auto"/>
              </w:rPr>
            </w:pPr>
          </w:p>
        </w:tc>
        <w:tc>
          <w:tcPr>
            <w:tcW w:w="8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719.5</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Union Pacific Corporation and Subsidiary Companies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00" w:type="dxa"/>
            <w:vAlign w:val="bottom"/>
            <w:tcBorders>
              <w:top w:val="single" w:sz="8" w:color="808080"/>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3120" w:type="dxa"/>
            <w:vAlign w:val="bottom"/>
            <w:tcBorders>
              <w:top w:val="single" w:sz="8" w:color="808080"/>
            </w:tcBorders>
          </w:tcPr>
          <w:p>
            <w:pPr>
              <w:spacing w:after="0"/>
              <w:rPr>
                <w:sz w:val="20"/>
                <w:szCs w:val="20"/>
                <w:color w:val="auto"/>
              </w:rPr>
            </w:pPr>
          </w:p>
        </w:tc>
        <w:tc>
          <w:tcPr>
            <w:tcW w:w="960" w:type="dxa"/>
            <w:vAlign w:val="bottom"/>
            <w:tcBorders>
              <w:top w:val="single" w:sz="8" w:color="808080"/>
            </w:tcBorders>
            <w:vMerge w:val="restart"/>
          </w:tcPr>
          <w:p>
            <w:pPr>
              <w:jc w:val="right"/>
              <w:ind w:right="1"/>
              <w:spacing w:after="0"/>
              <w:rPr>
                <w:sz w:val="20"/>
                <w:szCs w:val="20"/>
                <w:color w:val="auto"/>
              </w:rPr>
            </w:pPr>
            <w:r>
              <w:rPr>
                <w:rFonts w:ascii="Arial" w:cs="Arial" w:eastAsia="Arial" w:hAnsi="Arial"/>
                <w:sz w:val="16"/>
                <w:szCs w:val="16"/>
                <w:b w:val="1"/>
                <w:bCs w:val="1"/>
                <w:i w:val="1"/>
                <w:iCs w:val="1"/>
                <w:color w:val="auto"/>
              </w:rPr>
              <w:t>2020</w:t>
            </w:r>
          </w:p>
        </w:tc>
        <w:tc>
          <w:tcPr>
            <w:tcW w:w="600" w:type="dxa"/>
            <w:vAlign w:val="bottom"/>
            <w:tcBorders>
              <w:top w:val="single" w:sz="8" w:color="808080"/>
            </w:tcBorders>
          </w:tcPr>
          <w:p>
            <w:pPr>
              <w:spacing w:after="0"/>
              <w:rPr>
                <w:sz w:val="20"/>
                <w:szCs w:val="20"/>
                <w:color w:val="auto"/>
              </w:rPr>
            </w:pPr>
          </w:p>
        </w:tc>
        <w:tc>
          <w:tcPr>
            <w:tcW w:w="860" w:type="dxa"/>
            <w:vAlign w:val="bottom"/>
            <w:tcBorders>
              <w:top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70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3120" w:type="dxa"/>
            <w:vAlign w:val="bottom"/>
            <w:tcBorders>
              <w:bottom w:val="single" w:sz="8" w:color="7F7F7F"/>
            </w:tcBorders>
          </w:tcPr>
          <w:p>
            <w:pPr>
              <w:spacing w:after="0"/>
              <w:rPr>
                <w:sz w:val="16"/>
                <w:szCs w:val="16"/>
                <w:color w:val="auto"/>
              </w:rPr>
            </w:pPr>
          </w:p>
        </w:tc>
        <w:tc>
          <w:tcPr>
            <w:tcW w:w="960" w:type="dxa"/>
            <w:vAlign w:val="bottom"/>
            <w:tcBorders>
              <w:bottom w:val="single" w:sz="8" w:color="7F7F7F"/>
            </w:tcBorders>
            <w:vMerge w:val="continue"/>
          </w:tcPr>
          <w:p>
            <w:pPr>
              <w:spacing w:after="0"/>
              <w:rPr>
                <w:sz w:val="16"/>
                <w:szCs w:val="16"/>
                <w:color w:val="auto"/>
              </w:rPr>
            </w:pPr>
          </w:p>
        </w:tc>
        <w:tc>
          <w:tcPr>
            <w:tcW w:w="600" w:type="dxa"/>
            <w:vAlign w:val="bottom"/>
            <w:tcBorders>
              <w:bottom w:val="single" w:sz="8" w:color="7F7F7F"/>
            </w:tcBorders>
          </w:tcPr>
          <w:p>
            <w:pPr>
              <w:spacing w:after="0"/>
              <w:rPr>
                <w:sz w:val="16"/>
                <w:szCs w:val="16"/>
                <w:color w:val="auto"/>
              </w:rPr>
            </w:pP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0" w:type="dxa"/>
            <w:vAlign w:val="bottom"/>
          </w:tcPr>
          <w:p>
            <w:pPr>
              <w:spacing w:after="0"/>
              <w:rPr>
                <w:sz w:val="1"/>
                <w:szCs w:val="1"/>
                <w:color w:val="auto"/>
              </w:rPr>
            </w:pPr>
          </w:p>
        </w:tc>
      </w:tr>
      <w:tr>
        <w:trPr>
          <w:trHeight w:val="242"/>
        </w:trPr>
        <w:tc>
          <w:tcPr>
            <w:tcW w:w="570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120" w:type="dxa"/>
            <w:vAlign w:val="bottom"/>
            <w:tcBorders>
              <w:bottom w:val="single" w:sz="8" w:color="7F7F7F"/>
            </w:tcBorders>
            <w:shd w:val="clear" w:color="auto" w:fill="CCEEFF"/>
          </w:tcPr>
          <w:p>
            <w:pPr>
              <w:jc w:val="right"/>
              <w:ind w:right="361"/>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1,474</w:t>
            </w:r>
          </w:p>
        </w:tc>
        <w:tc>
          <w:tcPr>
            <w:tcW w:w="600" w:type="dxa"/>
            <w:vAlign w:val="bottom"/>
            <w:tcBorders>
              <w:bottom w:val="single" w:sz="8" w:color="7F7F7F"/>
            </w:tcBorders>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16"/>
        </w:trPr>
        <w:tc>
          <w:tcPr>
            <w:tcW w:w="5700" w:type="dxa"/>
            <w:vAlign w:val="bottom"/>
          </w:tcPr>
          <w:p>
            <w:pPr>
              <w:ind w:left="40"/>
              <w:spacing w:after="0"/>
              <w:rPr>
                <w:sz w:val="20"/>
                <w:szCs w:val="20"/>
                <w:color w:val="auto"/>
              </w:rPr>
            </w:pPr>
            <w:r>
              <w:rPr>
                <w:rFonts w:ascii="Arial" w:cs="Arial" w:eastAsia="Arial" w:hAnsi="Arial"/>
                <w:sz w:val="16"/>
                <w:szCs w:val="16"/>
                <w:color w:val="auto"/>
              </w:rPr>
              <w:t>Other comprehensive income/(loss):</w:t>
            </w:r>
          </w:p>
        </w:tc>
        <w:tc>
          <w:tcPr>
            <w:tcW w:w="3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Defined benefit plans</w:t>
            </w:r>
          </w:p>
        </w:tc>
        <w:tc>
          <w:tcPr>
            <w:tcW w:w="3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22</w:t>
            </w: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Arial" w:cs="Arial" w:eastAsia="Arial" w:hAnsi="Arial"/>
                <w:sz w:val="16"/>
                <w:szCs w:val="16"/>
                <w:color w:val="auto"/>
              </w:rPr>
              <w:t>Foreign currency translation</w:t>
            </w:r>
          </w:p>
        </w:tc>
        <w:tc>
          <w:tcPr>
            <w:tcW w:w="3120" w:type="dxa"/>
            <w:vAlign w:val="bottom"/>
          </w:tcPr>
          <w:p>
            <w:pPr>
              <w:spacing w:after="0"/>
              <w:rPr>
                <w:sz w:val="18"/>
                <w:szCs w:val="18"/>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w:t>
            </w:r>
          </w:p>
        </w:tc>
        <w:tc>
          <w:tcPr>
            <w:tcW w:w="6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9"/>
        </w:trPr>
        <w:tc>
          <w:tcPr>
            <w:tcW w:w="5700" w:type="dxa"/>
            <w:vAlign w:val="bottom"/>
            <w:tcBorders>
              <w:bottom w:val="single" w:sz="8" w:color="7F7F7F"/>
            </w:tcBorders>
          </w:tcPr>
          <w:p>
            <w:pPr>
              <w:spacing w:after="0"/>
              <w:rPr>
                <w:sz w:val="3"/>
                <w:szCs w:val="3"/>
                <w:color w:val="auto"/>
              </w:rPr>
            </w:pPr>
          </w:p>
        </w:tc>
        <w:tc>
          <w:tcPr>
            <w:tcW w:w="312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tcPr>
          <w:p>
            <w:pPr>
              <w:spacing w:after="0"/>
              <w:rPr>
                <w:sz w:val="3"/>
                <w:szCs w:val="3"/>
                <w:color w:val="auto"/>
              </w:rPr>
            </w:pPr>
          </w:p>
        </w:tc>
        <w:tc>
          <w:tcPr>
            <w:tcW w:w="60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70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income/(loss) [a]</w:t>
            </w:r>
          </w:p>
        </w:tc>
        <w:tc>
          <w:tcPr>
            <w:tcW w:w="3120" w:type="dxa"/>
            <w:vAlign w:val="bottom"/>
            <w:tcBorders>
              <w:bottom w:val="single" w:sz="8" w:color="7F7F7F"/>
            </w:tcBorders>
            <w:shd w:val="clear" w:color="auto" w:fill="CCEEFF"/>
          </w:tcPr>
          <w:p>
            <w:pPr>
              <w:spacing w:after="0"/>
              <w:rPr>
                <w:sz w:val="21"/>
                <w:szCs w:val="21"/>
                <w:color w:val="auto"/>
              </w:rPr>
            </w:pPr>
          </w:p>
        </w:tc>
        <w:tc>
          <w:tcPr>
            <w:tcW w:w="96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27</w:t>
            </w:r>
          </w:p>
        </w:tc>
        <w:tc>
          <w:tcPr>
            <w:tcW w:w="600" w:type="dxa"/>
            <w:vAlign w:val="bottom"/>
            <w:tcBorders>
              <w:bottom w:val="single" w:sz="8" w:color="7F7F7F"/>
            </w:tcBorders>
            <w:shd w:val="clear" w:color="auto" w:fill="CCEEFF"/>
          </w:tcPr>
          <w:p>
            <w:pPr>
              <w:spacing w:after="0"/>
              <w:rPr>
                <w:sz w:val="21"/>
                <w:szCs w:val="21"/>
                <w:color w:val="auto"/>
              </w:rPr>
            </w:pPr>
          </w:p>
        </w:tc>
        <w:tc>
          <w:tcPr>
            <w:tcW w:w="8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55"/>
        </w:trPr>
        <w:tc>
          <w:tcPr>
            <w:tcW w:w="57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Comprehensive income</w:t>
            </w:r>
          </w:p>
        </w:tc>
        <w:tc>
          <w:tcPr>
            <w:tcW w:w="3120" w:type="dxa"/>
            <w:vAlign w:val="bottom"/>
            <w:tcBorders>
              <w:bottom w:val="single" w:sz="8" w:color="7F7F7F"/>
            </w:tcBorders>
          </w:tcPr>
          <w:p>
            <w:pPr>
              <w:jc w:val="right"/>
              <w:ind w:right="361"/>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b w:val="1"/>
                <w:bCs w:val="1"/>
                <w:color w:val="auto"/>
              </w:rPr>
              <w:t>1,501</w:t>
            </w:r>
          </w:p>
        </w:tc>
        <w:tc>
          <w:tcPr>
            <w:tcW w:w="600" w:type="dxa"/>
            <w:vAlign w:val="bottom"/>
            <w:tcBorders>
              <w:bottom w:val="single" w:sz="8" w:color="7F7F7F"/>
            </w:tcBorders>
          </w:tcPr>
          <w:p>
            <w:pPr>
              <w:jc w:val="right"/>
              <w:ind w:right="36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1,428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80" w:firstLine="5"/>
        <w:spacing w:after="0" w:line="266" w:lineRule="auto"/>
        <w:tabs>
          <w:tab w:leader="none" w:pos="315"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Net of deferred taxes of ($7) million and ($4) million during the three months ended March 31, 2020, and 2019, respectively. The accompanying notes are an integral part of these unaudited Condensed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 w:name="page4"/>
    <w:bookmarkEnd w:id="3"/>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Financial Position (Unaudited)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Union Pacific Corporation and Subsidiary Companies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00" w:type="dxa"/>
            <w:vAlign w:val="bottom"/>
            <w:tcBorders>
              <w:top w:val="single" w:sz="8" w:color="7F7F7F"/>
            </w:tcBorders>
          </w:tcPr>
          <w:p>
            <w:pPr>
              <w:spacing w:after="0"/>
              <w:rPr>
                <w:sz w:val="20"/>
                <w:szCs w:val="20"/>
                <w:color w:val="auto"/>
              </w:rPr>
            </w:pPr>
          </w:p>
        </w:tc>
        <w:tc>
          <w:tcPr>
            <w:tcW w:w="1860" w:type="dxa"/>
            <w:vAlign w:val="bottom"/>
            <w:tcBorders>
              <w:top w:val="single" w:sz="8" w:color="7F7F7F"/>
            </w:tcBorders>
          </w:tcPr>
          <w:p>
            <w:pPr>
              <w:spacing w:after="0"/>
              <w:rPr>
                <w:sz w:val="20"/>
                <w:szCs w:val="20"/>
                <w:color w:val="auto"/>
              </w:rPr>
            </w:pPr>
          </w:p>
        </w:tc>
        <w:tc>
          <w:tcPr>
            <w:tcW w:w="1120" w:type="dxa"/>
            <w:vAlign w:val="bottom"/>
            <w:tcBorders>
              <w:top w:val="single" w:sz="8" w:color="7F7F7F"/>
            </w:tcBorders>
          </w:tcPr>
          <w:p>
            <w:pPr>
              <w:jc w:val="right"/>
              <w:ind w:right="41"/>
              <w:spacing w:after="0"/>
              <w:rPr>
                <w:sz w:val="20"/>
                <w:szCs w:val="20"/>
                <w:color w:val="auto"/>
              </w:rPr>
            </w:pPr>
            <w:r>
              <w:rPr>
                <w:rFonts w:ascii="Arial" w:cs="Arial" w:eastAsia="Arial" w:hAnsi="Arial"/>
                <w:sz w:val="16"/>
                <w:szCs w:val="16"/>
                <w:b w:val="1"/>
                <w:bCs w:val="1"/>
                <w:i w:val="1"/>
                <w:iCs w:val="1"/>
                <w:color w:val="auto"/>
              </w:rPr>
              <w:t>March 31,</w:t>
            </w:r>
          </w:p>
        </w:tc>
        <w:tc>
          <w:tcPr>
            <w:tcW w:w="300" w:type="dxa"/>
            <w:vAlign w:val="bottom"/>
            <w:tcBorders>
              <w:top w:val="single" w:sz="8" w:color="7F7F7F"/>
            </w:tcBorders>
          </w:tcPr>
          <w:p>
            <w:pPr>
              <w:spacing w:after="0"/>
              <w:rPr>
                <w:sz w:val="20"/>
                <w:szCs w:val="20"/>
                <w:color w:val="auto"/>
              </w:rPr>
            </w:pPr>
          </w:p>
        </w:tc>
        <w:tc>
          <w:tcPr>
            <w:tcW w:w="116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December 31,</w:t>
            </w:r>
          </w:p>
        </w:tc>
      </w:tr>
      <w:tr>
        <w:trPr>
          <w:trHeight w:val="193"/>
        </w:trPr>
        <w:tc>
          <w:tcPr>
            <w:tcW w:w="680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Millions, Except Share and Per Share Amounts</w:t>
            </w:r>
          </w:p>
        </w:tc>
        <w:tc>
          <w:tcPr>
            <w:tcW w:w="1860" w:type="dxa"/>
            <w:vAlign w:val="bottom"/>
            <w:tcBorders>
              <w:bottom w:val="single" w:sz="8" w:color="7F7F7F"/>
            </w:tcBorders>
          </w:tcPr>
          <w:p>
            <w:pPr>
              <w:spacing w:after="0"/>
              <w:rPr>
                <w:sz w:val="16"/>
                <w:szCs w:val="16"/>
                <w:color w:val="auto"/>
              </w:rPr>
            </w:pPr>
          </w:p>
        </w:tc>
        <w:tc>
          <w:tcPr>
            <w:tcW w:w="1120" w:type="dxa"/>
            <w:vAlign w:val="bottom"/>
            <w:tcBorders>
              <w:bottom w:val="single" w:sz="8" w:color="7F7F7F"/>
            </w:tcBorders>
          </w:tcPr>
          <w:p>
            <w:pPr>
              <w:jc w:val="right"/>
              <w:ind w:right="1"/>
              <w:spacing w:after="0"/>
              <w:rPr>
                <w:sz w:val="20"/>
                <w:szCs w:val="20"/>
                <w:color w:val="auto"/>
              </w:rPr>
            </w:pPr>
            <w:r>
              <w:rPr>
                <w:rFonts w:ascii="Arial" w:cs="Arial" w:eastAsia="Arial" w:hAnsi="Arial"/>
                <w:sz w:val="16"/>
                <w:szCs w:val="16"/>
                <w:b w:val="1"/>
                <w:bCs w:val="1"/>
                <w:i w:val="1"/>
                <w:iCs w:val="1"/>
                <w:color w:val="auto"/>
              </w:rPr>
              <w:t>2020</w:t>
            </w:r>
          </w:p>
        </w:tc>
        <w:tc>
          <w:tcPr>
            <w:tcW w:w="300" w:type="dxa"/>
            <w:vAlign w:val="bottom"/>
            <w:tcBorders>
              <w:bottom w:val="single" w:sz="8" w:color="7F7F7F"/>
            </w:tcBorders>
          </w:tcPr>
          <w:p>
            <w:pPr>
              <w:spacing w:after="0"/>
              <w:rPr>
                <w:sz w:val="16"/>
                <w:szCs w:val="16"/>
                <w:color w:val="auto"/>
              </w:rPr>
            </w:pPr>
          </w:p>
        </w:tc>
        <w:tc>
          <w:tcPr>
            <w:tcW w:w="11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r>
      <w:tr>
        <w:trPr>
          <w:trHeight w:val="197"/>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7"/>
        </w:trPr>
        <w:tc>
          <w:tcPr>
            <w:tcW w:w="6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3"/>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and cash equivalents</w:t>
            </w:r>
          </w:p>
        </w:tc>
        <w:tc>
          <w:tcPr>
            <w:tcW w:w="1860" w:type="dxa"/>
            <w:vAlign w:val="bottom"/>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1,130</w:t>
            </w: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r>
      <w:tr>
        <w:trPr>
          <w:trHeight w:val="209"/>
        </w:trPr>
        <w:tc>
          <w:tcPr>
            <w:tcW w:w="6800" w:type="dxa"/>
            <w:vAlign w:val="bottom"/>
          </w:tcPr>
          <w:p>
            <w:pPr>
              <w:ind w:left="260"/>
              <w:spacing w:after="0"/>
              <w:rPr>
                <w:sz w:val="20"/>
                <w:szCs w:val="20"/>
                <w:color w:val="auto"/>
              </w:rPr>
            </w:pPr>
            <w:r>
              <w:rPr>
                <w:rFonts w:ascii="Arial" w:cs="Arial" w:eastAsia="Arial" w:hAnsi="Arial"/>
                <w:sz w:val="16"/>
                <w:szCs w:val="16"/>
                <w:color w:val="auto"/>
              </w:rPr>
              <w:t>Short-term investments (Note 13)</w:t>
            </w:r>
          </w:p>
        </w:tc>
        <w:tc>
          <w:tcPr>
            <w:tcW w:w="18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60</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1"/>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receivable, net (Note 10)</w:t>
            </w: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1,669</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r>
      <w:tr>
        <w:trPr>
          <w:trHeight w:val="209"/>
        </w:trPr>
        <w:tc>
          <w:tcPr>
            <w:tcW w:w="6800" w:type="dxa"/>
            <w:vAlign w:val="bottom"/>
          </w:tcPr>
          <w:p>
            <w:pPr>
              <w:ind w:left="260"/>
              <w:spacing w:after="0"/>
              <w:rPr>
                <w:sz w:val="20"/>
                <w:szCs w:val="20"/>
                <w:color w:val="auto"/>
              </w:rPr>
            </w:pPr>
            <w:r>
              <w:rPr>
                <w:rFonts w:ascii="Arial" w:cs="Arial" w:eastAsia="Arial" w:hAnsi="Arial"/>
                <w:sz w:val="16"/>
                <w:szCs w:val="16"/>
                <w:color w:val="auto"/>
              </w:rPr>
              <w:t>Materials and supplies</w:t>
            </w:r>
          </w:p>
        </w:tc>
        <w:tc>
          <w:tcPr>
            <w:tcW w:w="18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692</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751</w:t>
            </w:r>
          </w:p>
        </w:tc>
      </w:tr>
      <w:tr>
        <w:trPr>
          <w:trHeight w:val="204"/>
        </w:trPr>
        <w:tc>
          <w:tcPr>
            <w:tcW w:w="680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Other current assets</w:t>
            </w:r>
          </w:p>
        </w:tc>
        <w:tc>
          <w:tcPr>
            <w:tcW w:w="1860" w:type="dxa"/>
            <w:vAlign w:val="bottom"/>
            <w:tcBorders>
              <w:bottom w:val="single" w:sz="8" w:color="7F7F7F"/>
            </w:tcBorders>
            <w:shd w:val="clear" w:color="auto" w:fill="CCEEFF"/>
          </w:tcPr>
          <w:p>
            <w:pPr>
              <w:spacing w:after="0"/>
              <w:rPr>
                <w:sz w:val="17"/>
                <w:szCs w:val="17"/>
                <w:color w:val="auto"/>
              </w:rPr>
            </w:pPr>
          </w:p>
        </w:tc>
        <w:tc>
          <w:tcPr>
            <w:tcW w:w="112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253</w:t>
            </w:r>
          </w:p>
        </w:tc>
        <w:tc>
          <w:tcPr>
            <w:tcW w:w="300" w:type="dxa"/>
            <w:vAlign w:val="bottom"/>
            <w:tcBorders>
              <w:bottom w:val="single" w:sz="8" w:color="7F7F7F"/>
            </w:tcBorders>
            <w:shd w:val="clear" w:color="auto" w:fill="CCEEFF"/>
          </w:tcPr>
          <w:p>
            <w:pPr>
              <w:spacing w:after="0"/>
              <w:rPr>
                <w:sz w:val="17"/>
                <w:szCs w:val="17"/>
                <w:color w:val="auto"/>
              </w:rPr>
            </w:pPr>
          </w:p>
        </w:tc>
        <w:tc>
          <w:tcPr>
            <w:tcW w:w="11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43"/>
        </w:trPr>
        <w:tc>
          <w:tcPr>
            <w:tcW w:w="680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6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3,804</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3,459</w:t>
            </w:r>
          </w:p>
        </w:tc>
      </w:tr>
      <w:tr>
        <w:trPr>
          <w:trHeight w:val="52"/>
        </w:trPr>
        <w:tc>
          <w:tcPr>
            <w:tcW w:w="6800" w:type="dxa"/>
            <w:vAlign w:val="bottom"/>
            <w:tcBorders>
              <w:bottom w:val="single" w:sz="8" w:color="7F7F7F"/>
            </w:tcBorders>
          </w:tcPr>
          <w:p>
            <w:pPr>
              <w:spacing w:after="0"/>
              <w:rPr>
                <w:sz w:val="4"/>
                <w:szCs w:val="4"/>
                <w:color w:val="auto"/>
              </w:rPr>
            </w:pPr>
          </w:p>
        </w:tc>
        <w:tc>
          <w:tcPr>
            <w:tcW w:w="18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r>
      <w:tr>
        <w:trPr>
          <w:trHeight w:val="210"/>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2,078</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r>
      <w:tr>
        <w:trPr>
          <w:trHeight w:val="216"/>
        </w:trPr>
        <w:tc>
          <w:tcPr>
            <w:tcW w:w="6800" w:type="dxa"/>
            <w:vAlign w:val="bottom"/>
          </w:tcPr>
          <w:p>
            <w:pPr>
              <w:ind w:left="40"/>
              <w:spacing w:after="0"/>
              <w:rPr>
                <w:sz w:val="20"/>
                <w:szCs w:val="20"/>
                <w:color w:val="auto"/>
              </w:rPr>
            </w:pPr>
            <w:r>
              <w:rPr>
                <w:rFonts w:ascii="Arial" w:cs="Arial" w:eastAsia="Arial" w:hAnsi="Arial"/>
                <w:sz w:val="16"/>
                <w:szCs w:val="16"/>
                <w:color w:val="auto"/>
              </w:rPr>
              <w:t>Net properties (Note 11)</w:t>
            </w:r>
          </w:p>
        </w:tc>
        <w:tc>
          <w:tcPr>
            <w:tcW w:w="18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54,121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53,916</w:t>
            </w:r>
          </w:p>
        </w:tc>
      </w:tr>
      <w:tr>
        <w:trPr>
          <w:trHeight w:val="217"/>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assets (Note 16)</w:t>
            </w: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1,773</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w:t>
            </w:r>
          </w:p>
        </w:tc>
      </w:tr>
      <w:tr>
        <w:trPr>
          <w:trHeight w:val="216"/>
        </w:trPr>
        <w:tc>
          <w:tcPr>
            <w:tcW w:w="68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Other assets</w:t>
            </w:r>
          </w:p>
        </w:tc>
        <w:tc>
          <w:tcPr>
            <w:tcW w:w="1860" w:type="dxa"/>
            <w:vAlign w:val="bottom"/>
            <w:tcBorders>
              <w:bottom w:val="single" w:sz="8" w:color="7F7F7F"/>
            </w:tcBorders>
          </w:tcPr>
          <w:p>
            <w:pPr>
              <w:spacing w:after="0"/>
              <w:rPr>
                <w:sz w:val="18"/>
                <w:szCs w:val="18"/>
                <w:color w:val="auto"/>
              </w:rPr>
            </w:pPr>
          </w:p>
        </w:tc>
        <w:tc>
          <w:tcPr>
            <w:tcW w:w="112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b w:val="1"/>
                <w:bCs w:val="1"/>
                <w:color w:val="auto"/>
              </w:rPr>
              <w:t>440</w:t>
            </w:r>
          </w:p>
        </w:tc>
        <w:tc>
          <w:tcPr>
            <w:tcW w:w="300" w:type="dxa"/>
            <w:vAlign w:val="bottom"/>
            <w:tcBorders>
              <w:bottom w:val="single" w:sz="8" w:color="7F7F7F"/>
            </w:tcBorders>
          </w:tcPr>
          <w:p>
            <w:pPr>
              <w:spacing w:after="0"/>
              <w:rPr>
                <w:sz w:val="18"/>
                <w:szCs w:val="18"/>
                <w:color w:val="auto"/>
              </w:rPr>
            </w:pPr>
          </w:p>
        </w:tc>
        <w:tc>
          <w:tcPr>
            <w:tcW w:w="11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436</w:t>
            </w:r>
          </w:p>
        </w:tc>
      </w:tr>
      <w:tr>
        <w:trPr>
          <w:trHeight w:val="30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6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62,216</w:t>
            </w:r>
          </w:p>
        </w:tc>
        <w:tc>
          <w:tcPr>
            <w:tcW w:w="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61,673</w:t>
            </w:r>
          </w:p>
        </w:tc>
      </w:tr>
      <w:tr>
        <w:trPr>
          <w:trHeight w:val="197"/>
        </w:trPr>
        <w:tc>
          <w:tcPr>
            <w:tcW w:w="6800" w:type="dxa"/>
            <w:vAlign w:val="bottom"/>
            <w:tcBorders>
              <w:top w:val="single" w:sz="8" w:color="7F7F7F"/>
            </w:tcBorders>
          </w:tcPr>
          <w:p>
            <w:pPr>
              <w:ind w:left="40"/>
              <w:spacing w:after="0"/>
              <w:rPr>
                <w:sz w:val="20"/>
                <w:szCs w:val="20"/>
                <w:color w:val="auto"/>
              </w:rPr>
            </w:pPr>
            <w:r>
              <w:rPr>
                <w:rFonts w:ascii="Arial" w:cs="Arial" w:eastAsia="Arial" w:hAnsi="Arial"/>
                <w:sz w:val="16"/>
                <w:szCs w:val="16"/>
                <w:b w:val="1"/>
                <w:bCs w:val="1"/>
                <w:color w:val="auto"/>
              </w:rPr>
              <w:t>Liabilities and Common Shareholders' Equity</w:t>
            </w:r>
          </w:p>
        </w:tc>
        <w:tc>
          <w:tcPr>
            <w:tcW w:w="1860" w:type="dxa"/>
            <w:vAlign w:val="bottom"/>
            <w:tcBorders>
              <w:top w:val="single" w:sz="8" w:color="7F7F7F"/>
            </w:tcBorders>
          </w:tcPr>
          <w:p>
            <w:pPr>
              <w:spacing w:after="0"/>
              <w:rPr>
                <w:sz w:val="17"/>
                <w:szCs w:val="17"/>
                <w:color w:val="auto"/>
              </w:rPr>
            </w:pPr>
          </w:p>
        </w:tc>
        <w:tc>
          <w:tcPr>
            <w:tcW w:w="1120" w:type="dxa"/>
            <w:vAlign w:val="bottom"/>
            <w:tcBorders>
              <w:top w:val="single" w:sz="8" w:color="7F7F7F"/>
            </w:tcBorders>
          </w:tcPr>
          <w:p>
            <w:pPr>
              <w:spacing w:after="0"/>
              <w:rPr>
                <w:sz w:val="17"/>
                <w:szCs w:val="17"/>
                <w:color w:val="auto"/>
              </w:rPr>
            </w:pPr>
          </w:p>
        </w:tc>
        <w:tc>
          <w:tcPr>
            <w:tcW w:w="300" w:type="dxa"/>
            <w:vAlign w:val="bottom"/>
            <w:tcBorders>
              <w:top w:val="single" w:sz="8" w:color="7F7F7F"/>
            </w:tcBorders>
          </w:tcPr>
          <w:p>
            <w:pPr>
              <w:spacing w:after="0"/>
              <w:rPr>
                <w:sz w:val="17"/>
                <w:szCs w:val="17"/>
                <w:color w:val="auto"/>
              </w:rPr>
            </w:pPr>
          </w:p>
        </w:tc>
        <w:tc>
          <w:tcPr>
            <w:tcW w:w="1160" w:type="dxa"/>
            <w:vAlign w:val="bottom"/>
            <w:tcBorders>
              <w:top w:val="single" w:sz="8" w:color="7F7F7F"/>
            </w:tcBorders>
          </w:tcPr>
          <w:p>
            <w:pPr>
              <w:spacing w:after="0"/>
              <w:rPr>
                <w:sz w:val="17"/>
                <w:szCs w:val="17"/>
                <w:color w:val="auto"/>
              </w:rPr>
            </w:pPr>
          </w:p>
        </w:tc>
      </w:tr>
      <w:tr>
        <w:trPr>
          <w:trHeight w:val="210"/>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9"/>
        </w:trPr>
        <w:tc>
          <w:tcPr>
            <w:tcW w:w="6800" w:type="dxa"/>
            <w:vAlign w:val="bottom"/>
          </w:tcPr>
          <w:p>
            <w:pPr>
              <w:ind w:left="260"/>
              <w:spacing w:after="0"/>
              <w:rPr>
                <w:sz w:val="20"/>
                <w:szCs w:val="20"/>
                <w:color w:val="auto"/>
              </w:rPr>
            </w:pPr>
            <w:r>
              <w:rPr>
                <w:rFonts w:ascii="Arial" w:cs="Arial" w:eastAsia="Arial" w:hAnsi="Arial"/>
                <w:sz w:val="16"/>
                <w:szCs w:val="16"/>
                <w:color w:val="auto"/>
              </w:rPr>
              <w:t>Accounts payable and other current liabilities (Note 12)</w:t>
            </w:r>
          </w:p>
        </w:tc>
        <w:tc>
          <w:tcPr>
            <w:tcW w:w="1860" w:type="dxa"/>
            <w:vAlign w:val="bottom"/>
          </w:tcPr>
          <w:p>
            <w:pPr>
              <w:jc w:val="right"/>
              <w:ind w:right="20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3,130</w:t>
            </w:r>
          </w:p>
        </w:tc>
        <w:tc>
          <w:tcPr>
            <w:tcW w:w="3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3,094</w:t>
            </w:r>
          </w:p>
        </w:tc>
      </w:tr>
      <w:tr>
        <w:trPr>
          <w:trHeight w:val="204"/>
        </w:trPr>
        <w:tc>
          <w:tcPr>
            <w:tcW w:w="680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Debt due within one year (Note 14)</w:t>
            </w:r>
          </w:p>
        </w:tc>
        <w:tc>
          <w:tcPr>
            <w:tcW w:w="1860" w:type="dxa"/>
            <w:vAlign w:val="bottom"/>
            <w:tcBorders>
              <w:bottom w:val="single" w:sz="8" w:color="7F7F7F"/>
            </w:tcBorders>
            <w:shd w:val="clear" w:color="auto" w:fill="CCEEFF"/>
          </w:tcPr>
          <w:p>
            <w:pPr>
              <w:spacing w:after="0"/>
              <w:rPr>
                <w:sz w:val="17"/>
                <w:szCs w:val="17"/>
                <w:color w:val="auto"/>
              </w:rPr>
            </w:pPr>
          </w:p>
        </w:tc>
        <w:tc>
          <w:tcPr>
            <w:tcW w:w="112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1,511</w:t>
            </w:r>
          </w:p>
        </w:tc>
        <w:tc>
          <w:tcPr>
            <w:tcW w:w="300" w:type="dxa"/>
            <w:vAlign w:val="bottom"/>
            <w:tcBorders>
              <w:bottom w:val="single" w:sz="8" w:color="7F7F7F"/>
            </w:tcBorders>
            <w:shd w:val="clear" w:color="auto" w:fill="CCEEFF"/>
          </w:tcPr>
          <w:p>
            <w:pPr>
              <w:spacing w:after="0"/>
              <w:rPr>
                <w:sz w:val="17"/>
                <w:szCs w:val="17"/>
                <w:color w:val="auto"/>
              </w:rPr>
            </w:pPr>
          </w:p>
        </w:tc>
        <w:tc>
          <w:tcPr>
            <w:tcW w:w="11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1,257</w:t>
            </w:r>
          </w:p>
        </w:tc>
      </w:tr>
      <w:tr>
        <w:trPr>
          <w:trHeight w:val="243"/>
        </w:trPr>
        <w:tc>
          <w:tcPr>
            <w:tcW w:w="680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6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4,641</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4,351</w:t>
            </w:r>
          </w:p>
        </w:tc>
      </w:tr>
      <w:tr>
        <w:trPr>
          <w:trHeight w:val="52"/>
        </w:trPr>
        <w:tc>
          <w:tcPr>
            <w:tcW w:w="6800" w:type="dxa"/>
            <w:vAlign w:val="bottom"/>
            <w:tcBorders>
              <w:bottom w:val="single" w:sz="8" w:color="7F7F7F"/>
            </w:tcBorders>
          </w:tcPr>
          <w:p>
            <w:pPr>
              <w:spacing w:after="0"/>
              <w:rPr>
                <w:sz w:val="4"/>
                <w:szCs w:val="4"/>
                <w:color w:val="auto"/>
              </w:rPr>
            </w:pPr>
          </w:p>
        </w:tc>
        <w:tc>
          <w:tcPr>
            <w:tcW w:w="18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r>
      <w:tr>
        <w:trPr>
          <w:trHeight w:val="197"/>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due after one year (Note 14)</w:t>
            </w: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26,365</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23,943</w:t>
            </w:r>
          </w:p>
        </w:tc>
      </w:tr>
      <w:tr>
        <w:trPr>
          <w:trHeight w:val="209"/>
        </w:trPr>
        <w:tc>
          <w:tcPr>
            <w:tcW w:w="6800" w:type="dxa"/>
            <w:vAlign w:val="bottom"/>
          </w:tcPr>
          <w:p>
            <w:pPr>
              <w:ind w:left="40"/>
              <w:spacing w:after="0"/>
              <w:rPr>
                <w:sz w:val="20"/>
                <w:szCs w:val="20"/>
                <w:color w:val="auto"/>
              </w:rPr>
            </w:pPr>
            <w:r>
              <w:rPr>
                <w:rFonts w:ascii="Arial" w:cs="Arial" w:eastAsia="Arial" w:hAnsi="Arial"/>
                <w:sz w:val="16"/>
                <w:szCs w:val="16"/>
                <w:color w:val="auto"/>
              </w:rPr>
              <w:t>Operating lease liabilities (Note 16)</w:t>
            </w:r>
          </w:p>
        </w:tc>
        <w:tc>
          <w:tcPr>
            <w:tcW w:w="18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1,339</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1,471</w:t>
            </w:r>
          </w:p>
        </w:tc>
      </w:tr>
      <w:tr>
        <w:trPr>
          <w:trHeight w:val="211"/>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12,088</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11,992</w:t>
            </w:r>
          </w:p>
        </w:tc>
      </w:tr>
      <w:tr>
        <w:trPr>
          <w:trHeight w:val="209"/>
        </w:trPr>
        <w:tc>
          <w:tcPr>
            <w:tcW w:w="680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1,792</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1,788</w:t>
            </w:r>
          </w:p>
        </w:tc>
      </w:tr>
      <w:tr>
        <w:trPr>
          <w:trHeight w:val="204"/>
        </w:trPr>
        <w:tc>
          <w:tcPr>
            <w:tcW w:w="680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17)</w:t>
            </w:r>
          </w:p>
        </w:tc>
        <w:tc>
          <w:tcPr>
            <w:tcW w:w="1860" w:type="dxa"/>
            <w:vAlign w:val="bottom"/>
            <w:tcBorders>
              <w:bottom w:val="single" w:sz="8" w:color="7F7F7F"/>
            </w:tcBorders>
            <w:shd w:val="clear" w:color="auto" w:fill="CCEEFF"/>
          </w:tcPr>
          <w:p>
            <w:pPr>
              <w:spacing w:after="0"/>
              <w:rPr>
                <w:sz w:val="17"/>
                <w:szCs w:val="17"/>
                <w:color w:val="auto"/>
              </w:rPr>
            </w:pPr>
          </w:p>
        </w:tc>
        <w:tc>
          <w:tcPr>
            <w:tcW w:w="1120" w:type="dxa"/>
            <w:vAlign w:val="bottom"/>
            <w:tcBorders>
              <w:bottom w:val="single" w:sz="8" w:color="7F7F7F"/>
            </w:tcBorders>
            <w:shd w:val="clear" w:color="auto" w:fill="CCEEFF"/>
          </w:tcPr>
          <w:p>
            <w:pPr>
              <w:spacing w:after="0"/>
              <w:rPr>
                <w:sz w:val="17"/>
                <w:szCs w:val="17"/>
                <w:color w:val="auto"/>
              </w:rPr>
            </w:pPr>
          </w:p>
        </w:tc>
        <w:tc>
          <w:tcPr>
            <w:tcW w:w="300" w:type="dxa"/>
            <w:vAlign w:val="bottom"/>
            <w:tcBorders>
              <w:bottom w:val="single" w:sz="8" w:color="7F7F7F"/>
            </w:tcBorders>
            <w:shd w:val="clear" w:color="auto" w:fill="CCEEFF"/>
          </w:tcPr>
          <w:p>
            <w:pPr>
              <w:spacing w:after="0"/>
              <w:rPr>
                <w:sz w:val="17"/>
                <w:szCs w:val="17"/>
                <w:color w:val="auto"/>
              </w:rPr>
            </w:pPr>
          </w:p>
        </w:tc>
        <w:tc>
          <w:tcPr>
            <w:tcW w:w="1160" w:type="dxa"/>
            <w:vAlign w:val="bottom"/>
            <w:tcBorders>
              <w:bottom w:val="single" w:sz="8" w:color="7F7F7F"/>
            </w:tcBorders>
            <w:shd w:val="clear" w:color="auto" w:fill="CCEEFF"/>
          </w:tcPr>
          <w:p>
            <w:pPr>
              <w:spacing w:after="0"/>
              <w:rPr>
                <w:sz w:val="17"/>
                <w:szCs w:val="17"/>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86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46,225</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43,545</w:t>
            </w:r>
          </w:p>
        </w:tc>
      </w:tr>
      <w:tr>
        <w:trPr>
          <w:trHeight w:val="52"/>
        </w:trPr>
        <w:tc>
          <w:tcPr>
            <w:tcW w:w="6800" w:type="dxa"/>
            <w:vAlign w:val="bottom"/>
            <w:tcBorders>
              <w:bottom w:val="single" w:sz="8" w:color="7F7F7F"/>
            </w:tcBorders>
          </w:tcPr>
          <w:p>
            <w:pPr>
              <w:spacing w:after="0"/>
              <w:rPr>
                <w:sz w:val="4"/>
                <w:szCs w:val="4"/>
                <w:color w:val="auto"/>
              </w:rPr>
            </w:pPr>
          </w:p>
        </w:tc>
        <w:tc>
          <w:tcPr>
            <w:tcW w:w="18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r>
      <w:tr>
        <w:trPr>
          <w:trHeight w:val="197"/>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shareholders' equity:</w:t>
            </w:r>
          </w:p>
        </w:tc>
        <w:tc>
          <w:tcPr>
            <w:tcW w:w="1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7"/>
        </w:trPr>
        <w:tc>
          <w:tcPr>
            <w:tcW w:w="6800" w:type="dxa"/>
            <w:vAlign w:val="bottom"/>
          </w:tcPr>
          <w:p>
            <w:pPr>
              <w:ind w:left="260"/>
              <w:spacing w:after="0"/>
              <w:rPr>
                <w:sz w:val="20"/>
                <w:szCs w:val="20"/>
                <w:color w:val="auto"/>
              </w:rPr>
            </w:pPr>
            <w:r>
              <w:rPr>
                <w:rFonts w:ascii="Arial" w:cs="Arial" w:eastAsia="Arial" w:hAnsi="Arial"/>
                <w:sz w:val="16"/>
                <w:szCs w:val="16"/>
                <w:color w:val="auto"/>
              </w:rPr>
              <w:t>Common shares, $2.50 par value, 1,400,000,000 authorized;</w:t>
            </w:r>
          </w:p>
        </w:tc>
        <w:tc>
          <w:tcPr>
            <w:tcW w:w="1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3"/>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1,112,277,525 and 1,112,014,480 issued; 678,558,571 and 692,100,651</w:t>
            </w: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9"/>
        </w:trPr>
        <w:tc>
          <w:tcPr>
            <w:tcW w:w="6800" w:type="dxa"/>
            <w:vAlign w:val="bottom"/>
          </w:tcPr>
          <w:p>
            <w:pPr>
              <w:ind w:left="260"/>
              <w:spacing w:after="0"/>
              <w:rPr>
                <w:sz w:val="20"/>
                <w:szCs w:val="20"/>
                <w:color w:val="auto"/>
              </w:rPr>
            </w:pPr>
            <w:r>
              <w:rPr>
                <w:rFonts w:ascii="Arial" w:cs="Arial" w:eastAsia="Arial" w:hAnsi="Arial"/>
                <w:sz w:val="16"/>
                <w:szCs w:val="16"/>
                <w:color w:val="auto"/>
              </w:rPr>
              <w:t>outstanding, respectively</w:t>
            </w:r>
          </w:p>
        </w:tc>
        <w:tc>
          <w:tcPr>
            <w:tcW w:w="18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2,781</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2,780</w:t>
            </w:r>
          </w:p>
        </w:tc>
      </w:tr>
      <w:tr>
        <w:trPr>
          <w:trHeight w:val="211"/>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Paid-in-surplus</w:t>
            </w: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4,112</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4,523</w:t>
            </w:r>
          </w:p>
        </w:tc>
      </w:tr>
      <w:tr>
        <w:trPr>
          <w:trHeight w:val="209"/>
        </w:trPr>
        <w:tc>
          <w:tcPr>
            <w:tcW w:w="680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86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49,419</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48,605</w:t>
            </w:r>
          </w:p>
        </w:tc>
      </w:tr>
      <w:tr>
        <w:trPr>
          <w:trHeight w:val="211"/>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Treasury stock</w:t>
            </w:r>
          </w:p>
        </w:tc>
        <w:tc>
          <w:tcPr>
            <w:tcW w:w="18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(38,992)</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(36,424)</w:t>
            </w:r>
          </w:p>
        </w:tc>
      </w:tr>
      <w:tr>
        <w:trPr>
          <w:trHeight w:val="203"/>
        </w:trPr>
        <w:tc>
          <w:tcPr>
            <w:tcW w:w="680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Accumulated other comprehensive loss (Note 9)</w:t>
            </w:r>
          </w:p>
        </w:tc>
        <w:tc>
          <w:tcPr>
            <w:tcW w:w="1860" w:type="dxa"/>
            <w:vAlign w:val="bottom"/>
            <w:tcBorders>
              <w:bottom w:val="single" w:sz="8" w:color="7F7F7F"/>
            </w:tcBorders>
          </w:tcPr>
          <w:p>
            <w:pPr>
              <w:spacing w:after="0"/>
              <w:rPr>
                <w:sz w:val="17"/>
                <w:szCs w:val="17"/>
                <w:color w:val="auto"/>
              </w:rPr>
            </w:pPr>
          </w:p>
        </w:tc>
        <w:tc>
          <w:tcPr>
            <w:tcW w:w="1120" w:type="dxa"/>
            <w:vAlign w:val="bottom"/>
            <w:tcBorders>
              <w:bottom w:val="single" w:sz="8" w:color="7F7F7F"/>
            </w:tcBorders>
          </w:tcPr>
          <w:p>
            <w:pPr>
              <w:jc w:val="right"/>
              <w:ind w:right="1"/>
              <w:spacing w:after="0"/>
              <w:rPr>
                <w:sz w:val="20"/>
                <w:szCs w:val="20"/>
                <w:color w:val="auto"/>
              </w:rPr>
            </w:pPr>
            <w:r>
              <w:rPr>
                <w:rFonts w:ascii="Arial" w:cs="Arial" w:eastAsia="Arial" w:hAnsi="Arial"/>
                <w:sz w:val="16"/>
                <w:szCs w:val="16"/>
                <w:b w:val="1"/>
                <w:bCs w:val="1"/>
                <w:color w:val="auto"/>
              </w:rPr>
              <w:t>(1,329)</w:t>
            </w:r>
          </w:p>
        </w:tc>
        <w:tc>
          <w:tcPr>
            <w:tcW w:w="300" w:type="dxa"/>
            <w:vAlign w:val="bottom"/>
            <w:tcBorders>
              <w:bottom w:val="single" w:sz="8" w:color="7F7F7F"/>
            </w:tcBorders>
          </w:tcPr>
          <w:p>
            <w:pPr>
              <w:spacing w:after="0"/>
              <w:rPr>
                <w:sz w:val="17"/>
                <w:szCs w:val="17"/>
                <w:color w:val="auto"/>
              </w:rPr>
            </w:pPr>
          </w:p>
        </w:tc>
        <w:tc>
          <w:tcPr>
            <w:tcW w:w="11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(1,356)</w:t>
            </w:r>
          </w:p>
        </w:tc>
      </w:tr>
      <w:tr>
        <w:trPr>
          <w:trHeight w:val="30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common shareholders' equity</w:t>
            </w:r>
          </w:p>
        </w:tc>
        <w:tc>
          <w:tcPr>
            <w:tcW w:w="18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15,991</w:t>
            </w: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18,128</w:t>
            </w:r>
          </w:p>
        </w:tc>
      </w:tr>
      <w:tr>
        <w:trPr>
          <w:trHeight w:val="243"/>
        </w:trPr>
        <w:tc>
          <w:tcPr>
            <w:tcW w:w="6800" w:type="dxa"/>
            <w:vAlign w:val="bottom"/>
            <w:tcBorders>
              <w:top w:val="single" w:sz="8" w:color="7F7F7F"/>
            </w:tcBorders>
          </w:tcPr>
          <w:p>
            <w:pPr>
              <w:ind w:left="40"/>
              <w:spacing w:after="0"/>
              <w:rPr>
                <w:sz w:val="20"/>
                <w:szCs w:val="20"/>
                <w:color w:val="auto"/>
              </w:rPr>
            </w:pPr>
            <w:r>
              <w:rPr>
                <w:rFonts w:ascii="Arial" w:cs="Arial" w:eastAsia="Arial" w:hAnsi="Arial"/>
                <w:sz w:val="16"/>
                <w:szCs w:val="16"/>
                <w:color w:val="auto"/>
              </w:rPr>
              <w:t>Total liabilities and common shareholders' equity</w:t>
            </w:r>
          </w:p>
        </w:tc>
        <w:tc>
          <w:tcPr>
            <w:tcW w:w="1860" w:type="dxa"/>
            <w:vAlign w:val="bottom"/>
            <w:tcBorders>
              <w:top w:val="single" w:sz="8" w:color="7F7F7F"/>
            </w:tcBorders>
          </w:tcPr>
          <w:p>
            <w:pPr>
              <w:jc w:val="right"/>
              <w:ind w:right="20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7F7F7F"/>
            </w:tcBorders>
          </w:tcPr>
          <w:p>
            <w:pPr>
              <w:jc w:val="right"/>
              <w:ind w:right="41"/>
              <w:spacing w:after="0"/>
              <w:rPr>
                <w:sz w:val="20"/>
                <w:szCs w:val="20"/>
                <w:color w:val="auto"/>
              </w:rPr>
            </w:pPr>
            <w:r>
              <w:rPr>
                <w:rFonts w:ascii="Arial" w:cs="Arial" w:eastAsia="Arial" w:hAnsi="Arial"/>
                <w:sz w:val="16"/>
                <w:szCs w:val="16"/>
                <w:b w:val="1"/>
                <w:bCs w:val="1"/>
                <w:color w:val="auto"/>
              </w:rPr>
              <w:t>62,216</w:t>
            </w:r>
          </w:p>
        </w:tc>
        <w:tc>
          <w:tcPr>
            <w:tcW w:w="300" w:type="dxa"/>
            <w:vAlign w:val="bottom"/>
            <w:tcBorders>
              <w:top w:val="single" w:sz="8" w:color="7F7F7F"/>
            </w:tcBorders>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61,673</w:t>
            </w:r>
          </w:p>
        </w:tc>
      </w:tr>
      <w:tr>
        <w:trPr>
          <w:trHeight w:val="52"/>
        </w:trPr>
        <w:tc>
          <w:tcPr>
            <w:tcW w:w="6800" w:type="dxa"/>
            <w:vAlign w:val="bottom"/>
            <w:tcBorders>
              <w:bottom w:val="single" w:sz="8" w:color="7F7F7F"/>
            </w:tcBorders>
          </w:tcPr>
          <w:p>
            <w:pPr>
              <w:spacing w:after="0"/>
              <w:rPr>
                <w:sz w:val="4"/>
                <w:szCs w:val="4"/>
                <w:color w:val="auto"/>
              </w:rPr>
            </w:pPr>
          </w:p>
        </w:tc>
        <w:tc>
          <w:tcPr>
            <w:tcW w:w="186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Union Pacific Corporation and Subsidiary Companies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4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1960" w:type="dxa"/>
            <w:vAlign w:val="bottom"/>
            <w:tcBorders>
              <w:top w:val="single" w:sz="8" w:color="7F7F7F"/>
            </w:tcBorders>
          </w:tcPr>
          <w:p>
            <w:pPr>
              <w:spacing w:after="0"/>
              <w:rPr>
                <w:sz w:val="20"/>
                <w:szCs w:val="20"/>
                <w:color w:val="auto"/>
              </w:rPr>
            </w:pPr>
          </w:p>
        </w:tc>
        <w:tc>
          <w:tcPr>
            <w:tcW w:w="980" w:type="dxa"/>
            <w:vAlign w:val="bottom"/>
            <w:tcBorders>
              <w:top w:val="single" w:sz="8" w:color="7F7F7F"/>
            </w:tcBorders>
            <w:vMerge w:val="restart"/>
          </w:tcPr>
          <w:p>
            <w:pPr>
              <w:jc w:val="right"/>
              <w:ind w:right="1"/>
              <w:spacing w:after="0"/>
              <w:rPr>
                <w:sz w:val="20"/>
                <w:szCs w:val="20"/>
                <w:color w:val="auto"/>
              </w:rPr>
            </w:pPr>
            <w:r>
              <w:rPr>
                <w:rFonts w:ascii="Arial" w:cs="Arial" w:eastAsia="Arial" w:hAnsi="Arial"/>
                <w:sz w:val="16"/>
                <w:szCs w:val="16"/>
                <w:b w:val="1"/>
                <w:bCs w:val="1"/>
                <w:i w:val="1"/>
                <w:iCs w:val="1"/>
                <w:color w:val="auto"/>
              </w:rPr>
              <w:t>2020</w:t>
            </w:r>
          </w:p>
        </w:tc>
        <w:tc>
          <w:tcPr>
            <w:tcW w:w="560" w:type="dxa"/>
            <w:vAlign w:val="bottom"/>
            <w:tcBorders>
              <w:top w:val="single" w:sz="8" w:color="7F7F7F"/>
            </w:tcBorders>
          </w:tcPr>
          <w:p>
            <w:pPr>
              <w:spacing w:after="0"/>
              <w:rPr>
                <w:sz w:val="20"/>
                <w:szCs w:val="20"/>
                <w:color w:val="auto"/>
              </w:rPr>
            </w:pPr>
          </w:p>
        </w:tc>
        <w:tc>
          <w:tcPr>
            <w:tcW w:w="900" w:type="dxa"/>
            <w:vAlign w:val="bottom"/>
            <w:tcBorders>
              <w:top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84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1960" w:type="dxa"/>
            <w:vAlign w:val="bottom"/>
            <w:tcBorders>
              <w:bottom w:val="single" w:sz="8" w:color="7F7F7F"/>
            </w:tcBorders>
          </w:tcPr>
          <w:p>
            <w:pPr>
              <w:spacing w:after="0"/>
              <w:rPr>
                <w:sz w:val="16"/>
                <w:szCs w:val="16"/>
                <w:color w:val="auto"/>
              </w:rPr>
            </w:pPr>
          </w:p>
        </w:tc>
        <w:tc>
          <w:tcPr>
            <w:tcW w:w="980" w:type="dxa"/>
            <w:vAlign w:val="bottom"/>
            <w:tcBorders>
              <w:bottom w:val="single" w:sz="8" w:color="7F7F7F"/>
            </w:tcBorders>
            <w:vMerge w:val="continue"/>
          </w:tcPr>
          <w:p>
            <w:pPr>
              <w:spacing w:after="0"/>
              <w:rPr>
                <w:sz w:val="16"/>
                <w:szCs w:val="16"/>
                <w:color w:val="auto"/>
              </w:rPr>
            </w:pPr>
          </w:p>
        </w:tc>
        <w:tc>
          <w:tcPr>
            <w:tcW w:w="560" w:type="dxa"/>
            <w:vAlign w:val="bottom"/>
            <w:tcBorders>
              <w:bottom w:val="single" w:sz="8" w:color="7F7F7F"/>
            </w:tcBorders>
          </w:tcPr>
          <w:p>
            <w:pPr>
              <w:spacing w:after="0"/>
              <w:rPr>
                <w:sz w:val="16"/>
                <w:szCs w:val="16"/>
                <w:color w:val="auto"/>
              </w:rPr>
            </w:pP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0" w:type="dxa"/>
            <w:vAlign w:val="bottom"/>
          </w:tcPr>
          <w:p>
            <w:pPr>
              <w:spacing w:after="0"/>
              <w:rPr>
                <w:sz w:val="1"/>
                <w:szCs w:val="1"/>
                <w:color w:val="auto"/>
              </w:rPr>
            </w:pPr>
          </w:p>
        </w:tc>
      </w:tr>
      <w:tr>
        <w:trPr>
          <w:trHeight w:val="197"/>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960" w:type="dxa"/>
            <w:vAlign w:val="bottom"/>
          </w:tcPr>
          <w:p>
            <w:pPr>
              <w:jc w:val="right"/>
              <w:ind w:right="341"/>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1,474</w:t>
            </w:r>
          </w:p>
        </w:tc>
        <w:tc>
          <w:tcPr>
            <w:tcW w:w="5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9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547</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and other income taxes</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91</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9"/>
        </w:trPr>
        <w:tc>
          <w:tcPr>
            <w:tcW w:w="6840" w:type="dxa"/>
            <w:vAlign w:val="bottom"/>
          </w:tcPr>
          <w:p>
            <w:pPr>
              <w:ind w:left="140"/>
              <w:spacing w:after="0"/>
              <w:rPr>
                <w:sz w:val="20"/>
                <w:szCs w:val="20"/>
                <w:color w:val="auto"/>
              </w:rPr>
            </w:pPr>
            <w:r>
              <w:rPr>
                <w:rFonts w:ascii="Arial" w:cs="Arial" w:eastAsia="Arial" w:hAnsi="Arial"/>
                <w:sz w:val="16"/>
                <w:szCs w:val="16"/>
                <w:color w:val="auto"/>
              </w:rPr>
              <w:t>Other operating activities, net</w:t>
            </w:r>
          </w:p>
        </w:tc>
        <w:tc>
          <w:tcPr>
            <w:tcW w:w="19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(64)</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current assets and liabilities:</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19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(74)</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Materials and supplies</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59</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6840" w:type="dxa"/>
            <w:vAlign w:val="bottom"/>
          </w:tcPr>
          <w:p>
            <w:pPr>
              <w:ind w:left="260"/>
              <w:spacing w:after="0"/>
              <w:rPr>
                <w:sz w:val="20"/>
                <w:szCs w:val="20"/>
                <w:color w:val="auto"/>
              </w:rPr>
            </w:pPr>
            <w:r>
              <w:rPr>
                <w:rFonts w:ascii="Arial" w:cs="Arial" w:eastAsia="Arial" w:hAnsi="Arial"/>
                <w:sz w:val="16"/>
                <w:szCs w:val="16"/>
                <w:color w:val="auto"/>
              </w:rPr>
              <w:t>Other current assets</w:t>
            </w:r>
          </w:p>
        </w:tc>
        <w:tc>
          <w:tcPr>
            <w:tcW w:w="19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payable and other current liabilities</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(168)</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Income and other taxes</w:t>
            </w:r>
          </w:p>
        </w:tc>
        <w:tc>
          <w:tcPr>
            <w:tcW w:w="1960" w:type="dxa"/>
            <w:vAlign w:val="bottom"/>
            <w:tcBorders>
              <w:bottom w:val="single" w:sz="8" w:color="7F7F7F"/>
            </w:tcBorders>
          </w:tcPr>
          <w:p>
            <w:pPr>
              <w:spacing w:after="0"/>
              <w:rPr>
                <w:sz w:val="18"/>
                <w:szCs w:val="18"/>
                <w:color w:val="auto"/>
              </w:rPr>
            </w:pPr>
          </w:p>
        </w:tc>
        <w:tc>
          <w:tcPr>
            <w:tcW w:w="98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b w:val="1"/>
                <w:bCs w:val="1"/>
                <w:color w:val="auto"/>
              </w:rPr>
              <w:t>289</w:t>
            </w:r>
          </w:p>
        </w:tc>
        <w:tc>
          <w:tcPr>
            <w:tcW w:w="5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90"/>
        </w:trPr>
        <w:tc>
          <w:tcPr>
            <w:tcW w:w="684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1960" w:type="dxa"/>
            <w:vAlign w:val="bottom"/>
            <w:tcBorders>
              <w:bottom w:val="single" w:sz="8" w:color="7F7F7F"/>
            </w:tcBorders>
            <w:shd w:val="clear" w:color="auto" w:fill="CCEEFF"/>
          </w:tcPr>
          <w:p>
            <w:pPr>
              <w:spacing w:after="0"/>
              <w:rPr>
                <w:sz w:val="16"/>
                <w:szCs w:val="16"/>
                <w:color w:val="auto"/>
              </w:rPr>
            </w:pPr>
          </w:p>
        </w:tc>
        <w:tc>
          <w:tcPr>
            <w:tcW w:w="98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2,155</w:t>
            </w:r>
          </w:p>
        </w:tc>
        <w:tc>
          <w:tcPr>
            <w:tcW w:w="560" w:type="dxa"/>
            <w:vAlign w:val="bottom"/>
            <w:tcBorders>
              <w:bottom w:val="single" w:sz="8" w:color="7F7F7F"/>
            </w:tcBorders>
            <w:shd w:val="clear" w:color="auto" w:fill="CCEEFF"/>
          </w:tcPr>
          <w:p>
            <w:pPr>
              <w:spacing w:after="0"/>
              <w:rPr>
                <w:sz w:val="16"/>
                <w:szCs w:val="16"/>
                <w:color w:val="auto"/>
              </w:rPr>
            </w:pPr>
          </w:p>
        </w:tc>
        <w:tc>
          <w:tcPr>
            <w:tcW w:w="9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197"/>
        </w:trPr>
        <w:tc>
          <w:tcPr>
            <w:tcW w:w="68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Capital investments</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(807)</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09"/>
        </w:trPr>
        <w:tc>
          <w:tcPr>
            <w:tcW w:w="6840" w:type="dxa"/>
            <w:vAlign w:val="bottom"/>
          </w:tcPr>
          <w:p>
            <w:pPr>
              <w:ind w:left="40"/>
              <w:spacing w:after="0"/>
              <w:rPr>
                <w:sz w:val="20"/>
                <w:szCs w:val="20"/>
                <w:color w:val="auto"/>
              </w:rPr>
            </w:pPr>
            <w:r>
              <w:rPr>
                <w:rFonts w:ascii="Arial" w:cs="Arial" w:eastAsia="Arial" w:hAnsi="Arial"/>
                <w:sz w:val="16"/>
                <w:szCs w:val="16"/>
                <w:color w:val="auto"/>
              </w:rPr>
              <w:t>Maturities of short-term investments (Note 13)</w:t>
            </w:r>
          </w:p>
        </w:tc>
        <w:tc>
          <w:tcPr>
            <w:tcW w:w="19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70</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Purchases of short-term investments (Note 13)</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(70)</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9"/>
        </w:trPr>
        <w:tc>
          <w:tcPr>
            <w:tcW w:w="6840" w:type="dxa"/>
            <w:vAlign w:val="bottom"/>
          </w:tcPr>
          <w:p>
            <w:pPr>
              <w:ind w:left="40"/>
              <w:spacing w:after="0"/>
              <w:rPr>
                <w:sz w:val="20"/>
                <w:szCs w:val="20"/>
                <w:color w:val="auto"/>
              </w:rPr>
            </w:pPr>
            <w:r>
              <w:rPr>
                <w:rFonts w:ascii="Arial" w:cs="Arial" w:eastAsia="Arial" w:hAnsi="Arial"/>
                <w:sz w:val="16"/>
                <w:szCs w:val="16"/>
                <w:color w:val="auto"/>
              </w:rPr>
              <w:t>Proceeds from asset sales</w:t>
            </w:r>
          </w:p>
        </w:tc>
        <w:tc>
          <w:tcPr>
            <w:tcW w:w="19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8</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4"/>
        </w:trPr>
        <w:tc>
          <w:tcPr>
            <w:tcW w:w="684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 net</w:t>
            </w:r>
          </w:p>
        </w:tc>
        <w:tc>
          <w:tcPr>
            <w:tcW w:w="1960" w:type="dxa"/>
            <w:vAlign w:val="bottom"/>
            <w:tcBorders>
              <w:bottom w:val="single" w:sz="8" w:color="7F7F7F"/>
            </w:tcBorders>
            <w:shd w:val="clear" w:color="auto" w:fill="CCEEFF"/>
          </w:tcPr>
          <w:p>
            <w:pPr>
              <w:spacing w:after="0"/>
              <w:rPr>
                <w:sz w:val="17"/>
                <w:szCs w:val="17"/>
                <w:color w:val="auto"/>
              </w:rPr>
            </w:pPr>
          </w:p>
        </w:tc>
        <w:tc>
          <w:tcPr>
            <w:tcW w:w="980" w:type="dxa"/>
            <w:vAlign w:val="bottom"/>
            <w:tcBorders>
              <w:bottom w:val="single" w:sz="8" w:color="7F7F7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w:t>
            </w:r>
          </w:p>
        </w:tc>
        <w:tc>
          <w:tcPr>
            <w:tcW w:w="560" w:type="dxa"/>
            <w:vAlign w:val="bottom"/>
            <w:tcBorders>
              <w:bottom w:val="single" w:sz="8" w:color="7F7F7F"/>
            </w:tcBorders>
            <w:shd w:val="clear" w:color="auto" w:fill="CCEEFF"/>
          </w:tcPr>
          <w:p>
            <w:pPr>
              <w:spacing w:after="0"/>
              <w:rPr>
                <w:sz w:val="17"/>
                <w:szCs w:val="17"/>
                <w:color w:val="auto"/>
              </w:rPr>
            </w:pPr>
          </w:p>
        </w:tc>
        <w:tc>
          <w:tcPr>
            <w:tcW w:w="9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0"/>
        </w:trPr>
        <w:tc>
          <w:tcPr>
            <w:tcW w:w="684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Cash used in investing activities</w:t>
            </w:r>
          </w:p>
        </w:tc>
        <w:tc>
          <w:tcPr>
            <w:tcW w:w="1960" w:type="dxa"/>
            <w:vAlign w:val="bottom"/>
            <w:tcBorders>
              <w:bottom w:val="single" w:sz="8" w:color="7F7F7F"/>
            </w:tcBorders>
          </w:tcPr>
          <w:p>
            <w:pPr>
              <w:spacing w:after="0"/>
              <w:rPr>
                <w:sz w:val="16"/>
                <w:szCs w:val="16"/>
                <w:color w:val="auto"/>
              </w:rPr>
            </w:pPr>
          </w:p>
        </w:tc>
        <w:tc>
          <w:tcPr>
            <w:tcW w:w="980" w:type="dxa"/>
            <w:vAlign w:val="bottom"/>
            <w:tcBorders>
              <w:bottom w:val="single" w:sz="8" w:color="7F7F7F"/>
            </w:tcBorders>
          </w:tcPr>
          <w:p>
            <w:pPr>
              <w:jc w:val="right"/>
              <w:ind w:right="1"/>
              <w:spacing w:after="0"/>
              <w:rPr>
                <w:sz w:val="20"/>
                <w:szCs w:val="20"/>
                <w:color w:val="auto"/>
              </w:rPr>
            </w:pPr>
            <w:r>
              <w:rPr>
                <w:rFonts w:ascii="Arial" w:cs="Arial" w:eastAsia="Arial" w:hAnsi="Arial"/>
                <w:sz w:val="16"/>
                <w:szCs w:val="16"/>
                <w:b w:val="1"/>
                <w:bCs w:val="1"/>
                <w:color w:val="auto"/>
              </w:rPr>
              <w:t>(807)</w:t>
            </w:r>
          </w:p>
        </w:tc>
        <w:tc>
          <w:tcPr>
            <w:tcW w:w="560" w:type="dxa"/>
            <w:vAlign w:val="bottom"/>
            <w:tcBorders>
              <w:bottom w:val="single" w:sz="8" w:color="7F7F7F"/>
            </w:tcBorders>
          </w:tcPr>
          <w:p>
            <w:pPr>
              <w:spacing w:after="0"/>
              <w:rPr>
                <w:sz w:val="16"/>
                <w:szCs w:val="16"/>
                <w:color w:val="auto"/>
              </w:rPr>
            </w:pP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197"/>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40" w:type="dxa"/>
            <w:vAlign w:val="bottom"/>
          </w:tcPr>
          <w:p>
            <w:pPr>
              <w:ind w:left="40"/>
              <w:spacing w:after="0"/>
              <w:rPr>
                <w:sz w:val="20"/>
                <w:szCs w:val="20"/>
                <w:color w:val="auto"/>
              </w:rPr>
            </w:pPr>
            <w:r>
              <w:rPr>
                <w:rFonts w:ascii="Arial" w:cs="Arial" w:eastAsia="Arial" w:hAnsi="Arial"/>
                <w:sz w:val="16"/>
                <w:szCs w:val="16"/>
                <w:color w:val="auto"/>
              </w:rPr>
              <w:t>Debt issued (Note 14)</w:t>
            </w:r>
          </w:p>
        </w:tc>
        <w:tc>
          <w:tcPr>
            <w:tcW w:w="196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2,996</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2,992</w:t>
            </w: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 repurchase programs (Note 18)</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(2,556)</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w:t>
            </w:r>
          </w:p>
        </w:tc>
        <w:tc>
          <w:tcPr>
            <w:tcW w:w="0" w:type="dxa"/>
            <w:vAlign w:val="bottom"/>
          </w:tcPr>
          <w:p>
            <w:pPr>
              <w:spacing w:after="0"/>
              <w:rPr>
                <w:sz w:val="1"/>
                <w:szCs w:val="1"/>
                <w:color w:val="auto"/>
              </w:rPr>
            </w:pPr>
          </w:p>
        </w:tc>
      </w:tr>
      <w:tr>
        <w:trPr>
          <w:trHeight w:val="209"/>
        </w:trPr>
        <w:tc>
          <w:tcPr>
            <w:tcW w:w="684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19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(660)</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Accelerated share repurchase programs pending final settlement</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(400)</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9"/>
        </w:trPr>
        <w:tc>
          <w:tcPr>
            <w:tcW w:w="6840" w:type="dxa"/>
            <w:vAlign w:val="bottom"/>
          </w:tcPr>
          <w:p>
            <w:pPr>
              <w:ind w:left="40"/>
              <w:spacing w:after="0"/>
              <w:rPr>
                <w:sz w:val="20"/>
                <w:szCs w:val="20"/>
                <w:color w:val="auto"/>
              </w:rPr>
            </w:pPr>
            <w:r>
              <w:rPr>
                <w:rFonts w:ascii="Arial" w:cs="Arial" w:eastAsia="Arial" w:hAnsi="Arial"/>
                <w:sz w:val="16"/>
                <w:szCs w:val="16"/>
                <w:color w:val="auto"/>
              </w:rPr>
              <w:t>Debt repaid</w:t>
            </w:r>
          </w:p>
        </w:tc>
        <w:tc>
          <w:tcPr>
            <w:tcW w:w="19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(305)</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24"/>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issuance of commercial paper (Note 14)</w:t>
            </w:r>
          </w:p>
        </w:tc>
        <w:tc>
          <w:tcPr>
            <w:tcW w:w="19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03"/>
        </w:trPr>
        <w:tc>
          <w:tcPr>
            <w:tcW w:w="684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Other financing activities, net</w:t>
            </w:r>
          </w:p>
        </w:tc>
        <w:tc>
          <w:tcPr>
            <w:tcW w:w="1960" w:type="dxa"/>
            <w:vAlign w:val="bottom"/>
            <w:tcBorders>
              <w:bottom w:val="single" w:sz="8" w:color="7F7F7F"/>
            </w:tcBorders>
          </w:tcPr>
          <w:p>
            <w:pPr>
              <w:spacing w:after="0"/>
              <w:rPr>
                <w:sz w:val="17"/>
                <w:szCs w:val="17"/>
                <w:color w:val="auto"/>
              </w:rPr>
            </w:pPr>
          </w:p>
        </w:tc>
        <w:tc>
          <w:tcPr>
            <w:tcW w:w="980" w:type="dxa"/>
            <w:vAlign w:val="bottom"/>
            <w:tcBorders>
              <w:bottom w:val="single" w:sz="8" w:color="7F7F7F"/>
            </w:tcBorders>
          </w:tcPr>
          <w:p>
            <w:pPr>
              <w:jc w:val="right"/>
              <w:ind w:right="1"/>
              <w:spacing w:after="0"/>
              <w:rPr>
                <w:sz w:val="20"/>
                <w:szCs w:val="20"/>
                <w:color w:val="auto"/>
              </w:rPr>
            </w:pPr>
            <w:r>
              <w:rPr>
                <w:rFonts w:ascii="Arial" w:cs="Arial" w:eastAsia="Arial" w:hAnsi="Arial"/>
                <w:sz w:val="16"/>
                <w:szCs w:val="16"/>
                <w:b w:val="1"/>
                <w:bCs w:val="1"/>
                <w:color w:val="auto"/>
              </w:rPr>
              <w:t>(71)</w:t>
            </w:r>
          </w:p>
        </w:tc>
        <w:tc>
          <w:tcPr>
            <w:tcW w:w="56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0"/>
        </w:trPr>
        <w:tc>
          <w:tcPr>
            <w:tcW w:w="684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Cash used in financing activities</w:t>
            </w:r>
          </w:p>
        </w:tc>
        <w:tc>
          <w:tcPr>
            <w:tcW w:w="1960" w:type="dxa"/>
            <w:vAlign w:val="bottom"/>
            <w:tcBorders>
              <w:bottom w:val="single" w:sz="8" w:color="7F7F7F"/>
            </w:tcBorders>
            <w:shd w:val="clear" w:color="auto" w:fill="CCEEFF"/>
          </w:tcPr>
          <w:p>
            <w:pPr>
              <w:spacing w:after="0"/>
              <w:rPr>
                <w:sz w:val="16"/>
                <w:szCs w:val="16"/>
                <w:color w:val="auto"/>
              </w:rPr>
            </w:pPr>
          </w:p>
        </w:tc>
        <w:tc>
          <w:tcPr>
            <w:tcW w:w="980" w:type="dxa"/>
            <w:vAlign w:val="bottom"/>
            <w:tcBorders>
              <w:bottom w:val="single" w:sz="8" w:color="7F7F7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(997)</w:t>
            </w:r>
          </w:p>
        </w:tc>
        <w:tc>
          <w:tcPr>
            <w:tcW w:w="560" w:type="dxa"/>
            <w:vAlign w:val="bottom"/>
            <w:tcBorders>
              <w:bottom w:val="single" w:sz="8" w:color="7F7F7F"/>
            </w:tcBorders>
            <w:shd w:val="clear" w:color="auto" w:fill="CCEEFF"/>
          </w:tcPr>
          <w:p>
            <w:pPr>
              <w:spacing w:after="0"/>
              <w:rPr>
                <w:sz w:val="16"/>
                <w:szCs w:val="16"/>
                <w:color w:val="auto"/>
              </w:rPr>
            </w:pPr>
          </w:p>
        </w:tc>
        <w:tc>
          <w:tcPr>
            <w:tcW w:w="9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197"/>
        </w:trPr>
        <w:tc>
          <w:tcPr>
            <w:tcW w:w="6840" w:type="dxa"/>
            <w:vAlign w:val="bottom"/>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196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351</w:t>
            </w:r>
          </w:p>
        </w:tc>
        <w:tc>
          <w:tcPr>
            <w:tcW w:w="5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3"/>
        </w:trPr>
        <w:tc>
          <w:tcPr>
            <w:tcW w:w="684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1960" w:type="dxa"/>
            <w:vAlign w:val="bottom"/>
            <w:tcBorders>
              <w:bottom w:val="single" w:sz="8" w:color="7F7F7F"/>
            </w:tcBorders>
            <w:shd w:val="clear" w:color="auto" w:fill="CCEEFF"/>
          </w:tcPr>
          <w:p>
            <w:pPr>
              <w:spacing w:after="0"/>
              <w:rPr>
                <w:sz w:val="17"/>
                <w:szCs w:val="17"/>
                <w:color w:val="auto"/>
              </w:rPr>
            </w:pPr>
          </w:p>
        </w:tc>
        <w:tc>
          <w:tcPr>
            <w:tcW w:w="98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856</w:t>
            </w:r>
          </w:p>
        </w:tc>
        <w:tc>
          <w:tcPr>
            <w:tcW w:w="560" w:type="dxa"/>
            <w:vAlign w:val="bottom"/>
            <w:tcBorders>
              <w:bottom w:val="single" w:sz="8" w:color="7F7F7F"/>
            </w:tcBorders>
            <w:shd w:val="clear" w:color="auto" w:fill="CCEEFF"/>
          </w:tcPr>
          <w:p>
            <w:pPr>
              <w:spacing w:after="0"/>
              <w:rPr>
                <w:sz w:val="17"/>
                <w:szCs w:val="17"/>
                <w:color w:val="auto"/>
              </w:rPr>
            </w:pPr>
          </w:p>
        </w:tc>
        <w:tc>
          <w:tcPr>
            <w:tcW w:w="9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0" w:type="dxa"/>
            <w:vAlign w:val="bottom"/>
          </w:tcPr>
          <w:p>
            <w:pPr>
              <w:spacing w:after="0"/>
              <w:rPr>
                <w:sz w:val="1"/>
                <w:szCs w:val="1"/>
                <w:color w:val="auto"/>
              </w:rPr>
            </w:pPr>
          </w:p>
        </w:tc>
      </w:tr>
      <w:tr>
        <w:trPr>
          <w:trHeight w:val="203"/>
        </w:trPr>
        <w:tc>
          <w:tcPr>
            <w:tcW w:w="684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1960" w:type="dxa"/>
            <w:vAlign w:val="bottom"/>
            <w:tcBorders>
              <w:bottom w:val="single" w:sz="8" w:color="7F7F7F"/>
            </w:tcBorders>
          </w:tcPr>
          <w:p>
            <w:pPr>
              <w:jc w:val="right"/>
              <w:ind w:right="34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b w:val="1"/>
                <w:bCs w:val="1"/>
                <w:color w:val="auto"/>
              </w:rPr>
              <w:t>1,207</w:t>
            </w:r>
          </w:p>
        </w:tc>
        <w:tc>
          <w:tcPr>
            <w:tcW w:w="560" w:type="dxa"/>
            <w:vAlign w:val="bottom"/>
            <w:tcBorders>
              <w:bottom w:val="single" w:sz="8" w:color="7F7F7F"/>
            </w:tcBorders>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184"/>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19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Non-cash investing and financing activities:</w:t>
            </w:r>
          </w:p>
        </w:tc>
        <w:tc>
          <w:tcPr>
            <w:tcW w:w="1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Capital investments accrued but not yet paid</w:t>
            </w:r>
          </w:p>
        </w:tc>
        <w:tc>
          <w:tcPr>
            <w:tcW w:w="1960" w:type="dxa"/>
            <w:vAlign w:val="bottom"/>
            <w:shd w:val="clear" w:color="auto" w:fill="CCEEFF"/>
          </w:tcPr>
          <w:p>
            <w:pPr>
              <w:jc w:val="right"/>
              <w:ind w:right="341"/>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169</w:t>
            </w:r>
          </w:p>
        </w:tc>
        <w:tc>
          <w:tcPr>
            <w:tcW w:w="56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9"/>
        </w:trPr>
        <w:tc>
          <w:tcPr>
            <w:tcW w:w="6840" w:type="dxa"/>
            <w:vAlign w:val="bottom"/>
          </w:tcPr>
          <w:p>
            <w:pPr>
              <w:ind w:left="260"/>
              <w:spacing w:after="0"/>
              <w:rPr>
                <w:sz w:val="20"/>
                <w:szCs w:val="20"/>
                <w:color w:val="auto"/>
              </w:rPr>
            </w:pPr>
            <w:r>
              <w:rPr>
                <w:rFonts w:ascii="Arial" w:cs="Arial" w:eastAsia="Arial" w:hAnsi="Arial"/>
                <w:sz w:val="16"/>
                <w:szCs w:val="16"/>
                <w:color w:val="auto"/>
              </w:rPr>
              <w:t>Common shares repurchased but not yet paid</w:t>
            </w:r>
          </w:p>
        </w:tc>
        <w:tc>
          <w:tcPr>
            <w:tcW w:w="196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for)/received from:</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ind w:left="260"/>
              <w:spacing w:after="0"/>
              <w:rPr>
                <w:sz w:val="20"/>
                <w:szCs w:val="20"/>
                <w:color w:val="auto"/>
              </w:rPr>
            </w:pPr>
            <w:r>
              <w:rPr>
                <w:rFonts w:ascii="Arial" w:cs="Arial" w:eastAsia="Arial" w:hAnsi="Arial"/>
                <w:sz w:val="16"/>
                <w:szCs w:val="16"/>
                <w:color w:val="auto"/>
              </w:rPr>
              <w:t>Income taxes, net of refunds</w:t>
            </w:r>
          </w:p>
        </w:tc>
        <w:tc>
          <w:tcPr>
            <w:tcW w:w="1960" w:type="dxa"/>
            <w:vAlign w:val="bottom"/>
          </w:tcPr>
          <w:p>
            <w:pPr>
              <w:jc w:val="right"/>
              <w:ind w:right="341"/>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(11)</w:t>
            </w:r>
          </w:p>
        </w:tc>
        <w:tc>
          <w:tcPr>
            <w:tcW w:w="5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net of amounts capitalized</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(349)</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9"/>
        </w:trPr>
        <w:tc>
          <w:tcPr>
            <w:tcW w:w="6840" w:type="dxa"/>
            <w:vAlign w:val="bottom"/>
          </w:tcPr>
          <w:p>
            <w:pPr>
              <w:ind w:left="4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 the Condensed Consolidated Statement of Financial Position:</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4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960" w:type="dxa"/>
            <w:vAlign w:val="bottom"/>
          </w:tcPr>
          <w:p>
            <w:pPr>
              <w:jc w:val="right"/>
              <w:ind w:right="341"/>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1,130</w:t>
            </w:r>
          </w:p>
        </w:tc>
        <w:tc>
          <w:tcPr>
            <w:tcW w:w="5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11"/>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 equivalents in other current assets</w:t>
            </w:r>
          </w:p>
        </w:tc>
        <w:tc>
          <w:tcPr>
            <w:tcW w:w="19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65</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Restricted cash equivalents in other assets</w:t>
            </w:r>
          </w:p>
        </w:tc>
        <w:tc>
          <w:tcPr>
            <w:tcW w:w="1960" w:type="dxa"/>
            <w:vAlign w:val="bottom"/>
            <w:tcBorders>
              <w:bottom w:val="single" w:sz="8" w:color="7F7F7F"/>
            </w:tcBorders>
          </w:tcPr>
          <w:p>
            <w:pPr>
              <w:spacing w:after="0"/>
              <w:rPr>
                <w:sz w:val="18"/>
                <w:szCs w:val="18"/>
                <w:color w:val="auto"/>
              </w:rPr>
            </w:pPr>
          </w:p>
        </w:tc>
        <w:tc>
          <w:tcPr>
            <w:tcW w:w="98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b w:val="1"/>
                <w:bCs w:val="1"/>
                <w:color w:val="auto"/>
              </w:rPr>
              <w:t>12</w:t>
            </w:r>
          </w:p>
        </w:tc>
        <w:tc>
          <w:tcPr>
            <w:tcW w:w="5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0"/>
        </w:trPr>
        <w:tc>
          <w:tcPr>
            <w:tcW w:w="6840" w:type="dxa"/>
            <w:vAlign w:val="bottom"/>
            <w:tcBorders>
              <w:bottom w:val="single" w:sz="8" w:color="7F7F7F"/>
            </w:tcBorders>
            <w:shd w:val="clear" w:color="auto" w:fill="CCEEFF"/>
          </w:tcPr>
          <w:p>
            <w:pPr>
              <w:spacing w:after="0" w:line="171" w:lineRule="exact"/>
              <w:rPr>
                <w:sz w:val="20"/>
                <w:szCs w:val="20"/>
                <w:color w:val="auto"/>
              </w:rPr>
            </w:pPr>
            <w:r>
              <w:rPr>
                <w:rFonts w:ascii="Arial" w:cs="Arial" w:eastAsia="Arial" w:hAnsi="Arial"/>
                <w:sz w:val="16"/>
                <w:szCs w:val="16"/>
                <w:color w:val="auto"/>
              </w:rPr>
              <w:t>Total cash, cash equivalents and restricted cash equivalents per above</w:t>
            </w:r>
          </w:p>
        </w:tc>
        <w:tc>
          <w:tcPr>
            <w:tcW w:w="1960" w:type="dxa"/>
            <w:vAlign w:val="bottom"/>
            <w:tcBorders>
              <w:bottom w:val="single" w:sz="8" w:color="7F7F7F"/>
            </w:tcBorders>
            <w:shd w:val="clear" w:color="auto" w:fill="CCEEFF"/>
          </w:tcPr>
          <w:p>
            <w:pPr>
              <w:jc w:val="right"/>
              <w:ind w:right="341"/>
              <w:spacing w:after="0" w:line="171"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7F7F7F"/>
            </w:tcBorders>
            <w:shd w:val="clear" w:color="auto" w:fill="CCEEFF"/>
          </w:tcPr>
          <w:p>
            <w:pPr>
              <w:jc w:val="right"/>
              <w:ind w:right="41"/>
              <w:spacing w:after="0" w:line="171" w:lineRule="exact"/>
              <w:rPr>
                <w:sz w:val="20"/>
                <w:szCs w:val="20"/>
                <w:color w:val="auto"/>
              </w:rPr>
            </w:pPr>
            <w:r>
              <w:rPr>
                <w:rFonts w:ascii="Arial" w:cs="Arial" w:eastAsia="Arial" w:hAnsi="Arial"/>
                <w:sz w:val="16"/>
                <w:szCs w:val="16"/>
                <w:b w:val="1"/>
                <w:bCs w:val="1"/>
                <w:color w:val="auto"/>
              </w:rPr>
              <w:t>1,207</w:t>
            </w:r>
          </w:p>
        </w:tc>
        <w:tc>
          <w:tcPr>
            <w:tcW w:w="560" w:type="dxa"/>
            <w:vAlign w:val="bottom"/>
            <w:tcBorders>
              <w:bottom w:val="single" w:sz="8" w:color="7F7F7F"/>
            </w:tcBorders>
            <w:shd w:val="clear" w:color="auto" w:fill="CCEEFF"/>
          </w:tcPr>
          <w:p>
            <w:pPr>
              <w:jc w:val="right"/>
              <w:ind w:right="321"/>
              <w:spacing w:after="0" w:line="171"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7F7F7F"/>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 w:name="page6"/>
    <w:bookmarkEnd w:id="5"/>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Changes in Common Shareholders’ Equity (Unaudited)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Union Pacific Corporation and Subsidiary Companies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446"/>
        </w:trPr>
        <w:tc>
          <w:tcPr>
            <w:tcW w:w="3320" w:type="dxa"/>
            <w:vAlign w:val="bottom"/>
            <w:tcBorders>
              <w:top w:val="single" w:sz="8" w:color="7F7F7F"/>
              <w:right w:val="single" w:sz="8" w:color="808080"/>
            </w:tcBorders>
            <w:vMerge w:val="restart"/>
          </w:tcPr>
          <w:p>
            <w:pPr>
              <w:spacing w:after="0"/>
              <w:rPr>
                <w:sz w:val="20"/>
                <w:szCs w:val="20"/>
                <w:color w:val="auto"/>
              </w:rPr>
            </w:pPr>
            <w:r>
              <w:rPr>
                <w:rFonts w:ascii="Arial" w:cs="Arial" w:eastAsia="Arial" w:hAnsi="Arial"/>
                <w:sz w:val="16"/>
                <w:szCs w:val="16"/>
                <w:i w:val="1"/>
                <w:iCs w:val="1"/>
                <w:color w:val="auto"/>
              </w:rPr>
              <w:t>Millions</w:t>
            </w:r>
          </w:p>
        </w:tc>
        <w:tc>
          <w:tcPr>
            <w:tcW w:w="980" w:type="dxa"/>
            <w:vAlign w:val="bottom"/>
            <w:tcBorders>
              <w:top w:val="single" w:sz="8" w:color="7F7F7F"/>
            </w:tcBorders>
          </w:tcPr>
          <w:p>
            <w:pPr>
              <w:jc w:val="right"/>
              <w:ind w:right="41"/>
              <w:spacing w:after="0"/>
              <w:rPr>
                <w:sz w:val="20"/>
                <w:szCs w:val="20"/>
                <w:color w:val="auto"/>
              </w:rPr>
            </w:pPr>
            <w:r>
              <w:rPr>
                <w:rFonts w:ascii="Arial" w:cs="Arial" w:eastAsia="Arial" w:hAnsi="Arial"/>
                <w:sz w:val="16"/>
                <w:szCs w:val="16"/>
                <w:i w:val="1"/>
                <w:iCs w:val="1"/>
                <w:color w:val="auto"/>
              </w:rPr>
              <w:t>Common</w:t>
            </w:r>
          </w:p>
        </w:tc>
        <w:tc>
          <w:tcPr>
            <w:tcW w:w="860" w:type="dxa"/>
            <w:vAlign w:val="bottom"/>
            <w:tcBorders>
              <w:top w:val="single" w:sz="8" w:color="7F7F7F"/>
              <w:right w:val="single" w:sz="8" w:color="7F7F7F"/>
            </w:tcBorders>
          </w:tcPr>
          <w:p>
            <w:pPr>
              <w:jc w:val="right"/>
              <w:ind w:right="61"/>
              <w:spacing w:after="0"/>
              <w:rPr>
                <w:sz w:val="20"/>
                <w:szCs w:val="20"/>
                <w:color w:val="auto"/>
              </w:rPr>
            </w:pPr>
            <w:r>
              <w:rPr>
                <w:rFonts w:ascii="Arial" w:cs="Arial" w:eastAsia="Arial" w:hAnsi="Arial"/>
                <w:sz w:val="16"/>
                <w:szCs w:val="16"/>
                <w:i w:val="1"/>
                <w:iCs w:val="1"/>
                <w:color w:val="auto"/>
              </w:rPr>
              <w:t>Treasury</w:t>
            </w:r>
          </w:p>
        </w:tc>
        <w:tc>
          <w:tcPr>
            <w:tcW w:w="1100" w:type="dxa"/>
            <w:vAlign w:val="bottom"/>
            <w:tcBorders>
              <w:top w:val="single" w:sz="8" w:color="7F7F7F"/>
            </w:tcBorders>
            <w:gridSpan w:val="2"/>
          </w:tcPr>
          <w:p>
            <w:pPr>
              <w:jc w:val="right"/>
              <w:ind w:right="81"/>
              <w:spacing w:after="0"/>
              <w:rPr>
                <w:sz w:val="20"/>
                <w:szCs w:val="20"/>
                <w:color w:val="auto"/>
              </w:rPr>
            </w:pPr>
            <w:r>
              <w:rPr>
                <w:rFonts w:ascii="Arial" w:cs="Arial" w:eastAsia="Arial" w:hAnsi="Arial"/>
                <w:sz w:val="16"/>
                <w:szCs w:val="16"/>
                <w:i w:val="1"/>
                <w:iCs w:val="1"/>
                <w:color w:val="auto"/>
              </w:rPr>
              <w:t>Common</w:t>
            </w:r>
          </w:p>
        </w:tc>
        <w:tc>
          <w:tcPr>
            <w:tcW w:w="240" w:type="dxa"/>
            <w:vAlign w:val="bottom"/>
            <w:tcBorders>
              <w:top w:val="single" w:sz="8" w:color="7F7F7F"/>
            </w:tcBorders>
          </w:tcPr>
          <w:p>
            <w:pPr>
              <w:spacing w:after="0"/>
              <w:rPr>
                <w:sz w:val="24"/>
                <w:szCs w:val="24"/>
                <w:color w:val="auto"/>
              </w:rPr>
            </w:pPr>
          </w:p>
        </w:tc>
        <w:tc>
          <w:tcPr>
            <w:tcW w:w="680" w:type="dxa"/>
            <w:vAlign w:val="bottom"/>
            <w:tcBorders>
              <w:top w:val="single" w:sz="8" w:color="7F7F7F"/>
            </w:tcBorders>
          </w:tcPr>
          <w:p>
            <w:pPr>
              <w:jc w:val="right"/>
              <w:ind w:right="61"/>
              <w:spacing w:after="0"/>
              <w:rPr>
                <w:sz w:val="20"/>
                <w:szCs w:val="20"/>
                <w:color w:val="auto"/>
              </w:rPr>
            </w:pPr>
            <w:r>
              <w:rPr>
                <w:rFonts w:ascii="Arial" w:cs="Arial" w:eastAsia="Arial" w:hAnsi="Arial"/>
                <w:sz w:val="16"/>
                <w:szCs w:val="16"/>
                <w:i w:val="1"/>
                <w:iCs w:val="1"/>
                <w:color w:val="auto"/>
                <w:w w:val="94"/>
              </w:rPr>
              <w:t>Paid-in-</w:t>
            </w:r>
          </w:p>
        </w:tc>
        <w:tc>
          <w:tcPr>
            <w:tcW w:w="1040" w:type="dxa"/>
            <w:vAlign w:val="bottom"/>
            <w:tcBorders>
              <w:top w:val="single" w:sz="8" w:color="7F7F7F"/>
            </w:tcBorders>
            <w:gridSpan w:val="2"/>
          </w:tcPr>
          <w:p>
            <w:pPr>
              <w:jc w:val="right"/>
              <w:ind w:right="121"/>
              <w:spacing w:after="0"/>
              <w:rPr>
                <w:sz w:val="20"/>
                <w:szCs w:val="20"/>
                <w:color w:val="auto"/>
              </w:rPr>
            </w:pPr>
            <w:r>
              <w:rPr>
                <w:rFonts w:ascii="Arial" w:cs="Arial" w:eastAsia="Arial" w:hAnsi="Arial"/>
                <w:sz w:val="16"/>
                <w:szCs w:val="16"/>
                <w:i w:val="1"/>
                <w:iCs w:val="1"/>
                <w:color w:val="auto"/>
              </w:rPr>
              <w:t>Retained</w:t>
            </w:r>
          </w:p>
        </w:tc>
        <w:tc>
          <w:tcPr>
            <w:tcW w:w="300" w:type="dxa"/>
            <w:vAlign w:val="bottom"/>
            <w:tcBorders>
              <w:top w:val="single" w:sz="8" w:color="7F7F7F"/>
            </w:tcBorders>
          </w:tcPr>
          <w:p>
            <w:pPr>
              <w:spacing w:after="0"/>
              <w:rPr>
                <w:sz w:val="24"/>
                <w:szCs w:val="24"/>
                <w:color w:val="auto"/>
              </w:rPr>
            </w:pPr>
          </w:p>
        </w:tc>
        <w:tc>
          <w:tcPr>
            <w:tcW w:w="800" w:type="dxa"/>
            <w:vAlign w:val="bottom"/>
            <w:tcBorders>
              <w:top w:val="single" w:sz="8" w:color="7F7F7F"/>
            </w:tcBorders>
          </w:tcPr>
          <w:p>
            <w:pPr>
              <w:spacing w:after="0"/>
              <w:rPr>
                <w:sz w:val="24"/>
                <w:szCs w:val="24"/>
                <w:color w:val="auto"/>
              </w:rPr>
            </w:pPr>
          </w:p>
        </w:tc>
        <w:tc>
          <w:tcPr>
            <w:tcW w:w="280" w:type="dxa"/>
            <w:vAlign w:val="bottom"/>
            <w:tcBorders>
              <w:top w:val="single" w:sz="8" w:color="7F7F7F"/>
            </w:tcBorders>
          </w:tcPr>
          <w:p>
            <w:pPr>
              <w:spacing w:after="0"/>
              <w:rPr>
                <w:sz w:val="24"/>
                <w:szCs w:val="24"/>
                <w:color w:val="auto"/>
              </w:rPr>
            </w:pPr>
          </w:p>
        </w:tc>
        <w:tc>
          <w:tcPr>
            <w:tcW w:w="720" w:type="dxa"/>
            <w:vAlign w:val="bottom"/>
            <w:tcBorders>
              <w:top w:val="single" w:sz="8" w:color="7F7F7F"/>
            </w:tcBorders>
          </w:tcPr>
          <w:p>
            <w:pPr>
              <w:jc w:val="right"/>
              <w:ind w:right="121"/>
              <w:spacing w:after="0"/>
              <w:rPr>
                <w:sz w:val="20"/>
                <w:szCs w:val="20"/>
                <w:color w:val="auto"/>
              </w:rPr>
            </w:pPr>
            <w:r>
              <w:rPr>
                <w:rFonts w:ascii="Arial" w:cs="Arial" w:eastAsia="Arial" w:hAnsi="Arial"/>
                <w:sz w:val="16"/>
                <w:szCs w:val="16"/>
                <w:i w:val="1"/>
                <w:iCs w:val="1"/>
                <w:color w:val="auto"/>
              </w:rPr>
              <w:t>AOCI</w:t>
            </w:r>
          </w:p>
        </w:tc>
        <w:tc>
          <w:tcPr>
            <w:tcW w:w="320" w:type="dxa"/>
            <w:vAlign w:val="bottom"/>
            <w:tcBorders>
              <w:top w:val="single" w:sz="8" w:color="7F7F7F"/>
            </w:tcBorders>
          </w:tcPr>
          <w:p>
            <w:pPr>
              <w:spacing w:after="0"/>
              <w:rPr>
                <w:sz w:val="24"/>
                <w:szCs w:val="24"/>
                <w:color w:val="auto"/>
              </w:rPr>
            </w:pPr>
          </w:p>
        </w:tc>
        <w:tc>
          <w:tcPr>
            <w:tcW w:w="600" w:type="dxa"/>
            <w:vAlign w:val="bottom"/>
            <w:tcBorders>
              <w:top w:val="single" w:sz="8" w:color="7F7F7F"/>
            </w:tcBorders>
            <w:vMerge w:val="restart"/>
          </w:tcPr>
          <w:p>
            <w:pPr>
              <w:jc w:val="right"/>
              <w:spacing w:after="0"/>
              <w:rPr>
                <w:sz w:val="20"/>
                <w:szCs w:val="20"/>
                <w:color w:val="auto"/>
              </w:rPr>
            </w:pPr>
            <w:r>
              <w:rPr>
                <w:rFonts w:ascii="Arial" w:cs="Arial" w:eastAsia="Arial" w:hAnsi="Arial"/>
                <w:sz w:val="16"/>
                <w:szCs w:val="16"/>
                <w:i w:val="1"/>
                <w:iCs w:val="1"/>
                <w:color w:val="auto"/>
              </w:rPr>
              <w:t>Total</w:t>
            </w:r>
          </w:p>
        </w:tc>
        <w:tc>
          <w:tcPr>
            <w:tcW w:w="0" w:type="dxa"/>
            <w:vAlign w:val="bottom"/>
          </w:tcPr>
          <w:p>
            <w:pPr>
              <w:spacing w:after="0"/>
              <w:rPr>
                <w:sz w:val="1"/>
                <w:szCs w:val="1"/>
                <w:color w:val="auto"/>
              </w:rPr>
            </w:pPr>
          </w:p>
        </w:tc>
      </w:tr>
      <w:tr>
        <w:trPr>
          <w:trHeight w:val="190"/>
        </w:trPr>
        <w:tc>
          <w:tcPr>
            <w:tcW w:w="3320" w:type="dxa"/>
            <w:vAlign w:val="bottom"/>
            <w:tcBorders>
              <w:bottom w:val="single" w:sz="8" w:color="7F7F7F"/>
              <w:right w:val="single" w:sz="8" w:color="808080"/>
            </w:tcBorders>
            <w:vMerge w:val="continue"/>
          </w:tcPr>
          <w:p>
            <w:pPr>
              <w:spacing w:after="0"/>
              <w:rPr>
                <w:sz w:val="16"/>
                <w:szCs w:val="16"/>
                <w:color w:val="auto"/>
              </w:rPr>
            </w:pPr>
          </w:p>
        </w:tc>
        <w:tc>
          <w:tcPr>
            <w:tcW w:w="98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i w:val="1"/>
                <w:iCs w:val="1"/>
                <w:color w:val="auto"/>
              </w:rPr>
              <w:t>Shares</w:t>
            </w:r>
          </w:p>
        </w:tc>
        <w:tc>
          <w:tcPr>
            <w:tcW w:w="860" w:type="dxa"/>
            <w:vAlign w:val="bottom"/>
            <w:tcBorders>
              <w:bottom w:val="single" w:sz="8" w:color="7F7F7F"/>
              <w:right w:val="single" w:sz="8" w:color="7F7F7F"/>
            </w:tcBorders>
          </w:tcPr>
          <w:p>
            <w:pPr>
              <w:jc w:val="right"/>
              <w:ind w:right="61"/>
              <w:spacing w:after="0"/>
              <w:rPr>
                <w:sz w:val="20"/>
                <w:szCs w:val="20"/>
                <w:color w:val="auto"/>
              </w:rPr>
            </w:pPr>
            <w:r>
              <w:rPr>
                <w:rFonts w:ascii="Arial" w:cs="Arial" w:eastAsia="Arial" w:hAnsi="Arial"/>
                <w:sz w:val="16"/>
                <w:szCs w:val="16"/>
                <w:i w:val="1"/>
                <w:iCs w:val="1"/>
                <w:color w:val="auto"/>
              </w:rPr>
              <w:t>Shares</w:t>
            </w:r>
          </w:p>
        </w:tc>
        <w:tc>
          <w:tcPr>
            <w:tcW w:w="44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i w:val="1"/>
                <w:iCs w:val="1"/>
                <w:color w:val="auto"/>
              </w:rPr>
              <w:t>Shares</w:t>
            </w:r>
          </w:p>
        </w:tc>
        <w:tc>
          <w:tcPr>
            <w:tcW w:w="240" w:type="dxa"/>
            <w:vAlign w:val="bottom"/>
            <w:tcBorders>
              <w:bottom w:val="single" w:sz="8" w:color="7F7F7F"/>
            </w:tcBorders>
          </w:tcPr>
          <w:p>
            <w:pPr>
              <w:spacing w:after="0"/>
              <w:rPr>
                <w:sz w:val="16"/>
                <w:szCs w:val="16"/>
                <w:color w:val="auto"/>
              </w:rPr>
            </w:pPr>
          </w:p>
        </w:tc>
        <w:tc>
          <w:tcPr>
            <w:tcW w:w="680" w:type="dxa"/>
            <w:vAlign w:val="bottom"/>
            <w:tcBorders>
              <w:bottom w:val="single" w:sz="8" w:color="7F7F7F"/>
            </w:tcBorders>
          </w:tcPr>
          <w:p>
            <w:pPr>
              <w:jc w:val="right"/>
              <w:ind w:right="61"/>
              <w:spacing w:after="0"/>
              <w:rPr>
                <w:sz w:val="20"/>
                <w:szCs w:val="20"/>
                <w:color w:val="auto"/>
              </w:rPr>
            </w:pPr>
            <w:r>
              <w:rPr>
                <w:rFonts w:ascii="Arial" w:cs="Arial" w:eastAsia="Arial" w:hAnsi="Arial"/>
                <w:sz w:val="16"/>
                <w:szCs w:val="16"/>
                <w:i w:val="1"/>
                <w:iCs w:val="1"/>
                <w:color w:val="auto"/>
                <w:w w:val="95"/>
              </w:rPr>
              <w:t>Surplus</w:t>
            </w:r>
          </w:p>
        </w:tc>
        <w:tc>
          <w:tcPr>
            <w:tcW w:w="260" w:type="dxa"/>
            <w:vAlign w:val="bottom"/>
            <w:tcBorders>
              <w:bottom w:val="single" w:sz="8" w:color="7F7F7F"/>
            </w:tcBorders>
          </w:tcPr>
          <w:p>
            <w:pPr>
              <w:spacing w:after="0"/>
              <w:rPr>
                <w:sz w:val="16"/>
                <w:szCs w:val="16"/>
                <w:color w:val="auto"/>
              </w:rPr>
            </w:pPr>
          </w:p>
        </w:tc>
        <w:tc>
          <w:tcPr>
            <w:tcW w:w="1880" w:type="dxa"/>
            <w:vAlign w:val="bottom"/>
            <w:tcBorders>
              <w:bottom w:val="single" w:sz="8" w:color="7F7F7F"/>
            </w:tcBorders>
            <w:gridSpan w:val="3"/>
          </w:tcPr>
          <w:p>
            <w:pPr>
              <w:jc w:val="right"/>
              <w:ind w:right="61"/>
              <w:spacing w:after="0"/>
              <w:rPr>
                <w:sz w:val="20"/>
                <w:szCs w:val="20"/>
                <w:color w:val="auto"/>
              </w:rPr>
            </w:pPr>
            <w:r>
              <w:rPr>
                <w:rFonts w:ascii="Arial" w:cs="Arial" w:eastAsia="Arial" w:hAnsi="Arial"/>
                <w:sz w:val="16"/>
                <w:szCs w:val="16"/>
                <w:i w:val="1"/>
                <w:iCs w:val="1"/>
                <w:color w:val="auto"/>
                <w:w w:val="98"/>
              </w:rPr>
              <w:t>Earnings Treasury Stock</w:t>
            </w:r>
          </w:p>
        </w:tc>
        <w:tc>
          <w:tcPr>
            <w:tcW w:w="280" w:type="dxa"/>
            <w:vAlign w:val="bottom"/>
            <w:tcBorders>
              <w:bottom w:val="single" w:sz="8" w:color="7F7F7F"/>
            </w:tcBorders>
          </w:tcPr>
          <w:p>
            <w:pPr>
              <w:spacing w:after="0"/>
              <w:rPr>
                <w:sz w:val="16"/>
                <w:szCs w:val="16"/>
                <w:color w:val="auto"/>
              </w:rPr>
            </w:pPr>
          </w:p>
        </w:tc>
        <w:tc>
          <w:tcPr>
            <w:tcW w:w="720" w:type="dxa"/>
            <w:vAlign w:val="bottom"/>
            <w:tcBorders>
              <w:bottom w:val="single" w:sz="8" w:color="7F7F7F"/>
            </w:tcBorders>
          </w:tcPr>
          <w:p>
            <w:pPr>
              <w:jc w:val="right"/>
              <w:ind w:right="81"/>
              <w:spacing w:after="0"/>
              <w:rPr>
                <w:sz w:val="20"/>
                <w:szCs w:val="20"/>
                <w:color w:val="auto"/>
              </w:rPr>
            </w:pPr>
            <w:r>
              <w:rPr>
                <w:rFonts w:ascii="Arial" w:cs="Arial" w:eastAsia="Arial" w:hAnsi="Arial"/>
                <w:sz w:val="16"/>
                <w:szCs w:val="16"/>
                <w:i w:val="1"/>
                <w:iCs w:val="1"/>
                <w:color w:val="auto"/>
              </w:rPr>
              <w:t>[a]</w:t>
            </w:r>
          </w:p>
        </w:tc>
        <w:tc>
          <w:tcPr>
            <w:tcW w:w="320" w:type="dxa"/>
            <w:vAlign w:val="bottom"/>
            <w:tcBorders>
              <w:bottom w:val="single" w:sz="8" w:color="7F7F7F"/>
            </w:tcBorders>
          </w:tcPr>
          <w:p>
            <w:pPr>
              <w:spacing w:after="0"/>
              <w:rPr>
                <w:sz w:val="16"/>
                <w:szCs w:val="16"/>
                <w:color w:val="auto"/>
              </w:rPr>
            </w:pPr>
          </w:p>
        </w:tc>
        <w:tc>
          <w:tcPr>
            <w:tcW w:w="600" w:type="dxa"/>
            <w:vAlign w:val="bottom"/>
            <w:tcBorders>
              <w:bottom w:val="single" w:sz="8" w:color="7F7F7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20" w:type="dxa"/>
            <w:vAlign w:val="bottom"/>
            <w:tcBorders>
              <w:bottom w:val="single" w:sz="8" w:color="7F7F7F"/>
              <w:right w:val="single" w:sz="8" w:color="808080"/>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2019</w:t>
            </w:r>
          </w:p>
        </w:tc>
        <w:tc>
          <w:tcPr>
            <w:tcW w:w="980" w:type="dxa"/>
            <w:vAlign w:val="bottom"/>
            <w:tcBorders>
              <w:bottom w:val="single" w:sz="8" w:color="7F7F7F"/>
            </w:tcBorders>
            <w:shd w:val="clear" w:color="auto" w:fill="CCEEFF"/>
          </w:tcPr>
          <w:p>
            <w:pPr>
              <w:jc w:val="right"/>
              <w:ind w:right="81"/>
              <w:spacing w:after="0"/>
              <w:rPr>
                <w:sz w:val="20"/>
                <w:szCs w:val="20"/>
                <w:color w:val="auto"/>
              </w:rPr>
            </w:pPr>
            <w:r>
              <w:rPr>
                <w:rFonts w:ascii="Arial" w:cs="Arial" w:eastAsia="Arial" w:hAnsi="Arial"/>
                <w:sz w:val="16"/>
                <w:szCs w:val="16"/>
                <w:color w:val="auto"/>
              </w:rPr>
              <w:t>1,111.7</w:t>
            </w:r>
          </w:p>
        </w:tc>
        <w:tc>
          <w:tcPr>
            <w:tcW w:w="860" w:type="dxa"/>
            <w:vAlign w:val="bottom"/>
            <w:tcBorders>
              <w:bottom w:val="single" w:sz="8" w:color="7F7F7F"/>
              <w:right w:val="single" w:sz="8" w:color="7F7F7F"/>
            </w:tcBorders>
            <w:shd w:val="clear" w:color="auto" w:fill="CCEEFF"/>
          </w:tcPr>
          <w:p>
            <w:pPr>
              <w:jc w:val="right"/>
              <w:ind w:right="61"/>
              <w:spacing w:after="0"/>
              <w:rPr>
                <w:sz w:val="20"/>
                <w:szCs w:val="20"/>
                <w:color w:val="auto"/>
              </w:rPr>
            </w:pPr>
            <w:r>
              <w:rPr>
                <w:rFonts w:ascii="Arial" w:cs="Arial" w:eastAsia="Arial" w:hAnsi="Arial"/>
                <w:sz w:val="16"/>
                <w:szCs w:val="16"/>
                <w:color w:val="auto"/>
              </w:rPr>
              <w:t>(386.6)</w:t>
            </w:r>
          </w:p>
        </w:tc>
        <w:tc>
          <w:tcPr>
            <w:tcW w:w="4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7F7F7F"/>
            </w:tcBorders>
            <w:shd w:val="clear" w:color="auto" w:fill="CCEEFF"/>
          </w:tcPr>
          <w:p>
            <w:pPr>
              <w:jc w:val="right"/>
              <w:ind w:right="81"/>
              <w:spacing w:after="0"/>
              <w:rPr>
                <w:sz w:val="20"/>
                <w:szCs w:val="20"/>
                <w:color w:val="auto"/>
              </w:rPr>
            </w:pPr>
            <w:r>
              <w:rPr>
                <w:rFonts w:ascii="Arial" w:cs="Arial" w:eastAsia="Arial" w:hAnsi="Arial"/>
                <w:sz w:val="16"/>
                <w:szCs w:val="16"/>
                <w:color w:val="auto"/>
              </w:rPr>
              <w:t>2,779</w:t>
            </w:r>
          </w:p>
        </w:tc>
        <w:tc>
          <w:tcPr>
            <w:tcW w:w="2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7F7F7F"/>
            </w:tcBorders>
            <w:shd w:val="clear" w:color="auto" w:fill="CCEEFF"/>
          </w:tcPr>
          <w:p>
            <w:pPr>
              <w:jc w:val="right"/>
              <w:ind w:right="101"/>
              <w:spacing w:after="0"/>
              <w:rPr>
                <w:sz w:val="20"/>
                <w:szCs w:val="20"/>
                <w:color w:val="auto"/>
              </w:rPr>
            </w:pPr>
            <w:r>
              <w:rPr>
                <w:rFonts w:ascii="Arial" w:cs="Arial" w:eastAsia="Arial" w:hAnsi="Arial"/>
                <w:sz w:val="16"/>
                <w:szCs w:val="16"/>
                <w:color w:val="auto"/>
              </w:rPr>
              <w:t>4,449</w:t>
            </w:r>
          </w:p>
        </w:tc>
        <w:tc>
          <w:tcPr>
            <w:tcW w:w="2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ind w:right="121"/>
              <w:spacing w:after="0"/>
              <w:rPr>
                <w:sz w:val="20"/>
                <w:szCs w:val="20"/>
                <w:color w:val="auto"/>
              </w:rPr>
            </w:pPr>
            <w:r>
              <w:rPr>
                <w:rFonts w:ascii="Arial" w:cs="Arial" w:eastAsia="Arial" w:hAnsi="Arial"/>
                <w:sz w:val="16"/>
                <w:szCs w:val="16"/>
                <w:color w:val="auto"/>
              </w:rPr>
              <w:t>45,284</w:t>
            </w:r>
          </w:p>
        </w:tc>
        <w:tc>
          <w:tcPr>
            <w:tcW w:w="3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shd w:val="clear" w:color="auto" w:fill="CCEEFF"/>
          </w:tcPr>
          <w:p>
            <w:pPr>
              <w:jc w:val="right"/>
              <w:ind w:right="61"/>
              <w:spacing w:after="0"/>
              <w:rPr>
                <w:sz w:val="20"/>
                <w:szCs w:val="20"/>
                <w:color w:val="auto"/>
              </w:rPr>
            </w:pPr>
            <w:r>
              <w:rPr>
                <w:rFonts w:ascii="Arial" w:cs="Arial" w:eastAsia="Arial" w:hAnsi="Arial"/>
                <w:sz w:val="16"/>
                <w:szCs w:val="16"/>
                <w:color w:val="auto"/>
              </w:rPr>
              <w:t>(30,674)</w:t>
            </w:r>
          </w:p>
        </w:tc>
        <w:tc>
          <w:tcPr>
            <w:tcW w:w="2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7F7F7F"/>
            </w:tcBorders>
            <w:shd w:val="clear" w:color="auto" w:fill="CCEEFF"/>
          </w:tcPr>
          <w:p>
            <w:pPr>
              <w:jc w:val="right"/>
              <w:ind w:right="81"/>
              <w:spacing w:after="0"/>
              <w:rPr>
                <w:sz w:val="20"/>
                <w:szCs w:val="20"/>
                <w:color w:val="auto"/>
              </w:rPr>
            </w:pPr>
            <w:r>
              <w:rPr>
                <w:rFonts w:ascii="Arial" w:cs="Arial" w:eastAsia="Arial" w:hAnsi="Arial"/>
                <w:sz w:val="16"/>
                <w:szCs w:val="16"/>
                <w:color w:val="auto"/>
              </w:rPr>
              <w:t>(1,415)</w:t>
            </w:r>
          </w:p>
        </w:tc>
        <w:tc>
          <w:tcPr>
            <w:tcW w:w="320" w:type="dxa"/>
            <w:vAlign w:val="bottom"/>
            <w:tcBorders>
              <w:bottom w:val="single" w:sz="8" w:color="7F7F7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20,423</w:t>
            </w:r>
          </w:p>
        </w:tc>
        <w:tc>
          <w:tcPr>
            <w:tcW w:w="0" w:type="dxa"/>
            <w:vAlign w:val="bottom"/>
          </w:tcPr>
          <w:p>
            <w:pPr>
              <w:spacing w:after="0"/>
              <w:rPr>
                <w:sz w:val="1"/>
                <w:szCs w:val="1"/>
                <w:color w:val="auto"/>
              </w:rPr>
            </w:pPr>
          </w:p>
        </w:tc>
      </w:tr>
      <w:tr>
        <w:trPr>
          <w:trHeight w:val="193"/>
        </w:trPr>
        <w:tc>
          <w:tcPr>
            <w:tcW w:w="3320" w:type="dxa"/>
            <w:vAlign w:val="bottom"/>
            <w:tcBorders>
              <w:right w:val="single" w:sz="8" w:color="808080"/>
            </w:tcBorders>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tcPr>
          <w:p>
            <w:pPr>
              <w:spacing w:after="0"/>
              <w:rPr>
                <w:sz w:val="16"/>
                <w:szCs w:val="16"/>
                <w:color w:val="auto"/>
              </w:rPr>
            </w:pPr>
          </w:p>
        </w:tc>
        <w:tc>
          <w:tcPr>
            <w:tcW w:w="860" w:type="dxa"/>
            <w:vAlign w:val="bottom"/>
            <w:tcBorders>
              <w:right w:val="single" w:sz="8" w:color="7F7F7F"/>
            </w:tcBorders>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1,391</w:t>
            </w:r>
          </w:p>
        </w:tc>
        <w:tc>
          <w:tcPr>
            <w:tcW w:w="30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213"/>
        </w:trPr>
        <w:tc>
          <w:tcPr>
            <w:tcW w:w="3320" w:type="dxa"/>
            <w:vAlign w:val="bottom"/>
            <w:tcBorders>
              <w:right w:val="single" w:sz="8" w:color="808080"/>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980" w:type="dxa"/>
            <w:vAlign w:val="bottom"/>
            <w:shd w:val="clear" w:color="auto" w:fill="CCEEFF"/>
          </w:tcPr>
          <w:p>
            <w:pPr>
              <w:spacing w:after="0"/>
              <w:rPr>
                <w:sz w:val="18"/>
                <w:szCs w:val="18"/>
                <w:color w:val="auto"/>
              </w:rPr>
            </w:pPr>
          </w:p>
        </w:tc>
        <w:tc>
          <w:tcPr>
            <w:tcW w:w="860" w:type="dxa"/>
            <w:vAlign w:val="bottom"/>
            <w:tcBorders>
              <w:right w:val="single" w:sz="8" w:color="7F7F7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9"/>
        </w:trPr>
        <w:tc>
          <w:tcPr>
            <w:tcW w:w="3320" w:type="dxa"/>
            <w:vAlign w:val="bottom"/>
            <w:tcBorders>
              <w:right w:val="single" w:sz="8" w:color="808080"/>
            </w:tcBorders>
          </w:tcPr>
          <w:p>
            <w:pPr>
              <w:ind w:left="40"/>
              <w:spacing w:after="0"/>
              <w:rPr>
                <w:sz w:val="20"/>
                <w:szCs w:val="20"/>
                <w:color w:val="auto"/>
              </w:rPr>
            </w:pPr>
            <w:r>
              <w:rPr>
                <w:rFonts w:ascii="Arial" w:cs="Arial" w:eastAsia="Arial" w:hAnsi="Arial"/>
                <w:sz w:val="16"/>
                <w:szCs w:val="16"/>
                <w:color w:val="auto"/>
              </w:rPr>
              <w:t>Conversion, stock option</w:t>
            </w:r>
          </w:p>
        </w:tc>
        <w:tc>
          <w:tcPr>
            <w:tcW w:w="980" w:type="dxa"/>
            <w:vAlign w:val="bottom"/>
            <w:vMerge w:val="restart"/>
          </w:tcPr>
          <w:p>
            <w:pPr>
              <w:jc w:val="right"/>
              <w:ind w:right="81"/>
              <w:spacing w:after="0"/>
              <w:rPr>
                <w:sz w:val="20"/>
                <w:szCs w:val="20"/>
                <w:color w:val="auto"/>
              </w:rPr>
            </w:pPr>
            <w:r>
              <w:rPr>
                <w:rFonts w:ascii="Arial" w:cs="Arial" w:eastAsia="Arial" w:hAnsi="Arial"/>
                <w:sz w:val="16"/>
                <w:szCs w:val="16"/>
                <w:color w:val="auto"/>
              </w:rPr>
              <w:t>0.3</w:t>
            </w:r>
          </w:p>
        </w:tc>
        <w:tc>
          <w:tcPr>
            <w:tcW w:w="860" w:type="dxa"/>
            <w:vAlign w:val="bottom"/>
            <w:tcBorders>
              <w:right w:val="single" w:sz="8" w:color="7F7F7F"/>
            </w:tcBorders>
            <w:vMerge w:val="restart"/>
          </w:tcPr>
          <w:p>
            <w:pPr>
              <w:jc w:val="right"/>
              <w:ind w:right="101"/>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17"/>
                <w:szCs w:val="17"/>
                <w:color w:val="auto"/>
              </w:rPr>
            </w:pPr>
          </w:p>
        </w:tc>
        <w:tc>
          <w:tcPr>
            <w:tcW w:w="660" w:type="dxa"/>
            <w:vAlign w:val="bottom"/>
            <w:vMerge w:val="restart"/>
          </w:tcPr>
          <w:p>
            <w:pPr>
              <w:jc w:val="right"/>
              <w:ind w:right="81"/>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680" w:type="dxa"/>
            <w:vAlign w:val="bottom"/>
            <w:vMerge w:val="restart"/>
          </w:tcPr>
          <w:p>
            <w:pPr>
              <w:jc w:val="right"/>
              <w:ind w:right="61"/>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7"/>
                <w:szCs w:val="17"/>
                <w:color w:val="auto"/>
              </w:rPr>
            </w:pPr>
          </w:p>
        </w:tc>
        <w:tc>
          <w:tcPr>
            <w:tcW w:w="78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00" w:type="dxa"/>
            <w:vAlign w:val="bottom"/>
            <w:vMerge w:val="restart"/>
          </w:tcPr>
          <w:p>
            <w:pPr>
              <w:jc w:val="right"/>
              <w:ind w:right="121"/>
              <w:spacing w:after="0"/>
              <w:rPr>
                <w:sz w:val="20"/>
                <w:szCs w:val="20"/>
                <w:color w:val="auto"/>
              </w:rPr>
            </w:pPr>
            <w:r>
              <w:rPr>
                <w:rFonts w:ascii="Arial" w:cs="Arial" w:eastAsia="Arial" w:hAnsi="Arial"/>
                <w:sz w:val="16"/>
                <w:szCs w:val="16"/>
                <w:color w:val="auto"/>
              </w:rPr>
              <w:t>45</w:t>
            </w:r>
          </w:p>
        </w:tc>
        <w:tc>
          <w:tcPr>
            <w:tcW w:w="280" w:type="dxa"/>
            <w:vAlign w:val="bottom"/>
          </w:tcPr>
          <w:p>
            <w:pPr>
              <w:spacing w:after="0"/>
              <w:rPr>
                <w:sz w:val="17"/>
                <w:szCs w:val="17"/>
                <w:color w:val="auto"/>
              </w:rPr>
            </w:pPr>
          </w:p>
        </w:tc>
        <w:tc>
          <w:tcPr>
            <w:tcW w:w="72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10"/>
        </w:trPr>
        <w:tc>
          <w:tcPr>
            <w:tcW w:w="3320" w:type="dxa"/>
            <w:vAlign w:val="bottom"/>
            <w:tcBorders>
              <w:right w:val="single" w:sz="8" w:color="808080"/>
            </w:tcBorders>
            <w:vMerge w:val="restart"/>
          </w:tcPr>
          <w:p>
            <w:pPr>
              <w:ind w:left="180"/>
              <w:spacing w:after="0"/>
              <w:rPr>
                <w:sz w:val="20"/>
                <w:szCs w:val="20"/>
                <w:color w:val="auto"/>
              </w:rPr>
            </w:pPr>
            <w:r>
              <w:rPr>
                <w:rFonts w:ascii="Arial" w:cs="Arial" w:eastAsia="Arial" w:hAnsi="Arial"/>
                <w:sz w:val="16"/>
                <w:szCs w:val="16"/>
                <w:color w:val="auto"/>
              </w:rPr>
              <w:t>exercises, forfeitures, and other</w:t>
            </w:r>
          </w:p>
        </w:tc>
        <w:tc>
          <w:tcPr>
            <w:tcW w:w="980" w:type="dxa"/>
            <w:vAlign w:val="bottom"/>
            <w:vMerge w:val="continue"/>
          </w:tcPr>
          <w:p>
            <w:pPr>
              <w:spacing w:after="0"/>
              <w:rPr>
                <w:sz w:val="9"/>
                <w:szCs w:val="9"/>
                <w:color w:val="auto"/>
              </w:rPr>
            </w:pPr>
          </w:p>
        </w:tc>
        <w:tc>
          <w:tcPr>
            <w:tcW w:w="860" w:type="dxa"/>
            <w:vAlign w:val="bottom"/>
            <w:tcBorders>
              <w:right w:val="single" w:sz="8" w:color="7F7F7F"/>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320" w:type="dxa"/>
            <w:vAlign w:val="bottom"/>
            <w:tcBorders>
              <w:right w:val="single" w:sz="8" w:color="808080"/>
            </w:tcBorders>
            <w:vMerge w:val="continue"/>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Borders>
              <w:right w:val="single" w:sz="8" w:color="7F7F7F"/>
            </w:tcBorders>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320" w:type="dxa"/>
            <w:vAlign w:val="bottom"/>
            <w:tcBorders>
              <w:right w:val="single" w:sz="8" w:color="808080"/>
            </w:tcBorders>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Borders>
              <w:right w:val="single" w:sz="8" w:color="7F7F7F"/>
            </w:tcBorders>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320" w:type="dxa"/>
            <w:vAlign w:val="bottom"/>
            <w:tcBorders>
              <w:right w:val="single" w:sz="8" w:color="808080"/>
            </w:tcBorders>
            <w:shd w:val="clear" w:color="auto" w:fill="CCEEFF"/>
          </w:tcPr>
          <w:p>
            <w:pPr>
              <w:ind w:left="40"/>
              <w:spacing w:after="0"/>
              <w:rPr>
                <w:sz w:val="20"/>
                <w:szCs w:val="20"/>
                <w:color w:val="auto"/>
              </w:rPr>
            </w:pPr>
            <w:r>
              <w:rPr>
                <w:rFonts w:ascii="Arial" w:cs="Arial" w:eastAsia="Arial" w:hAnsi="Arial"/>
                <w:sz w:val="16"/>
                <w:szCs w:val="16"/>
                <w:color w:val="auto"/>
              </w:rPr>
              <w:t>Share repurchase programs</w:t>
            </w:r>
          </w:p>
        </w:tc>
        <w:tc>
          <w:tcPr>
            <w:tcW w:w="9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7F7F7F"/>
            </w:tcBorders>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(18.1)</w:t>
            </w:r>
          </w:p>
        </w:tc>
        <w:tc>
          <w:tcPr>
            <w:tcW w:w="4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(500)</w:t>
            </w:r>
          </w:p>
        </w:tc>
        <w:tc>
          <w:tcPr>
            <w:tcW w:w="2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(3,009)</w:t>
            </w:r>
          </w:p>
        </w:tc>
        <w:tc>
          <w:tcPr>
            <w:tcW w:w="2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110"/>
        </w:trPr>
        <w:tc>
          <w:tcPr>
            <w:tcW w:w="3320" w:type="dxa"/>
            <w:vAlign w:val="bottom"/>
            <w:tcBorders>
              <w:right w:val="single" w:sz="8" w:color="808080"/>
            </w:tcBorders>
            <w:vMerge w:val="restart"/>
            <w:shd w:val="clear" w:color="auto" w:fill="CCEEFF"/>
          </w:tcPr>
          <w:p>
            <w:pPr>
              <w:ind w:left="120"/>
              <w:spacing w:after="0"/>
              <w:rPr>
                <w:sz w:val="20"/>
                <w:szCs w:val="20"/>
                <w:color w:val="auto"/>
              </w:rPr>
            </w:pPr>
            <w:r>
              <w:rPr>
                <w:rFonts w:ascii="Arial" w:cs="Arial" w:eastAsia="Arial" w:hAnsi="Arial"/>
                <w:sz w:val="16"/>
                <w:szCs w:val="16"/>
                <w:color w:val="auto"/>
              </w:rPr>
              <w:t>(Note 18)</w:t>
            </w:r>
          </w:p>
        </w:tc>
        <w:tc>
          <w:tcPr>
            <w:tcW w:w="980" w:type="dxa"/>
            <w:vAlign w:val="bottom"/>
            <w:vMerge w:val="continue"/>
            <w:shd w:val="clear" w:color="auto" w:fill="CCEEFF"/>
          </w:tcPr>
          <w:p>
            <w:pPr>
              <w:spacing w:after="0"/>
              <w:rPr>
                <w:sz w:val="9"/>
                <w:szCs w:val="9"/>
                <w:color w:val="auto"/>
              </w:rPr>
            </w:pPr>
          </w:p>
        </w:tc>
        <w:tc>
          <w:tcPr>
            <w:tcW w:w="860" w:type="dxa"/>
            <w:vAlign w:val="bottom"/>
            <w:tcBorders>
              <w:right w:val="single" w:sz="8" w:color="7F7F7F"/>
            </w:tcBorders>
            <w:vMerge w:val="continue"/>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320" w:type="dxa"/>
            <w:vAlign w:val="bottom"/>
            <w:tcBorders>
              <w:bottom w:val="single" w:sz="8" w:color="CCEEFF"/>
              <w:right w:val="single" w:sz="8" w:color="808080"/>
            </w:tcBorders>
            <w:vMerge w:val="continue"/>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right w:val="single" w:sz="8" w:color="7F7F7F"/>
            </w:tcBorders>
            <w:shd w:val="clear" w:color="auto" w:fill="CCEEFF"/>
          </w:tcPr>
          <w:p>
            <w:pPr>
              <w:spacing w:after="0"/>
              <w:rPr>
                <w:sz w:val="7"/>
                <w:szCs w:val="7"/>
                <w:color w:val="auto"/>
              </w:rPr>
            </w:pPr>
          </w:p>
        </w:tc>
        <w:tc>
          <w:tcPr>
            <w:tcW w:w="44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6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320" w:type="dxa"/>
            <w:vAlign w:val="bottom"/>
            <w:tcBorders>
              <w:right w:val="single" w:sz="8" w:color="808080"/>
            </w:tcBorders>
          </w:tcPr>
          <w:p>
            <w:pPr>
              <w:ind w:left="40"/>
              <w:spacing w:after="0"/>
              <w:rPr>
                <w:sz w:val="20"/>
                <w:szCs w:val="20"/>
                <w:color w:val="auto"/>
              </w:rPr>
            </w:pPr>
            <w:r>
              <w:rPr>
                <w:rFonts w:ascii="Arial" w:cs="Arial" w:eastAsia="Arial" w:hAnsi="Arial"/>
                <w:sz w:val="16"/>
                <w:szCs w:val="16"/>
                <w:color w:val="auto"/>
              </w:rPr>
              <w:t>Cash dividends declared</w:t>
            </w:r>
          </w:p>
        </w:tc>
        <w:tc>
          <w:tcPr>
            <w:tcW w:w="9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7F7F7F"/>
            </w:tcBorders>
            <w:vMerge w:val="restart"/>
          </w:tcPr>
          <w:p>
            <w:pPr>
              <w:jc w:val="right"/>
              <w:ind w:right="6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8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80" w:type="dxa"/>
            <w:vAlign w:val="bottom"/>
            <w:vMerge w:val="restart"/>
          </w:tcPr>
          <w:p>
            <w:pPr>
              <w:jc w:val="right"/>
              <w:ind w:right="81"/>
              <w:spacing w:after="0"/>
              <w:rPr>
                <w:sz w:val="20"/>
                <w:szCs w:val="20"/>
                <w:color w:val="auto"/>
              </w:rPr>
            </w:pPr>
            <w:r>
              <w:rPr>
                <w:rFonts w:ascii="Arial" w:cs="Arial" w:eastAsia="Arial" w:hAnsi="Arial"/>
                <w:sz w:val="16"/>
                <w:szCs w:val="16"/>
                <w:color w:val="auto"/>
              </w:rPr>
              <w:t>(626)</w:t>
            </w:r>
          </w:p>
        </w:tc>
        <w:tc>
          <w:tcPr>
            <w:tcW w:w="300" w:type="dxa"/>
            <w:vAlign w:val="bottom"/>
          </w:tcPr>
          <w:p>
            <w:pPr>
              <w:spacing w:after="0"/>
              <w:rPr>
                <w:sz w:val="17"/>
                <w:szCs w:val="17"/>
                <w:color w:val="auto"/>
              </w:rPr>
            </w:pPr>
          </w:p>
        </w:tc>
        <w:tc>
          <w:tcPr>
            <w:tcW w:w="80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2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110"/>
        </w:trPr>
        <w:tc>
          <w:tcPr>
            <w:tcW w:w="3320" w:type="dxa"/>
            <w:vAlign w:val="bottom"/>
            <w:tcBorders>
              <w:right w:val="single" w:sz="8" w:color="808080"/>
            </w:tcBorders>
            <w:vMerge w:val="restart"/>
          </w:tcPr>
          <w:p>
            <w:pPr>
              <w:ind w:left="180"/>
              <w:spacing w:after="0"/>
              <w:rPr>
                <w:sz w:val="20"/>
                <w:szCs w:val="20"/>
                <w:color w:val="auto"/>
              </w:rPr>
            </w:pPr>
            <w:r>
              <w:rPr>
                <w:rFonts w:ascii="Arial" w:cs="Arial" w:eastAsia="Arial" w:hAnsi="Arial"/>
                <w:sz w:val="16"/>
                <w:szCs w:val="16"/>
                <w:color w:val="auto"/>
              </w:rPr>
              <w:t>($0.88 per share)</w:t>
            </w:r>
          </w:p>
        </w:tc>
        <w:tc>
          <w:tcPr>
            <w:tcW w:w="980" w:type="dxa"/>
            <w:vAlign w:val="bottom"/>
            <w:vMerge w:val="continue"/>
          </w:tcPr>
          <w:p>
            <w:pPr>
              <w:spacing w:after="0"/>
              <w:rPr>
                <w:sz w:val="9"/>
                <w:szCs w:val="9"/>
                <w:color w:val="auto"/>
              </w:rPr>
            </w:pPr>
          </w:p>
        </w:tc>
        <w:tc>
          <w:tcPr>
            <w:tcW w:w="860" w:type="dxa"/>
            <w:vAlign w:val="bottom"/>
            <w:tcBorders>
              <w:right w:val="single" w:sz="8" w:color="7F7F7F"/>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320" w:type="dxa"/>
            <w:vAlign w:val="bottom"/>
            <w:tcBorders>
              <w:right w:val="single" w:sz="8" w:color="808080"/>
            </w:tcBorders>
            <w:vMerge w:val="continue"/>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Borders>
              <w:right w:val="single" w:sz="8" w:color="7F7F7F"/>
            </w:tcBorders>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320" w:type="dxa"/>
            <w:vAlign w:val="bottom"/>
            <w:tcBorders>
              <w:bottom w:val="single" w:sz="8" w:color="7F7F7F"/>
              <w:right w:val="single" w:sz="8" w:color="808080"/>
            </w:tcBorders>
          </w:tcPr>
          <w:p>
            <w:pPr>
              <w:spacing w:after="0"/>
              <w:rPr>
                <w:sz w:val="2"/>
                <w:szCs w:val="2"/>
                <w:color w:val="auto"/>
              </w:rPr>
            </w:pPr>
          </w:p>
        </w:tc>
        <w:tc>
          <w:tcPr>
            <w:tcW w:w="980" w:type="dxa"/>
            <w:vAlign w:val="bottom"/>
            <w:tcBorders>
              <w:bottom w:val="single" w:sz="8" w:color="7F7F7F"/>
            </w:tcBorders>
          </w:tcPr>
          <w:p>
            <w:pPr>
              <w:spacing w:after="0"/>
              <w:rPr>
                <w:sz w:val="2"/>
                <w:szCs w:val="2"/>
                <w:color w:val="auto"/>
              </w:rPr>
            </w:pPr>
          </w:p>
        </w:tc>
        <w:tc>
          <w:tcPr>
            <w:tcW w:w="860" w:type="dxa"/>
            <w:vAlign w:val="bottom"/>
            <w:tcBorders>
              <w:bottom w:val="single" w:sz="8" w:color="7F7F7F"/>
              <w:right w:val="single" w:sz="8" w:color="7F7F7F"/>
            </w:tcBorders>
          </w:tcPr>
          <w:p>
            <w:pPr>
              <w:spacing w:after="0"/>
              <w:rPr>
                <w:sz w:val="2"/>
                <w:szCs w:val="2"/>
                <w:color w:val="auto"/>
              </w:rPr>
            </w:pPr>
          </w:p>
        </w:tc>
        <w:tc>
          <w:tcPr>
            <w:tcW w:w="440" w:type="dxa"/>
            <w:vAlign w:val="bottom"/>
            <w:tcBorders>
              <w:bottom w:val="single" w:sz="8" w:color="7F7F7F"/>
            </w:tcBorders>
          </w:tcPr>
          <w:p>
            <w:pPr>
              <w:spacing w:after="0"/>
              <w:rPr>
                <w:sz w:val="2"/>
                <w:szCs w:val="2"/>
                <w:color w:val="auto"/>
              </w:rPr>
            </w:pPr>
          </w:p>
        </w:tc>
        <w:tc>
          <w:tcPr>
            <w:tcW w:w="660" w:type="dxa"/>
            <w:vAlign w:val="bottom"/>
            <w:tcBorders>
              <w:bottom w:val="single" w:sz="8" w:color="7F7F7F"/>
            </w:tcBorders>
          </w:tcPr>
          <w:p>
            <w:pPr>
              <w:spacing w:after="0"/>
              <w:rPr>
                <w:sz w:val="2"/>
                <w:szCs w:val="2"/>
                <w:color w:val="auto"/>
              </w:rPr>
            </w:pPr>
          </w:p>
        </w:tc>
        <w:tc>
          <w:tcPr>
            <w:tcW w:w="240" w:type="dxa"/>
            <w:vAlign w:val="bottom"/>
            <w:tcBorders>
              <w:bottom w:val="single" w:sz="8" w:color="7F7F7F"/>
            </w:tcBorders>
          </w:tcPr>
          <w:p>
            <w:pPr>
              <w:spacing w:after="0"/>
              <w:rPr>
                <w:sz w:val="2"/>
                <w:szCs w:val="2"/>
                <w:color w:val="auto"/>
              </w:rPr>
            </w:pPr>
          </w:p>
        </w:tc>
        <w:tc>
          <w:tcPr>
            <w:tcW w:w="680" w:type="dxa"/>
            <w:vAlign w:val="bottom"/>
            <w:tcBorders>
              <w:bottom w:val="single" w:sz="8" w:color="7F7F7F"/>
            </w:tcBorders>
          </w:tcPr>
          <w:p>
            <w:pPr>
              <w:spacing w:after="0"/>
              <w:rPr>
                <w:sz w:val="2"/>
                <w:szCs w:val="2"/>
                <w:color w:val="auto"/>
              </w:rPr>
            </w:pPr>
          </w:p>
        </w:tc>
        <w:tc>
          <w:tcPr>
            <w:tcW w:w="260" w:type="dxa"/>
            <w:vAlign w:val="bottom"/>
            <w:tcBorders>
              <w:bottom w:val="single" w:sz="8" w:color="7F7F7F"/>
            </w:tcBorders>
          </w:tcPr>
          <w:p>
            <w:pPr>
              <w:spacing w:after="0"/>
              <w:rPr>
                <w:sz w:val="2"/>
                <w:szCs w:val="2"/>
                <w:color w:val="auto"/>
              </w:rPr>
            </w:pPr>
          </w:p>
        </w:tc>
        <w:tc>
          <w:tcPr>
            <w:tcW w:w="780" w:type="dxa"/>
            <w:vAlign w:val="bottom"/>
            <w:tcBorders>
              <w:bottom w:val="single" w:sz="8" w:color="7F7F7F"/>
            </w:tcBorders>
          </w:tcPr>
          <w:p>
            <w:pPr>
              <w:spacing w:after="0"/>
              <w:rPr>
                <w:sz w:val="2"/>
                <w:szCs w:val="2"/>
                <w:color w:val="auto"/>
              </w:rPr>
            </w:pPr>
          </w:p>
        </w:tc>
        <w:tc>
          <w:tcPr>
            <w:tcW w:w="300" w:type="dxa"/>
            <w:vAlign w:val="bottom"/>
            <w:tcBorders>
              <w:bottom w:val="single" w:sz="8" w:color="7F7F7F"/>
            </w:tcBorders>
          </w:tcPr>
          <w:p>
            <w:pPr>
              <w:spacing w:after="0"/>
              <w:rPr>
                <w:sz w:val="2"/>
                <w:szCs w:val="2"/>
                <w:color w:val="auto"/>
              </w:rPr>
            </w:pPr>
          </w:p>
        </w:tc>
        <w:tc>
          <w:tcPr>
            <w:tcW w:w="800" w:type="dxa"/>
            <w:vAlign w:val="bottom"/>
            <w:tcBorders>
              <w:bottom w:val="single" w:sz="8" w:color="7F7F7F"/>
            </w:tcBorders>
          </w:tcPr>
          <w:p>
            <w:pPr>
              <w:spacing w:after="0"/>
              <w:rPr>
                <w:sz w:val="2"/>
                <w:szCs w:val="2"/>
                <w:color w:val="auto"/>
              </w:rPr>
            </w:pPr>
          </w:p>
        </w:tc>
        <w:tc>
          <w:tcPr>
            <w:tcW w:w="280" w:type="dxa"/>
            <w:vAlign w:val="bottom"/>
            <w:tcBorders>
              <w:bottom w:val="single" w:sz="8" w:color="7F7F7F"/>
            </w:tcBorders>
          </w:tcPr>
          <w:p>
            <w:pPr>
              <w:spacing w:after="0"/>
              <w:rPr>
                <w:sz w:val="2"/>
                <w:szCs w:val="2"/>
                <w:color w:val="auto"/>
              </w:rPr>
            </w:pPr>
          </w:p>
        </w:tc>
        <w:tc>
          <w:tcPr>
            <w:tcW w:w="720" w:type="dxa"/>
            <w:vAlign w:val="bottom"/>
            <w:tcBorders>
              <w:bottom w:val="single" w:sz="8" w:color="7F7F7F"/>
            </w:tcBorders>
          </w:tcPr>
          <w:p>
            <w:pPr>
              <w:spacing w:after="0"/>
              <w:rPr>
                <w:sz w:val="2"/>
                <w:szCs w:val="2"/>
                <w:color w:val="auto"/>
              </w:rPr>
            </w:pPr>
          </w:p>
        </w:tc>
        <w:tc>
          <w:tcPr>
            <w:tcW w:w="320" w:type="dxa"/>
            <w:vAlign w:val="bottom"/>
            <w:tcBorders>
              <w:bottom w:val="single" w:sz="8" w:color="7F7F7F"/>
            </w:tcBorders>
          </w:tcPr>
          <w:p>
            <w:pPr>
              <w:spacing w:after="0"/>
              <w:rPr>
                <w:sz w:val="2"/>
                <w:szCs w:val="2"/>
                <w:color w:val="auto"/>
              </w:rPr>
            </w:pPr>
          </w:p>
        </w:tc>
        <w:tc>
          <w:tcPr>
            <w:tcW w:w="60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320" w:type="dxa"/>
            <w:vAlign w:val="bottom"/>
            <w:tcBorders>
              <w:bottom w:val="single" w:sz="8" w:color="7F7F7F"/>
              <w:right w:val="single" w:sz="8" w:color="808080"/>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Balance at March 31, 2019</w:t>
            </w:r>
          </w:p>
        </w:tc>
        <w:tc>
          <w:tcPr>
            <w:tcW w:w="980" w:type="dxa"/>
            <w:vAlign w:val="bottom"/>
            <w:tcBorders>
              <w:bottom w:val="single" w:sz="8" w:color="7F7F7F"/>
            </w:tcBorders>
            <w:shd w:val="clear" w:color="auto" w:fill="CCEEFF"/>
          </w:tcPr>
          <w:p>
            <w:pPr>
              <w:jc w:val="right"/>
              <w:ind w:right="81"/>
              <w:spacing w:after="0" w:line="177" w:lineRule="exact"/>
              <w:rPr>
                <w:sz w:val="20"/>
                <w:szCs w:val="20"/>
                <w:color w:val="auto"/>
              </w:rPr>
            </w:pPr>
            <w:r>
              <w:rPr>
                <w:rFonts w:ascii="Arial" w:cs="Arial" w:eastAsia="Arial" w:hAnsi="Arial"/>
                <w:sz w:val="16"/>
                <w:szCs w:val="16"/>
                <w:color w:val="auto"/>
              </w:rPr>
              <w:t>1,112.0</w:t>
            </w:r>
          </w:p>
        </w:tc>
        <w:tc>
          <w:tcPr>
            <w:tcW w:w="860" w:type="dxa"/>
            <w:vAlign w:val="bottom"/>
            <w:tcBorders>
              <w:bottom w:val="single" w:sz="8" w:color="7F7F7F"/>
              <w:right w:val="single" w:sz="8" w:color="7F7F7F"/>
            </w:tcBorders>
            <w:shd w:val="clear" w:color="auto" w:fill="CCEEFF"/>
          </w:tcPr>
          <w:p>
            <w:pPr>
              <w:jc w:val="right"/>
              <w:ind w:right="61"/>
              <w:spacing w:after="0" w:line="177" w:lineRule="exact"/>
              <w:rPr>
                <w:sz w:val="20"/>
                <w:szCs w:val="20"/>
                <w:color w:val="auto"/>
              </w:rPr>
            </w:pPr>
            <w:r>
              <w:rPr>
                <w:rFonts w:ascii="Arial" w:cs="Arial" w:eastAsia="Arial" w:hAnsi="Arial"/>
                <w:sz w:val="16"/>
                <w:szCs w:val="16"/>
                <w:color w:val="auto"/>
              </w:rPr>
              <w:t>(403.6)</w:t>
            </w:r>
          </w:p>
        </w:tc>
        <w:tc>
          <w:tcPr>
            <w:tcW w:w="440" w:type="dxa"/>
            <w:vAlign w:val="bottom"/>
            <w:tcBorders>
              <w:bottom w:val="single" w:sz="8" w:color="7F7F7F"/>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7F7F7F"/>
            </w:tcBorders>
            <w:shd w:val="clear" w:color="auto" w:fill="CCEEFF"/>
          </w:tcPr>
          <w:p>
            <w:pPr>
              <w:jc w:val="right"/>
              <w:ind w:right="81"/>
              <w:spacing w:after="0" w:line="177" w:lineRule="exact"/>
              <w:rPr>
                <w:sz w:val="20"/>
                <w:szCs w:val="20"/>
                <w:color w:val="auto"/>
              </w:rPr>
            </w:pPr>
            <w:r>
              <w:rPr>
                <w:rFonts w:ascii="Arial" w:cs="Arial" w:eastAsia="Arial" w:hAnsi="Arial"/>
                <w:sz w:val="16"/>
                <w:szCs w:val="16"/>
                <w:color w:val="auto"/>
              </w:rPr>
              <w:t>2,780</w:t>
            </w:r>
          </w:p>
        </w:tc>
        <w:tc>
          <w:tcPr>
            <w:tcW w:w="240" w:type="dxa"/>
            <w:vAlign w:val="bottom"/>
            <w:tcBorders>
              <w:bottom w:val="single" w:sz="8" w:color="7F7F7F"/>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7F7F7F"/>
            </w:tcBorders>
            <w:shd w:val="clear" w:color="auto" w:fill="CCEEFF"/>
          </w:tcPr>
          <w:p>
            <w:pPr>
              <w:jc w:val="right"/>
              <w:ind w:right="101"/>
              <w:spacing w:after="0" w:line="177" w:lineRule="exact"/>
              <w:rPr>
                <w:sz w:val="20"/>
                <w:szCs w:val="20"/>
                <w:color w:val="auto"/>
              </w:rPr>
            </w:pPr>
            <w:r>
              <w:rPr>
                <w:rFonts w:ascii="Arial" w:cs="Arial" w:eastAsia="Arial" w:hAnsi="Arial"/>
                <w:sz w:val="16"/>
                <w:szCs w:val="16"/>
                <w:color w:val="auto"/>
              </w:rPr>
              <w:t>3,929</w:t>
            </w:r>
          </w:p>
        </w:tc>
        <w:tc>
          <w:tcPr>
            <w:tcW w:w="260" w:type="dxa"/>
            <w:vAlign w:val="bottom"/>
            <w:tcBorders>
              <w:bottom w:val="single" w:sz="8" w:color="7F7F7F"/>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ind w:right="121"/>
              <w:spacing w:after="0" w:line="177" w:lineRule="exact"/>
              <w:rPr>
                <w:sz w:val="20"/>
                <w:szCs w:val="20"/>
                <w:color w:val="auto"/>
              </w:rPr>
            </w:pPr>
            <w:r>
              <w:rPr>
                <w:rFonts w:ascii="Arial" w:cs="Arial" w:eastAsia="Arial" w:hAnsi="Arial"/>
                <w:sz w:val="16"/>
                <w:szCs w:val="16"/>
                <w:color w:val="auto"/>
              </w:rPr>
              <w:t>46,049</w:t>
            </w:r>
          </w:p>
        </w:tc>
        <w:tc>
          <w:tcPr>
            <w:tcW w:w="300" w:type="dxa"/>
            <w:vAlign w:val="bottom"/>
            <w:tcBorders>
              <w:bottom w:val="single" w:sz="8" w:color="7F7F7F"/>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shd w:val="clear" w:color="auto" w:fill="CCEEFF"/>
          </w:tcPr>
          <w:p>
            <w:pPr>
              <w:jc w:val="right"/>
              <w:ind w:right="61"/>
              <w:spacing w:after="0" w:line="177" w:lineRule="exact"/>
              <w:rPr>
                <w:sz w:val="20"/>
                <w:szCs w:val="20"/>
                <w:color w:val="auto"/>
              </w:rPr>
            </w:pPr>
            <w:r>
              <w:rPr>
                <w:rFonts w:ascii="Arial" w:cs="Arial" w:eastAsia="Arial" w:hAnsi="Arial"/>
                <w:sz w:val="16"/>
                <w:szCs w:val="16"/>
                <w:color w:val="auto"/>
              </w:rPr>
              <w:t>(33,638)</w:t>
            </w:r>
          </w:p>
        </w:tc>
        <w:tc>
          <w:tcPr>
            <w:tcW w:w="280" w:type="dxa"/>
            <w:vAlign w:val="bottom"/>
            <w:tcBorders>
              <w:bottom w:val="single" w:sz="8" w:color="7F7F7F"/>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7F7F7F"/>
            </w:tcBorders>
            <w:shd w:val="clear" w:color="auto" w:fill="CCEEFF"/>
          </w:tcPr>
          <w:p>
            <w:pPr>
              <w:jc w:val="right"/>
              <w:ind w:right="81"/>
              <w:spacing w:after="0" w:line="177" w:lineRule="exact"/>
              <w:rPr>
                <w:sz w:val="20"/>
                <w:szCs w:val="20"/>
                <w:color w:val="auto"/>
              </w:rPr>
            </w:pPr>
            <w:r>
              <w:rPr>
                <w:rFonts w:ascii="Arial" w:cs="Arial" w:eastAsia="Arial" w:hAnsi="Arial"/>
                <w:sz w:val="16"/>
                <w:szCs w:val="16"/>
                <w:color w:val="auto"/>
              </w:rPr>
              <w:t>(1,378)</w:t>
            </w:r>
          </w:p>
        </w:tc>
        <w:tc>
          <w:tcPr>
            <w:tcW w:w="320" w:type="dxa"/>
            <w:vAlign w:val="bottom"/>
            <w:tcBorders>
              <w:bottom w:val="single" w:sz="8" w:color="7F7F7F"/>
            </w:tcBorders>
            <w:shd w:val="clear" w:color="auto" w:fill="CCEEFF"/>
          </w:tcPr>
          <w:p>
            <w:pPr>
              <w:jc w:val="right"/>
              <w:ind w:right="21"/>
              <w:spacing w:after="0" w:line="177"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7F7F7F"/>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17,742</w:t>
            </w:r>
          </w:p>
        </w:tc>
        <w:tc>
          <w:tcPr>
            <w:tcW w:w="0" w:type="dxa"/>
            <w:vAlign w:val="bottom"/>
          </w:tcPr>
          <w:p>
            <w:pPr>
              <w:spacing w:after="0"/>
              <w:rPr>
                <w:sz w:val="1"/>
                <w:szCs w:val="1"/>
                <w:color w:val="auto"/>
              </w:rPr>
            </w:pPr>
          </w:p>
        </w:tc>
      </w:tr>
      <w:tr>
        <w:trPr>
          <w:trHeight w:val="190"/>
        </w:trPr>
        <w:tc>
          <w:tcPr>
            <w:tcW w:w="3320" w:type="dxa"/>
            <w:vAlign w:val="bottom"/>
            <w:tcBorders>
              <w:bottom w:val="single" w:sz="8" w:color="7F7F7F"/>
              <w:right w:val="single" w:sz="8" w:color="808080"/>
            </w:tcBorders>
          </w:tcPr>
          <w:p>
            <w:pPr>
              <w:spacing w:after="0"/>
              <w:rPr>
                <w:sz w:val="16"/>
                <w:szCs w:val="16"/>
                <w:color w:val="auto"/>
              </w:rPr>
            </w:pPr>
          </w:p>
        </w:tc>
        <w:tc>
          <w:tcPr>
            <w:tcW w:w="980" w:type="dxa"/>
            <w:vAlign w:val="bottom"/>
            <w:tcBorders>
              <w:bottom w:val="single" w:sz="8" w:color="7F7F7F"/>
            </w:tcBorders>
          </w:tcPr>
          <w:p>
            <w:pPr>
              <w:spacing w:after="0"/>
              <w:rPr>
                <w:sz w:val="16"/>
                <w:szCs w:val="16"/>
                <w:color w:val="auto"/>
              </w:rPr>
            </w:pPr>
          </w:p>
        </w:tc>
        <w:tc>
          <w:tcPr>
            <w:tcW w:w="860" w:type="dxa"/>
            <w:vAlign w:val="bottom"/>
            <w:tcBorders>
              <w:bottom w:val="single" w:sz="8" w:color="7F7F7F"/>
              <w:right w:val="single" w:sz="8" w:color="7F7F7F"/>
            </w:tcBorders>
          </w:tcPr>
          <w:p>
            <w:pPr>
              <w:spacing w:after="0"/>
              <w:rPr>
                <w:sz w:val="16"/>
                <w:szCs w:val="16"/>
                <w:color w:val="auto"/>
              </w:rPr>
            </w:pPr>
          </w:p>
        </w:tc>
        <w:tc>
          <w:tcPr>
            <w:tcW w:w="44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spacing w:after="0"/>
              <w:rPr>
                <w:sz w:val="16"/>
                <w:szCs w:val="16"/>
                <w:color w:val="auto"/>
              </w:rPr>
            </w:pPr>
          </w:p>
        </w:tc>
        <w:tc>
          <w:tcPr>
            <w:tcW w:w="240" w:type="dxa"/>
            <w:vAlign w:val="bottom"/>
            <w:tcBorders>
              <w:bottom w:val="single" w:sz="8" w:color="7F7F7F"/>
            </w:tcBorders>
          </w:tcPr>
          <w:p>
            <w:pPr>
              <w:spacing w:after="0"/>
              <w:rPr>
                <w:sz w:val="16"/>
                <w:szCs w:val="16"/>
                <w:color w:val="auto"/>
              </w:rPr>
            </w:pPr>
          </w:p>
        </w:tc>
        <w:tc>
          <w:tcPr>
            <w:tcW w:w="680" w:type="dxa"/>
            <w:vAlign w:val="bottom"/>
            <w:tcBorders>
              <w:bottom w:val="single" w:sz="8" w:color="7F7F7F"/>
            </w:tcBorders>
          </w:tcPr>
          <w:p>
            <w:pPr>
              <w:spacing w:after="0"/>
              <w:rPr>
                <w:sz w:val="16"/>
                <w:szCs w:val="16"/>
                <w:color w:val="auto"/>
              </w:rPr>
            </w:pPr>
          </w:p>
        </w:tc>
        <w:tc>
          <w:tcPr>
            <w:tcW w:w="260" w:type="dxa"/>
            <w:vAlign w:val="bottom"/>
            <w:tcBorders>
              <w:bottom w:val="single" w:sz="8" w:color="7F7F7F"/>
            </w:tcBorders>
          </w:tcPr>
          <w:p>
            <w:pPr>
              <w:spacing w:after="0"/>
              <w:rPr>
                <w:sz w:val="16"/>
                <w:szCs w:val="16"/>
                <w:color w:val="auto"/>
              </w:rPr>
            </w:pPr>
          </w:p>
        </w:tc>
        <w:tc>
          <w:tcPr>
            <w:tcW w:w="780" w:type="dxa"/>
            <w:vAlign w:val="bottom"/>
            <w:tcBorders>
              <w:bottom w:val="single" w:sz="8" w:color="7F7F7F"/>
            </w:tcBorders>
          </w:tcPr>
          <w:p>
            <w:pPr>
              <w:spacing w:after="0"/>
              <w:rPr>
                <w:sz w:val="16"/>
                <w:szCs w:val="16"/>
                <w:color w:val="auto"/>
              </w:rPr>
            </w:pPr>
          </w:p>
        </w:tc>
        <w:tc>
          <w:tcPr>
            <w:tcW w:w="300" w:type="dxa"/>
            <w:vAlign w:val="bottom"/>
            <w:tcBorders>
              <w:bottom w:val="single" w:sz="8" w:color="7F7F7F"/>
            </w:tcBorders>
          </w:tcPr>
          <w:p>
            <w:pPr>
              <w:spacing w:after="0"/>
              <w:rPr>
                <w:sz w:val="16"/>
                <w:szCs w:val="16"/>
                <w:color w:val="auto"/>
              </w:rPr>
            </w:pPr>
          </w:p>
        </w:tc>
        <w:tc>
          <w:tcPr>
            <w:tcW w:w="800" w:type="dxa"/>
            <w:vAlign w:val="bottom"/>
            <w:tcBorders>
              <w:bottom w:val="single" w:sz="8" w:color="7F7F7F"/>
            </w:tcBorders>
          </w:tcPr>
          <w:p>
            <w:pPr>
              <w:spacing w:after="0"/>
              <w:rPr>
                <w:sz w:val="16"/>
                <w:szCs w:val="16"/>
                <w:color w:val="auto"/>
              </w:rPr>
            </w:pPr>
          </w:p>
        </w:tc>
        <w:tc>
          <w:tcPr>
            <w:tcW w:w="280" w:type="dxa"/>
            <w:vAlign w:val="bottom"/>
            <w:tcBorders>
              <w:bottom w:val="single" w:sz="8" w:color="7F7F7F"/>
            </w:tcBorders>
          </w:tcPr>
          <w:p>
            <w:pPr>
              <w:spacing w:after="0"/>
              <w:rPr>
                <w:sz w:val="16"/>
                <w:szCs w:val="16"/>
                <w:color w:val="auto"/>
              </w:rPr>
            </w:pPr>
          </w:p>
        </w:tc>
        <w:tc>
          <w:tcPr>
            <w:tcW w:w="720" w:type="dxa"/>
            <w:vAlign w:val="bottom"/>
            <w:tcBorders>
              <w:bottom w:val="single" w:sz="8" w:color="7F7F7F"/>
            </w:tcBorders>
          </w:tcPr>
          <w:p>
            <w:pPr>
              <w:spacing w:after="0"/>
              <w:rPr>
                <w:sz w:val="16"/>
                <w:szCs w:val="16"/>
                <w:color w:val="auto"/>
              </w:rPr>
            </w:pPr>
          </w:p>
        </w:tc>
        <w:tc>
          <w:tcPr>
            <w:tcW w:w="320" w:type="dxa"/>
            <w:vAlign w:val="bottom"/>
            <w:tcBorders>
              <w:bottom w:val="single" w:sz="8" w:color="7F7F7F"/>
            </w:tcBorders>
          </w:tcPr>
          <w:p>
            <w:pPr>
              <w:spacing w:after="0"/>
              <w:rPr>
                <w:sz w:val="16"/>
                <w:szCs w:val="16"/>
                <w:color w:val="auto"/>
              </w:rPr>
            </w:pPr>
          </w:p>
        </w:tc>
        <w:tc>
          <w:tcPr>
            <w:tcW w:w="600" w:type="dxa"/>
            <w:vAlign w:val="bottom"/>
            <w:tcBorders>
              <w:bottom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20" w:type="dxa"/>
            <w:vAlign w:val="bottom"/>
            <w:tcBorders>
              <w:bottom w:val="single" w:sz="8" w:color="7F7F7F"/>
              <w:right w:val="single" w:sz="8" w:color="808080"/>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2020</w:t>
            </w:r>
          </w:p>
        </w:tc>
        <w:tc>
          <w:tcPr>
            <w:tcW w:w="980" w:type="dxa"/>
            <w:vAlign w:val="bottom"/>
            <w:tcBorders>
              <w:bottom w:val="single" w:sz="8" w:color="7F7F7F"/>
            </w:tcBorders>
            <w:shd w:val="clear" w:color="auto" w:fill="CCEEFF"/>
          </w:tcPr>
          <w:p>
            <w:pPr>
              <w:jc w:val="right"/>
              <w:ind w:right="81"/>
              <w:spacing w:after="0"/>
              <w:rPr>
                <w:sz w:val="20"/>
                <w:szCs w:val="20"/>
                <w:color w:val="auto"/>
              </w:rPr>
            </w:pPr>
            <w:r>
              <w:rPr>
                <w:rFonts w:ascii="Arial" w:cs="Arial" w:eastAsia="Arial" w:hAnsi="Arial"/>
                <w:sz w:val="16"/>
                <w:szCs w:val="16"/>
                <w:color w:val="auto"/>
              </w:rPr>
              <w:t>1,112.0</w:t>
            </w:r>
          </w:p>
        </w:tc>
        <w:tc>
          <w:tcPr>
            <w:tcW w:w="860" w:type="dxa"/>
            <w:vAlign w:val="bottom"/>
            <w:tcBorders>
              <w:bottom w:val="single" w:sz="8" w:color="7F7F7F"/>
              <w:right w:val="single" w:sz="8" w:color="7F7F7F"/>
            </w:tcBorders>
            <w:shd w:val="clear" w:color="auto" w:fill="CCEEFF"/>
          </w:tcPr>
          <w:p>
            <w:pPr>
              <w:jc w:val="right"/>
              <w:ind w:right="61"/>
              <w:spacing w:after="0"/>
              <w:rPr>
                <w:sz w:val="20"/>
                <w:szCs w:val="20"/>
                <w:color w:val="auto"/>
              </w:rPr>
            </w:pPr>
            <w:r>
              <w:rPr>
                <w:rFonts w:ascii="Arial" w:cs="Arial" w:eastAsia="Arial" w:hAnsi="Arial"/>
                <w:sz w:val="16"/>
                <w:szCs w:val="16"/>
                <w:color w:val="auto"/>
              </w:rPr>
              <w:t>(419.9)</w:t>
            </w:r>
          </w:p>
        </w:tc>
        <w:tc>
          <w:tcPr>
            <w:tcW w:w="4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7F7F7F"/>
            </w:tcBorders>
            <w:shd w:val="clear" w:color="auto" w:fill="CCEEFF"/>
          </w:tcPr>
          <w:p>
            <w:pPr>
              <w:jc w:val="right"/>
              <w:ind w:right="81"/>
              <w:spacing w:after="0"/>
              <w:rPr>
                <w:sz w:val="20"/>
                <w:szCs w:val="20"/>
                <w:color w:val="auto"/>
              </w:rPr>
            </w:pPr>
            <w:r>
              <w:rPr>
                <w:rFonts w:ascii="Arial" w:cs="Arial" w:eastAsia="Arial" w:hAnsi="Arial"/>
                <w:sz w:val="16"/>
                <w:szCs w:val="16"/>
                <w:color w:val="auto"/>
              </w:rPr>
              <w:t>2,780</w:t>
            </w:r>
          </w:p>
        </w:tc>
        <w:tc>
          <w:tcPr>
            <w:tcW w:w="2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7F7F7F"/>
            </w:tcBorders>
            <w:shd w:val="clear" w:color="auto" w:fill="CCEEFF"/>
          </w:tcPr>
          <w:p>
            <w:pPr>
              <w:jc w:val="right"/>
              <w:ind w:right="101"/>
              <w:spacing w:after="0"/>
              <w:rPr>
                <w:sz w:val="20"/>
                <w:szCs w:val="20"/>
                <w:color w:val="auto"/>
              </w:rPr>
            </w:pPr>
            <w:r>
              <w:rPr>
                <w:rFonts w:ascii="Arial" w:cs="Arial" w:eastAsia="Arial" w:hAnsi="Arial"/>
                <w:sz w:val="16"/>
                <w:szCs w:val="16"/>
                <w:color w:val="auto"/>
              </w:rPr>
              <w:t>4,523</w:t>
            </w:r>
          </w:p>
        </w:tc>
        <w:tc>
          <w:tcPr>
            <w:tcW w:w="2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F7F7F"/>
            </w:tcBorders>
            <w:shd w:val="clear" w:color="auto" w:fill="CCEEFF"/>
          </w:tcPr>
          <w:p>
            <w:pPr>
              <w:jc w:val="right"/>
              <w:ind w:right="121"/>
              <w:spacing w:after="0"/>
              <w:rPr>
                <w:sz w:val="20"/>
                <w:szCs w:val="20"/>
                <w:color w:val="auto"/>
              </w:rPr>
            </w:pPr>
            <w:r>
              <w:rPr>
                <w:rFonts w:ascii="Arial" w:cs="Arial" w:eastAsia="Arial" w:hAnsi="Arial"/>
                <w:sz w:val="16"/>
                <w:szCs w:val="16"/>
                <w:color w:val="auto"/>
              </w:rPr>
              <w:t>48,605</w:t>
            </w:r>
          </w:p>
        </w:tc>
        <w:tc>
          <w:tcPr>
            <w:tcW w:w="3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F7F7F"/>
            </w:tcBorders>
            <w:shd w:val="clear" w:color="auto" w:fill="CCEEFF"/>
          </w:tcPr>
          <w:p>
            <w:pPr>
              <w:jc w:val="right"/>
              <w:ind w:right="61"/>
              <w:spacing w:after="0"/>
              <w:rPr>
                <w:sz w:val="20"/>
                <w:szCs w:val="20"/>
                <w:color w:val="auto"/>
              </w:rPr>
            </w:pPr>
            <w:r>
              <w:rPr>
                <w:rFonts w:ascii="Arial" w:cs="Arial" w:eastAsia="Arial" w:hAnsi="Arial"/>
                <w:sz w:val="16"/>
                <w:szCs w:val="16"/>
                <w:color w:val="auto"/>
              </w:rPr>
              <w:t>(36,424)</w:t>
            </w:r>
          </w:p>
        </w:tc>
        <w:tc>
          <w:tcPr>
            <w:tcW w:w="2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7F7F7F"/>
            </w:tcBorders>
            <w:shd w:val="clear" w:color="auto" w:fill="CCEEFF"/>
          </w:tcPr>
          <w:p>
            <w:pPr>
              <w:jc w:val="right"/>
              <w:ind w:right="81"/>
              <w:spacing w:after="0"/>
              <w:rPr>
                <w:sz w:val="20"/>
                <w:szCs w:val="20"/>
                <w:color w:val="auto"/>
              </w:rPr>
            </w:pPr>
            <w:r>
              <w:rPr>
                <w:rFonts w:ascii="Arial" w:cs="Arial" w:eastAsia="Arial" w:hAnsi="Arial"/>
                <w:sz w:val="16"/>
                <w:szCs w:val="16"/>
                <w:color w:val="auto"/>
              </w:rPr>
              <w:t>(1,356)</w:t>
            </w:r>
          </w:p>
        </w:tc>
        <w:tc>
          <w:tcPr>
            <w:tcW w:w="320" w:type="dxa"/>
            <w:vAlign w:val="bottom"/>
            <w:tcBorders>
              <w:bottom w:val="single" w:sz="8" w:color="7F7F7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18,128</w:t>
            </w:r>
          </w:p>
        </w:tc>
        <w:tc>
          <w:tcPr>
            <w:tcW w:w="0" w:type="dxa"/>
            <w:vAlign w:val="bottom"/>
          </w:tcPr>
          <w:p>
            <w:pPr>
              <w:spacing w:after="0"/>
              <w:rPr>
                <w:sz w:val="1"/>
                <w:szCs w:val="1"/>
                <w:color w:val="auto"/>
              </w:rPr>
            </w:pPr>
          </w:p>
        </w:tc>
      </w:tr>
      <w:tr>
        <w:trPr>
          <w:trHeight w:val="193"/>
        </w:trPr>
        <w:tc>
          <w:tcPr>
            <w:tcW w:w="3320" w:type="dxa"/>
            <w:vAlign w:val="bottom"/>
            <w:tcBorders>
              <w:right w:val="single" w:sz="8" w:color="808080"/>
            </w:tcBorders>
          </w:tcPr>
          <w:p>
            <w:pPr>
              <w:ind w:left="40"/>
              <w:spacing w:after="0"/>
              <w:rPr>
                <w:sz w:val="20"/>
                <w:szCs w:val="20"/>
                <w:color w:val="auto"/>
              </w:rPr>
            </w:pPr>
            <w:r>
              <w:rPr>
                <w:rFonts w:ascii="Arial" w:cs="Arial" w:eastAsia="Arial" w:hAnsi="Arial"/>
                <w:sz w:val="16"/>
                <w:szCs w:val="16"/>
                <w:color w:val="auto"/>
              </w:rPr>
              <w:t>Net income</w:t>
            </w:r>
          </w:p>
        </w:tc>
        <w:tc>
          <w:tcPr>
            <w:tcW w:w="980" w:type="dxa"/>
            <w:vAlign w:val="bottom"/>
          </w:tcPr>
          <w:p>
            <w:pPr>
              <w:spacing w:after="0"/>
              <w:rPr>
                <w:sz w:val="16"/>
                <w:szCs w:val="16"/>
                <w:color w:val="auto"/>
              </w:rPr>
            </w:pPr>
          </w:p>
        </w:tc>
        <w:tc>
          <w:tcPr>
            <w:tcW w:w="860" w:type="dxa"/>
            <w:vAlign w:val="bottom"/>
            <w:tcBorders>
              <w:right w:val="single" w:sz="8" w:color="7F7F7F"/>
            </w:tcBorders>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80" w:type="dxa"/>
            <w:vAlign w:val="bottom"/>
          </w:tcPr>
          <w:p>
            <w:pPr>
              <w:jc w:val="right"/>
              <w:ind w:right="121"/>
              <w:spacing w:after="0"/>
              <w:rPr>
                <w:sz w:val="20"/>
                <w:szCs w:val="20"/>
                <w:color w:val="auto"/>
              </w:rPr>
            </w:pPr>
            <w:r>
              <w:rPr>
                <w:rFonts w:ascii="Arial" w:cs="Arial" w:eastAsia="Arial" w:hAnsi="Arial"/>
                <w:sz w:val="16"/>
                <w:szCs w:val="16"/>
                <w:color w:val="auto"/>
              </w:rPr>
              <w:t>1,474</w:t>
            </w:r>
          </w:p>
        </w:tc>
        <w:tc>
          <w:tcPr>
            <w:tcW w:w="30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1,474</w:t>
            </w:r>
          </w:p>
        </w:tc>
        <w:tc>
          <w:tcPr>
            <w:tcW w:w="0" w:type="dxa"/>
            <w:vAlign w:val="bottom"/>
          </w:tcPr>
          <w:p>
            <w:pPr>
              <w:spacing w:after="0"/>
              <w:rPr>
                <w:sz w:val="1"/>
                <w:szCs w:val="1"/>
                <w:color w:val="auto"/>
              </w:rPr>
            </w:pPr>
          </w:p>
        </w:tc>
      </w:tr>
      <w:tr>
        <w:trPr>
          <w:trHeight w:val="213"/>
        </w:trPr>
        <w:tc>
          <w:tcPr>
            <w:tcW w:w="3320" w:type="dxa"/>
            <w:vAlign w:val="bottom"/>
            <w:tcBorders>
              <w:right w:val="single" w:sz="8" w:color="808080"/>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980" w:type="dxa"/>
            <w:vAlign w:val="bottom"/>
            <w:shd w:val="clear" w:color="auto" w:fill="CCEEFF"/>
          </w:tcPr>
          <w:p>
            <w:pPr>
              <w:spacing w:after="0"/>
              <w:rPr>
                <w:sz w:val="18"/>
                <w:szCs w:val="18"/>
                <w:color w:val="auto"/>
              </w:rPr>
            </w:pPr>
          </w:p>
        </w:tc>
        <w:tc>
          <w:tcPr>
            <w:tcW w:w="860" w:type="dxa"/>
            <w:vAlign w:val="bottom"/>
            <w:tcBorders>
              <w:right w:val="single" w:sz="8" w:color="7F7F7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9"/>
        </w:trPr>
        <w:tc>
          <w:tcPr>
            <w:tcW w:w="3320" w:type="dxa"/>
            <w:vAlign w:val="bottom"/>
            <w:tcBorders>
              <w:right w:val="single" w:sz="8" w:color="808080"/>
            </w:tcBorders>
          </w:tcPr>
          <w:p>
            <w:pPr>
              <w:ind w:left="40"/>
              <w:spacing w:after="0"/>
              <w:rPr>
                <w:sz w:val="20"/>
                <w:szCs w:val="20"/>
                <w:color w:val="auto"/>
              </w:rPr>
            </w:pPr>
            <w:r>
              <w:rPr>
                <w:rFonts w:ascii="Arial" w:cs="Arial" w:eastAsia="Arial" w:hAnsi="Arial"/>
                <w:sz w:val="16"/>
                <w:szCs w:val="16"/>
                <w:color w:val="auto"/>
              </w:rPr>
              <w:t>Conversion, stock option</w:t>
            </w:r>
          </w:p>
        </w:tc>
        <w:tc>
          <w:tcPr>
            <w:tcW w:w="980" w:type="dxa"/>
            <w:vAlign w:val="bottom"/>
            <w:vMerge w:val="restart"/>
          </w:tcPr>
          <w:p>
            <w:pPr>
              <w:jc w:val="right"/>
              <w:ind w:right="81"/>
              <w:spacing w:after="0"/>
              <w:rPr>
                <w:sz w:val="20"/>
                <w:szCs w:val="20"/>
                <w:color w:val="auto"/>
              </w:rPr>
            </w:pPr>
            <w:r>
              <w:rPr>
                <w:rFonts w:ascii="Arial" w:cs="Arial" w:eastAsia="Arial" w:hAnsi="Arial"/>
                <w:sz w:val="16"/>
                <w:szCs w:val="16"/>
                <w:color w:val="auto"/>
              </w:rPr>
              <w:t>0.3</w:t>
            </w:r>
          </w:p>
        </w:tc>
        <w:tc>
          <w:tcPr>
            <w:tcW w:w="860" w:type="dxa"/>
            <w:vAlign w:val="bottom"/>
            <w:tcBorders>
              <w:right w:val="single" w:sz="8" w:color="7F7F7F"/>
            </w:tcBorders>
            <w:vMerge w:val="restart"/>
          </w:tcPr>
          <w:p>
            <w:pPr>
              <w:jc w:val="right"/>
              <w:ind w:right="101"/>
              <w:spacing w:after="0"/>
              <w:rPr>
                <w:sz w:val="20"/>
                <w:szCs w:val="20"/>
                <w:color w:val="auto"/>
              </w:rPr>
            </w:pPr>
            <w:r>
              <w:rPr>
                <w:rFonts w:ascii="Arial" w:cs="Arial" w:eastAsia="Arial" w:hAnsi="Arial"/>
                <w:sz w:val="16"/>
                <w:szCs w:val="16"/>
                <w:color w:val="auto"/>
              </w:rPr>
              <w:t>0.5</w:t>
            </w:r>
          </w:p>
        </w:tc>
        <w:tc>
          <w:tcPr>
            <w:tcW w:w="440" w:type="dxa"/>
            <w:vAlign w:val="bottom"/>
          </w:tcPr>
          <w:p>
            <w:pPr>
              <w:spacing w:after="0"/>
              <w:rPr>
                <w:sz w:val="17"/>
                <w:szCs w:val="17"/>
                <w:color w:val="auto"/>
              </w:rPr>
            </w:pPr>
          </w:p>
        </w:tc>
        <w:tc>
          <w:tcPr>
            <w:tcW w:w="660" w:type="dxa"/>
            <w:vAlign w:val="bottom"/>
            <w:vMerge w:val="restart"/>
          </w:tcPr>
          <w:p>
            <w:pPr>
              <w:jc w:val="right"/>
              <w:ind w:right="81"/>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680" w:type="dxa"/>
            <w:vAlign w:val="bottom"/>
            <w:vMerge w:val="restart"/>
          </w:tcPr>
          <w:p>
            <w:pPr>
              <w:jc w:val="right"/>
              <w:ind w:right="61"/>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7"/>
                <w:szCs w:val="17"/>
                <w:color w:val="auto"/>
              </w:rPr>
            </w:pPr>
          </w:p>
        </w:tc>
        <w:tc>
          <w:tcPr>
            <w:tcW w:w="78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00" w:type="dxa"/>
            <w:vAlign w:val="bottom"/>
            <w:vMerge w:val="restart"/>
          </w:tcPr>
          <w:p>
            <w:pPr>
              <w:jc w:val="right"/>
              <w:ind w:right="61"/>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7"/>
                <w:szCs w:val="17"/>
                <w:color w:val="auto"/>
              </w:rPr>
            </w:pPr>
          </w:p>
        </w:tc>
        <w:tc>
          <w:tcPr>
            <w:tcW w:w="72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10"/>
        </w:trPr>
        <w:tc>
          <w:tcPr>
            <w:tcW w:w="3320" w:type="dxa"/>
            <w:vAlign w:val="bottom"/>
            <w:tcBorders>
              <w:right w:val="single" w:sz="8" w:color="808080"/>
            </w:tcBorders>
            <w:vMerge w:val="restart"/>
          </w:tcPr>
          <w:p>
            <w:pPr>
              <w:ind w:left="180"/>
              <w:spacing w:after="0"/>
              <w:rPr>
                <w:sz w:val="20"/>
                <w:szCs w:val="20"/>
                <w:color w:val="auto"/>
              </w:rPr>
            </w:pPr>
            <w:r>
              <w:rPr>
                <w:rFonts w:ascii="Arial" w:cs="Arial" w:eastAsia="Arial" w:hAnsi="Arial"/>
                <w:sz w:val="16"/>
                <w:szCs w:val="16"/>
                <w:color w:val="auto"/>
              </w:rPr>
              <w:t>exercises, forfeitures, and other</w:t>
            </w:r>
          </w:p>
        </w:tc>
        <w:tc>
          <w:tcPr>
            <w:tcW w:w="980" w:type="dxa"/>
            <w:vAlign w:val="bottom"/>
            <w:vMerge w:val="continue"/>
          </w:tcPr>
          <w:p>
            <w:pPr>
              <w:spacing w:after="0"/>
              <w:rPr>
                <w:sz w:val="9"/>
                <w:szCs w:val="9"/>
                <w:color w:val="auto"/>
              </w:rPr>
            </w:pPr>
          </w:p>
        </w:tc>
        <w:tc>
          <w:tcPr>
            <w:tcW w:w="860" w:type="dxa"/>
            <w:vAlign w:val="bottom"/>
            <w:tcBorders>
              <w:right w:val="single" w:sz="8" w:color="7F7F7F"/>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320" w:type="dxa"/>
            <w:vAlign w:val="bottom"/>
            <w:tcBorders>
              <w:right w:val="single" w:sz="8" w:color="808080"/>
            </w:tcBorders>
            <w:vMerge w:val="continue"/>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Borders>
              <w:right w:val="single" w:sz="8" w:color="7F7F7F"/>
            </w:tcBorders>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320" w:type="dxa"/>
            <w:vAlign w:val="bottom"/>
            <w:tcBorders>
              <w:right w:val="single" w:sz="8" w:color="808080"/>
            </w:tcBorders>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Borders>
              <w:right w:val="single" w:sz="8" w:color="7F7F7F"/>
            </w:tcBorders>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320" w:type="dxa"/>
            <w:vAlign w:val="bottom"/>
            <w:tcBorders>
              <w:right w:val="single" w:sz="8" w:color="808080"/>
            </w:tcBorders>
            <w:shd w:val="clear" w:color="auto" w:fill="CCEEFF"/>
          </w:tcPr>
          <w:p>
            <w:pPr>
              <w:ind w:left="40"/>
              <w:spacing w:after="0"/>
              <w:rPr>
                <w:sz w:val="20"/>
                <w:szCs w:val="20"/>
                <w:color w:val="auto"/>
              </w:rPr>
            </w:pPr>
            <w:r>
              <w:rPr>
                <w:rFonts w:ascii="Arial" w:cs="Arial" w:eastAsia="Arial" w:hAnsi="Arial"/>
                <w:sz w:val="16"/>
                <w:szCs w:val="16"/>
                <w:color w:val="auto"/>
              </w:rPr>
              <w:t>Share repurchase programs</w:t>
            </w:r>
          </w:p>
        </w:tc>
        <w:tc>
          <w:tcPr>
            <w:tcW w:w="9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7F7F7F"/>
            </w:tcBorders>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(14.3)</w:t>
            </w:r>
          </w:p>
        </w:tc>
        <w:tc>
          <w:tcPr>
            <w:tcW w:w="4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(400)</w:t>
            </w:r>
          </w:p>
        </w:tc>
        <w:tc>
          <w:tcPr>
            <w:tcW w:w="2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(2,556)</w:t>
            </w:r>
          </w:p>
        </w:tc>
        <w:tc>
          <w:tcPr>
            <w:tcW w:w="2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110"/>
        </w:trPr>
        <w:tc>
          <w:tcPr>
            <w:tcW w:w="3320" w:type="dxa"/>
            <w:vAlign w:val="bottom"/>
            <w:tcBorders>
              <w:right w:val="single" w:sz="8" w:color="808080"/>
            </w:tcBorders>
            <w:vMerge w:val="restart"/>
            <w:shd w:val="clear" w:color="auto" w:fill="CCEEFF"/>
          </w:tcPr>
          <w:p>
            <w:pPr>
              <w:ind w:left="120"/>
              <w:spacing w:after="0"/>
              <w:rPr>
                <w:sz w:val="20"/>
                <w:szCs w:val="20"/>
                <w:color w:val="auto"/>
              </w:rPr>
            </w:pPr>
            <w:r>
              <w:rPr>
                <w:rFonts w:ascii="Arial" w:cs="Arial" w:eastAsia="Arial" w:hAnsi="Arial"/>
                <w:sz w:val="16"/>
                <w:szCs w:val="16"/>
                <w:color w:val="auto"/>
              </w:rPr>
              <w:t>(Note 18)</w:t>
            </w:r>
          </w:p>
        </w:tc>
        <w:tc>
          <w:tcPr>
            <w:tcW w:w="980" w:type="dxa"/>
            <w:vAlign w:val="bottom"/>
            <w:vMerge w:val="continue"/>
            <w:shd w:val="clear" w:color="auto" w:fill="CCEEFF"/>
          </w:tcPr>
          <w:p>
            <w:pPr>
              <w:spacing w:after="0"/>
              <w:rPr>
                <w:sz w:val="9"/>
                <w:szCs w:val="9"/>
                <w:color w:val="auto"/>
              </w:rPr>
            </w:pPr>
          </w:p>
        </w:tc>
        <w:tc>
          <w:tcPr>
            <w:tcW w:w="860" w:type="dxa"/>
            <w:vAlign w:val="bottom"/>
            <w:tcBorders>
              <w:right w:val="single" w:sz="8" w:color="7F7F7F"/>
            </w:tcBorders>
            <w:vMerge w:val="continue"/>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8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320" w:type="dxa"/>
            <w:vAlign w:val="bottom"/>
            <w:tcBorders>
              <w:bottom w:val="single" w:sz="8" w:color="CCEEFF"/>
              <w:right w:val="single" w:sz="8" w:color="808080"/>
            </w:tcBorders>
            <w:vMerge w:val="continue"/>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860" w:type="dxa"/>
            <w:vAlign w:val="bottom"/>
            <w:tcBorders>
              <w:bottom w:val="single" w:sz="8" w:color="CCEEFF"/>
              <w:right w:val="single" w:sz="8" w:color="7F7F7F"/>
            </w:tcBorders>
            <w:shd w:val="clear" w:color="auto" w:fill="CCEEFF"/>
          </w:tcPr>
          <w:p>
            <w:pPr>
              <w:spacing w:after="0"/>
              <w:rPr>
                <w:sz w:val="7"/>
                <w:szCs w:val="7"/>
                <w:color w:val="auto"/>
              </w:rPr>
            </w:pPr>
          </w:p>
        </w:tc>
        <w:tc>
          <w:tcPr>
            <w:tcW w:w="44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shd w:val="clear" w:color="auto" w:fill="CCEEFF"/>
          </w:tcPr>
          <w:p>
            <w:pPr>
              <w:spacing w:after="0"/>
              <w:rPr>
                <w:sz w:val="7"/>
                <w:szCs w:val="7"/>
                <w:color w:val="auto"/>
              </w:rPr>
            </w:pPr>
          </w:p>
        </w:tc>
        <w:tc>
          <w:tcPr>
            <w:tcW w:w="320" w:type="dxa"/>
            <w:vAlign w:val="bottom"/>
            <w:tcBorders>
              <w:bottom w:val="single" w:sz="8" w:color="CCEEFF"/>
            </w:tcBorders>
            <w:shd w:val="clear" w:color="auto" w:fill="CCEEFF"/>
          </w:tcPr>
          <w:p>
            <w:pPr>
              <w:spacing w:after="0"/>
              <w:rPr>
                <w:sz w:val="7"/>
                <w:szCs w:val="7"/>
                <w:color w:val="auto"/>
              </w:rPr>
            </w:pPr>
          </w:p>
        </w:tc>
        <w:tc>
          <w:tcPr>
            <w:tcW w:w="6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320" w:type="dxa"/>
            <w:vAlign w:val="bottom"/>
            <w:tcBorders>
              <w:right w:val="single" w:sz="8" w:color="808080"/>
            </w:tcBorders>
          </w:tcPr>
          <w:p>
            <w:pPr>
              <w:ind w:left="40"/>
              <w:spacing w:after="0"/>
              <w:rPr>
                <w:sz w:val="20"/>
                <w:szCs w:val="20"/>
                <w:color w:val="auto"/>
              </w:rPr>
            </w:pPr>
            <w:r>
              <w:rPr>
                <w:rFonts w:ascii="Arial" w:cs="Arial" w:eastAsia="Arial" w:hAnsi="Arial"/>
                <w:sz w:val="16"/>
                <w:szCs w:val="16"/>
                <w:color w:val="auto"/>
              </w:rPr>
              <w:t>Cash dividends declared</w:t>
            </w:r>
          </w:p>
        </w:tc>
        <w:tc>
          <w:tcPr>
            <w:tcW w:w="9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7F7F7F"/>
            </w:tcBorders>
            <w:vMerge w:val="restart"/>
          </w:tcPr>
          <w:p>
            <w:pPr>
              <w:jc w:val="right"/>
              <w:ind w:right="61"/>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66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8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80" w:type="dxa"/>
            <w:vAlign w:val="bottom"/>
            <w:vMerge w:val="restart"/>
          </w:tcPr>
          <w:p>
            <w:pPr>
              <w:jc w:val="right"/>
              <w:ind w:right="81"/>
              <w:spacing w:after="0"/>
              <w:rPr>
                <w:sz w:val="20"/>
                <w:szCs w:val="20"/>
                <w:color w:val="auto"/>
              </w:rPr>
            </w:pPr>
            <w:r>
              <w:rPr>
                <w:rFonts w:ascii="Arial" w:cs="Arial" w:eastAsia="Arial" w:hAnsi="Arial"/>
                <w:sz w:val="16"/>
                <w:szCs w:val="16"/>
                <w:color w:val="auto"/>
              </w:rPr>
              <w:t>(660)</w:t>
            </w:r>
          </w:p>
        </w:tc>
        <w:tc>
          <w:tcPr>
            <w:tcW w:w="300" w:type="dxa"/>
            <w:vAlign w:val="bottom"/>
          </w:tcPr>
          <w:p>
            <w:pPr>
              <w:spacing w:after="0"/>
              <w:rPr>
                <w:sz w:val="17"/>
                <w:szCs w:val="17"/>
                <w:color w:val="auto"/>
              </w:rPr>
            </w:pPr>
          </w:p>
        </w:tc>
        <w:tc>
          <w:tcPr>
            <w:tcW w:w="80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2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110"/>
        </w:trPr>
        <w:tc>
          <w:tcPr>
            <w:tcW w:w="3320" w:type="dxa"/>
            <w:vAlign w:val="bottom"/>
            <w:tcBorders>
              <w:right w:val="single" w:sz="8" w:color="808080"/>
            </w:tcBorders>
            <w:vMerge w:val="restart"/>
          </w:tcPr>
          <w:p>
            <w:pPr>
              <w:ind w:left="180"/>
              <w:spacing w:after="0"/>
              <w:rPr>
                <w:sz w:val="20"/>
                <w:szCs w:val="20"/>
                <w:color w:val="auto"/>
              </w:rPr>
            </w:pPr>
            <w:r>
              <w:rPr>
                <w:rFonts w:ascii="Arial" w:cs="Arial" w:eastAsia="Arial" w:hAnsi="Arial"/>
                <w:sz w:val="16"/>
                <w:szCs w:val="16"/>
                <w:color w:val="auto"/>
              </w:rPr>
              <w:t>($0.97 per share)</w:t>
            </w:r>
          </w:p>
        </w:tc>
        <w:tc>
          <w:tcPr>
            <w:tcW w:w="980" w:type="dxa"/>
            <w:vAlign w:val="bottom"/>
            <w:vMerge w:val="continue"/>
          </w:tcPr>
          <w:p>
            <w:pPr>
              <w:spacing w:after="0"/>
              <w:rPr>
                <w:sz w:val="9"/>
                <w:szCs w:val="9"/>
                <w:color w:val="auto"/>
              </w:rPr>
            </w:pPr>
          </w:p>
        </w:tc>
        <w:tc>
          <w:tcPr>
            <w:tcW w:w="860" w:type="dxa"/>
            <w:vAlign w:val="bottom"/>
            <w:tcBorders>
              <w:right w:val="single" w:sz="8" w:color="7F7F7F"/>
            </w:tcBorders>
            <w:vMerge w:val="continue"/>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320" w:type="dxa"/>
            <w:vAlign w:val="bottom"/>
            <w:tcBorders>
              <w:right w:val="single" w:sz="8" w:color="808080"/>
            </w:tcBorders>
            <w:vMerge w:val="continue"/>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Borders>
              <w:right w:val="single" w:sz="8" w:color="7F7F7F"/>
            </w:tcBorders>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320" w:type="dxa"/>
            <w:vAlign w:val="bottom"/>
            <w:tcBorders>
              <w:bottom w:val="single" w:sz="8" w:color="7F7F7F"/>
              <w:right w:val="single" w:sz="8" w:color="808080"/>
            </w:tcBorders>
          </w:tcPr>
          <w:p>
            <w:pPr>
              <w:spacing w:after="0"/>
              <w:rPr>
                <w:sz w:val="2"/>
                <w:szCs w:val="2"/>
                <w:color w:val="auto"/>
              </w:rPr>
            </w:pPr>
          </w:p>
        </w:tc>
        <w:tc>
          <w:tcPr>
            <w:tcW w:w="980" w:type="dxa"/>
            <w:vAlign w:val="bottom"/>
            <w:tcBorders>
              <w:bottom w:val="single" w:sz="8" w:color="7F7F7F"/>
            </w:tcBorders>
          </w:tcPr>
          <w:p>
            <w:pPr>
              <w:spacing w:after="0"/>
              <w:rPr>
                <w:sz w:val="2"/>
                <w:szCs w:val="2"/>
                <w:color w:val="auto"/>
              </w:rPr>
            </w:pPr>
          </w:p>
        </w:tc>
        <w:tc>
          <w:tcPr>
            <w:tcW w:w="860" w:type="dxa"/>
            <w:vAlign w:val="bottom"/>
            <w:tcBorders>
              <w:bottom w:val="single" w:sz="8" w:color="7F7F7F"/>
              <w:right w:val="single" w:sz="8" w:color="7F7F7F"/>
            </w:tcBorders>
          </w:tcPr>
          <w:p>
            <w:pPr>
              <w:spacing w:after="0"/>
              <w:rPr>
                <w:sz w:val="2"/>
                <w:szCs w:val="2"/>
                <w:color w:val="auto"/>
              </w:rPr>
            </w:pPr>
          </w:p>
        </w:tc>
        <w:tc>
          <w:tcPr>
            <w:tcW w:w="440" w:type="dxa"/>
            <w:vAlign w:val="bottom"/>
            <w:tcBorders>
              <w:bottom w:val="single" w:sz="8" w:color="7F7F7F"/>
            </w:tcBorders>
          </w:tcPr>
          <w:p>
            <w:pPr>
              <w:spacing w:after="0"/>
              <w:rPr>
                <w:sz w:val="2"/>
                <w:szCs w:val="2"/>
                <w:color w:val="auto"/>
              </w:rPr>
            </w:pPr>
          </w:p>
        </w:tc>
        <w:tc>
          <w:tcPr>
            <w:tcW w:w="660" w:type="dxa"/>
            <w:vAlign w:val="bottom"/>
            <w:tcBorders>
              <w:bottom w:val="single" w:sz="8" w:color="7F7F7F"/>
            </w:tcBorders>
          </w:tcPr>
          <w:p>
            <w:pPr>
              <w:spacing w:after="0"/>
              <w:rPr>
                <w:sz w:val="2"/>
                <w:szCs w:val="2"/>
                <w:color w:val="auto"/>
              </w:rPr>
            </w:pPr>
          </w:p>
        </w:tc>
        <w:tc>
          <w:tcPr>
            <w:tcW w:w="240" w:type="dxa"/>
            <w:vAlign w:val="bottom"/>
            <w:tcBorders>
              <w:bottom w:val="single" w:sz="8" w:color="7F7F7F"/>
            </w:tcBorders>
          </w:tcPr>
          <w:p>
            <w:pPr>
              <w:spacing w:after="0"/>
              <w:rPr>
                <w:sz w:val="2"/>
                <w:szCs w:val="2"/>
                <w:color w:val="auto"/>
              </w:rPr>
            </w:pPr>
          </w:p>
        </w:tc>
        <w:tc>
          <w:tcPr>
            <w:tcW w:w="680" w:type="dxa"/>
            <w:vAlign w:val="bottom"/>
            <w:tcBorders>
              <w:bottom w:val="single" w:sz="8" w:color="7F7F7F"/>
            </w:tcBorders>
          </w:tcPr>
          <w:p>
            <w:pPr>
              <w:spacing w:after="0"/>
              <w:rPr>
                <w:sz w:val="2"/>
                <w:szCs w:val="2"/>
                <w:color w:val="auto"/>
              </w:rPr>
            </w:pPr>
          </w:p>
        </w:tc>
        <w:tc>
          <w:tcPr>
            <w:tcW w:w="260" w:type="dxa"/>
            <w:vAlign w:val="bottom"/>
            <w:tcBorders>
              <w:bottom w:val="single" w:sz="8" w:color="7F7F7F"/>
            </w:tcBorders>
          </w:tcPr>
          <w:p>
            <w:pPr>
              <w:spacing w:after="0"/>
              <w:rPr>
                <w:sz w:val="2"/>
                <w:szCs w:val="2"/>
                <w:color w:val="auto"/>
              </w:rPr>
            </w:pPr>
          </w:p>
        </w:tc>
        <w:tc>
          <w:tcPr>
            <w:tcW w:w="780" w:type="dxa"/>
            <w:vAlign w:val="bottom"/>
            <w:tcBorders>
              <w:bottom w:val="single" w:sz="8" w:color="7F7F7F"/>
            </w:tcBorders>
          </w:tcPr>
          <w:p>
            <w:pPr>
              <w:spacing w:after="0"/>
              <w:rPr>
                <w:sz w:val="2"/>
                <w:szCs w:val="2"/>
                <w:color w:val="auto"/>
              </w:rPr>
            </w:pPr>
          </w:p>
        </w:tc>
        <w:tc>
          <w:tcPr>
            <w:tcW w:w="300" w:type="dxa"/>
            <w:vAlign w:val="bottom"/>
            <w:tcBorders>
              <w:bottom w:val="single" w:sz="8" w:color="7F7F7F"/>
            </w:tcBorders>
          </w:tcPr>
          <w:p>
            <w:pPr>
              <w:spacing w:after="0"/>
              <w:rPr>
                <w:sz w:val="2"/>
                <w:szCs w:val="2"/>
                <w:color w:val="auto"/>
              </w:rPr>
            </w:pPr>
          </w:p>
        </w:tc>
        <w:tc>
          <w:tcPr>
            <w:tcW w:w="800" w:type="dxa"/>
            <w:vAlign w:val="bottom"/>
            <w:tcBorders>
              <w:bottom w:val="single" w:sz="8" w:color="7F7F7F"/>
            </w:tcBorders>
          </w:tcPr>
          <w:p>
            <w:pPr>
              <w:spacing w:after="0"/>
              <w:rPr>
                <w:sz w:val="2"/>
                <w:szCs w:val="2"/>
                <w:color w:val="auto"/>
              </w:rPr>
            </w:pPr>
          </w:p>
        </w:tc>
        <w:tc>
          <w:tcPr>
            <w:tcW w:w="280" w:type="dxa"/>
            <w:vAlign w:val="bottom"/>
            <w:tcBorders>
              <w:bottom w:val="single" w:sz="8" w:color="7F7F7F"/>
            </w:tcBorders>
          </w:tcPr>
          <w:p>
            <w:pPr>
              <w:spacing w:after="0"/>
              <w:rPr>
                <w:sz w:val="2"/>
                <w:szCs w:val="2"/>
                <w:color w:val="auto"/>
              </w:rPr>
            </w:pPr>
          </w:p>
        </w:tc>
        <w:tc>
          <w:tcPr>
            <w:tcW w:w="720" w:type="dxa"/>
            <w:vAlign w:val="bottom"/>
            <w:tcBorders>
              <w:bottom w:val="single" w:sz="8" w:color="7F7F7F"/>
            </w:tcBorders>
          </w:tcPr>
          <w:p>
            <w:pPr>
              <w:spacing w:after="0"/>
              <w:rPr>
                <w:sz w:val="2"/>
                <w:szCs w:val="2"/>
                <w:color w:val="auto"/>
              </w:rPr>
            </w:pPr>
          </w:p>
        </w:tc>
        <w:tc>
          <w:tcPr>
            <w:tcW w:w="320" w:type="dxa"/>
            <w:vAlign w:val="bottom"/>
            <w:tcBorders>
              <w:bottom w:val="single" w:sz="8" w:color="7F7F7F"/>
            </w:tcBorders>
          </w:tcPr>
          <w:p>
            <w:pPr>
              <w:spacing w:after="0"/>
              <w:rPr>
                <w:sz w:val="2"/>
                <w:szCs w:val="2"/>
                <w:color w:val="auto"/>
              </w:rPr>
            </w:pPr>
          </w:p>
        </w:tc>
        <w:tc>
          <w:tcPr>
            <w:tcW w:w="60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320" w:type="dxa"/>
            <w:vAlign w:val="bottom"/>
            <w:tcBorders>
              <w:bottom w:val="single" w:sz="8" w:color="7F7F7F"/>
              <w:right w:val="single" w:sz="8" w:color="808080"/>
            </w:tcBorders>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Balance at March 31, 2020</w:t>
            </w:r>
          </w:p>
        </w:tc>
        <w:tc>
          <w:tcPr>
            <w:tcW w:w="980" w:type="dxa"/>
            <w:vAlign w:val="bottom"/>
            <w:tcBorders>
              <w:bottom w:val="single" w:sz="8" w:color="7F7F7F"/>
            </w:tcBorders>
            <w:shd w:val="clear" w:color="auto" w:fill="CCEEFF"/>
          </w:tcPr>
          <w:p>
            <w:pPr>
              <w:jc w:val="right"/>
              <w:ind w:right="81"/>
              <w:spacing w:after="0" w:line="177" w:lineRule="exact"/>
              <w:rPr>
                <w:sz w:val="20"/>
                <w:szCs w:val="20"/>
                <w:color w:val="auto"/>
              </w:rPr>
            </w:pPr>
            <w:r>
              <w:rPr>
                <w:rFonts w:ascii="Arial" w:cs="Arial" w:eastAsia="Arial" w:hAnsi="Arial"/>
                <w:sz w:val="16"/>
                <w:szCs w:val="16"/>
                <w:b w:val="1"/>
                <w:bCs w:val="1"/>
                <w:color w:val="auto"/>
              </w:rPr>
              <w:t>1,112.3</w:t>
            </w:r>
          </w:p>
        </w:tc>
        <w:tc>
          <w:tcPr>
            <w:tcW w:w="860" w:type="dxa"/>
            <w:vAlign w:val="bottom"/>
            <w:tcBorders>
              <w:bottom w:val="single" w:sz="8" w:color="7F7F7F"/>
              <w:right w:val="single" w:sz="8" w:color="7F7F7F"/>
            </w:tcBorders>
            <w:shd w:val="clear" w:color="auto" w:fill="CCEEFF"/>
          </w:tcPr>
          <w:p>
            <w:pPr>
              <w:jc w:val="right"/>
              <w:ind w:right="61"/>
              <w:spacing w:after="0" w:line="177" w:lineRule="exact"/>
              <w:rPr>
                <w:sz w:val="20"/>
                <w:szCs w:val="20"/>
                <w:color w:val="auto"/>
              </w:rPr>
            </w:pPr>
            <w:r>
              <w:rPr>
                <w:rFonts w:ascii="Arial" w:cs="Arial" w:eastAsia="Arial" w:hAnsi="Arial"/>
                <w:sz w:val="16"/>
                <w:szCs w:val="16"/>
                <w:b w:val="1"/>
                <w:bCs w:val="1"/>
                <w:color w:val="auto"/>
              </w:rPr>
              <w:t>(433.7)</w:t>
            </w:r>
          </w:p>
        </w:tc>
        <w:tc>
          <w:tcPr>
            <w:tcW w:w="440" w:type="dxa"/>
            <w:vAlign w:val="bottom"/>
            <w:tcBorders>
              <w:bottom w:val="single" w:sz="8" w:color="7F7F7F"/>
            </w:tcBorders>
            <w:shd w:val="clear" w:color="auto" w:fill="CCEEFF"/>
          </w:tcPr>
          <w:p>
            <w:pPr>
              <w:jc w:val="right"/>
              <w:spacing w:after="0" w:line="177" w:lineRule="exact"/>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7F7F7F"/>
            </w:tcBorders>
            <w:shd w:val="clear" w:color="auto" w:fill="CCEEFF"/>
          </w:tcPr>
          <w:p>
            <w:pPr>
              <w:jc w:val="right"/>
              <w:ind w:right="81"/>
              <w:spacing w:after="0" w:line="177" w:lineRule="exact"/>
              <w:rPr>
                <w:sz w:val="20"/>
                <w:szCs w:val="20"/>
                <w:color w:val="auto"/>
              </w:rPr>
            </w:pPr>
            <w:r>
              <w:rPr>
                <w:rFonts w:ascii="Arial" w:cs="Arial" w:eastAsia="Arial" w:hAnsi="Arial"/>
                <w:sz w:val="16"/>
                <w:szCs w:val="16"/>
                <w:b w:val="1"/>
                <w:bCs w:val="1"/>
                <w:color w:val="auto"/>
              </w:rPr>
              <w:t>2,781</w:t>
            </w:r>
          </w:p>
        </w:tc>
        <w:tc>
          <w:tcPr>
            <w:tcW w:w="240" w:type="dxa"/>
            <w:vAlign w:val="bottom"/>
            <w:tcBorders>
              <w:bottom w:val="single" w:sz="8" w:color="7F7F7F"/>
            </w:tcBorders>
            <w:shd w:val="clear" w:color="auto" w:fill="CCEEFF"/>
          </w:tcPr>
          <w:p>
            <w:pPr>
              <w:jc w:val="right"/>
              <w:spacing w:after="0" w:line="177" w:lineRule="exact"/>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7F7F7F"/>
            </w:tcBorders>
            <w:shd w:val="clear" w:color="auto" w:fill="CCEEFF"/>
          </w:tcPr>
          <w:p>
            <w:pPr>
              <w:jc w:val="right"/>
              <w:ind w:right="101"/>
              <w:spacing w:after="0" w:line="177" w:lineRule="exact"/>
              <w:rPr>
                <w:sz w:val="20"/>
                <w:szCs w:val="20"/>
                <w:color w:val="auto"/>
              </w:rPr>
            </w:pPr>
            <w:r>
              <w:rPr>
                <w:rFonts w:ascii="Arial" w:cs="Arial" w:eastAsia="Arial" w:hAnsi="Arial"/>
                <w:sz w:val="16"/>
                <w:szCs w:val="16"/>
                <w:b w:val="1"/>
                <w:bCs w:val="1"/>
                <w:color w:val="auto"/>
              </w:rPr>
              <w:t>4,112</w:t>
            </w:r>
          </w:p>
        </w:tc>
        <w:tc>
          <w:tcPr>
            <w:tcW w:w="260" w:type="dxa"/>
            <w:vAlign w:val="bottom"/>
            <w:tcBorders>
              <w:bottom w:val="single" w:sz="8" w:color="7F7F7F"/>
            </w:tcBorders>
            <w:shd w:val="clear" w:color="auto" w:fill="CCEEFF"/>
          </w:tcPr>
          <w:p>
            <w:pPr>
              <w:jc w:val="right"/>
              <w:spacing w:after="0" w:line="177"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7F7F7F"/>
            </w:tcBorders>
            <w:shd w:val="clear" w:color="auto" w:fill="CCEEFF"/>
          </w:tcPr>
          <w:p>
            <w:pPr>
              <w:jc w:val="right"/>
              <w:ind w:right="121"/>
              <w:spacing w:after="0" w:line="177" w:lineRule="exact"/>
              <w:rPr>
                <w:sz w:val="20"/>
                <w:szCs w:val="20"/>
                <w:color w:val="auto"/>
              </w:rPr>
            </w:pPr>
            <w:r>
              <w:rPr>
                <w:rFonts w:ascii="Arial" w:cs="Arial" w:eastAsia="Arial" w:hAnsi="Arial"/>
                <w:sz w:val="16"/>
                <w:szCs w:val="16"/>
                <w:b w:val="1"/>
                <w:bCs w:val="1"/>
                <w:color w:val="auto"/>
              </w:rPr>
              <w:t>49,419</w:t>
            </w:r>
          </w:p>
        </w:tc>
        <w:tc>
          <w:tcPr>
            <w:tcW w:w="300" w:type="dxa"/>
            <w:vAlign w:val="bottom"/>
            <w:tcBorders>
              <w:bottom w:val="single" w:sz="8" w:color="7F7F7F"/>
            </w:tcBorders>
            <w:shd w:val="clear" w:color="auto" w:fill="CCEEFF"/>
          </w:tcPr>
          <w:p>
            <w:pPr>
              <w:jc w:val="right"/>
              <w:spacing w:after="0" w:line="177"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7F7F7F"/>
            </w:tcBorders>
            <w:shd w:val="clear" w:color="auto" w:fill="CCEEFF"/>
          </w:tcPr>
          <w:p>
            <w:pPr>
              <w:jc w:val="right"/>
              <w:ind w:right="61"/>
              <w:spacing w:after="0" w:line="177" w:lineRule="exact"/>
              <w:rPr>
                <w:sz w:val="20"/>
                <w:szCs w:val="20"/>
                <w:color w:val="auto"/>
              </w:rPr>
            </w:pPr>
            <w:r>
              <w:rPr>
                <w:rFonts w:ascii="Arial" w:cs="Arial" w:eastAsia="Arial" w:hAnsi="Arial"/>
                <w:sz w:val="16"/>
                <w:szCs w:val="16"/>
                <w:b w:val="1"/>
                <w:bCs w:val="1"/>
                <w:color w:val="auto"/>
              </w:rPr>
              <w:t>(38,992)</w:t>
            </w:r>
          </w:p>
        </w:tc>
        <w:tc>
          <w:tcPr>
            <w:tcW w:w="280" w:type="dxa"/>
            <w:vAlign w:val="bottom"/>
            <w:tcBorders>
              <w:bottom w:val="single" w:sz="8" w:color="7F7F7F"/>
            </w:tcBorders>
            <w:shd w:val="clear" w:color="auto" w:fill="CCEEFF"/>
          </w:tcPr>
          <w:p>
            <w:pPr>
              <w:jc w:val="right"/>
              <w:spacing w:after="0" w:line="177"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7F7F7F"/>
            </w:tcBorders>
            <w:shd w:val="clear" w:color="auto" w:fill="CCEEFF"/>
          </w:tcPr>
          <w:p>
            <w:pPr>
              <w:jc w:val="right"/>
              <w:ind w:right="81"/>
              <w:spacing w:after="0" w:line="177" w:lineRule="exact"/>
              <w:rPr>
                <w:sz w:val="20"/>
                <w:szCs w:val="20"/>
                <w:color w:val="auto"/>
              </w:rPr>
            </w:pPr>
            <w:r>
              <w:rPr>
                <w:rFonts w:ascii="Arial" w:cs="Arial" w:eastAsia="Arial" w:hAnsi="Arial"/>
                <w:sz w:val="16"/>
                <w:szCs w:val="16"/>
                <w:b w:val="1"/>
                <w:bCs w:val="1"/>
                <w:color w:val="auto"/>
              </w:rPr>
              <w:t>(1,329)</w:t>
            </w:r>
          </w:p>
        </w:tc>
        <w:tc>
          <w:tcPr>
            <w:tcW w:w="320" w:type="dxa"/>
            <w:vAlign w:val="bottom"/>
            <w:tcBorders>
              <w:bottom w:val="single" w:sz="8" w:color="7F7F7F"/>
            </w:tcBorders>
            <w:shd w:val="clear" w:color="auto" w:fill="CCEEFF"/>
          </w:tcPr>
          <w:p>
            <w:pPr>
              <w:jc w:val="right"/>
              <w:ind w:right="21"/>
              <w:spacing w:after="0" w:line="177" w:lineRule="exact"/>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7F7F7F"/>
            </w:tcBorders>
            <w:shd w:val="clear" w:color="auto" w:fill="CCEEFF"/>
          </w:tcPr>
          <w:p>
            <w:pPr>
              <w:jc w:val="right"/>
              <w:spacing w:after="0" w:line="177" w:lineRule="exact"/>
              <w:rPr>
                <w:sz w:val="20"/>
                <w:szCs w:val="20"/>
                <w:color w:val="auto"/>
              </w:rPr>
            </w:pPr>
            <w:r>
              <w:rPr>
                <w:rFonts w:ascii="Arial" w:cs="Arial" w:eastAsia="Arial" w:hAnsi="Arial"/>
                <w:sz w:val="16"/>
                <w:szCs w:val="16"/>
                <w:b w:val="1"/>
                <w:bCs w:val="1"/>
                <w:color w:val="auto"/>
              </w:rPr>
              <w:t>15,991</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20" w:hanging="315"/>
        <w:spacing w:after="0"/>
        <w:tabs>
          <w:tab w:leader="none" w:pos="3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AOCI = Accumulated Other Comprehensive Income/(Loss) (Note 9)</w:t>
      </w:r>
    </w:p>
    <w:p>
      <w:pP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 w:name="page7"/>
    <w:bookmarkEnd w:id="6"/>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200" w:lineRule="exact"/>
        <w:rPr>
          <w:sz w:val="20"/>
          <w:szCs w:val="20"/>
          <w:color w:val="auto"/>
        </w:rPr>
      </w:pPr>
    </w:p>
    <w:p>
      <w:pPr>
        <w:spacing w:after="0" w:line="339" w:lineRule="exact"/>
        <w:rPr>
          <w:sz w:val="20"/>
          <w:szCs w:val="20"/>
          <w:color w:val="auto"/>
        </w:rPr>
      </w:pPr>
    </w:p>
    <w:p>
      <w:pPr>
        <w:jc w:val="center"/>
        <w:spacing w:after="0" w:line="459" w:lineRule="auto"/>
        <w:rPr>
          <w:sz w:val="20"/>
          <w:szCs w:val="20"/>
          <w:color w:val="auto"/>
        </w:rPr>
      </w:pPr>
      <w:r>
        <w:rPr>
          <w:rFonts w:ascii="Arial" w:cs="Arial" w:eastAsia="Arial" w:hAnsi="Arial"/>
          <w:sz w:val="17"/>
          <w:szCs w:val="17"/>
          <w:b w:val="1"/>
          <w:bCs w:val="1"/>
          <w:color w:val="auto"/>
        </w:rPr>
        <w:t xml:space="preserve">UNION PACIFIC CORPORATION AND SUBSIDIARY COMPANIES NOTES TO THE CONDENSED CONSOLIDATED FINANCIAL STATEMENTS </w:t>
      </w:r>
      <w:r>
        <w:rPr>
          <w:rFonts w:ascii="Arial" w:cs="Arial" w:eastAsia="Arial" w:hAnsi="Arial"/>
          <w:sz w:val="17"/>
          <w:szCs w:val="17"/>
          <w:color w:val="auto"/>
        </w:rPr>
        <w:t>(Unaudited)</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For purposes of this report, unless the context otherwise requires, all references herein to the “Corporation”, “Company”, “UPC”, “we”, “us”, and “our” mean Union Pacific Corporation and its subsidiaries, including Union Pacific Railroad Company, which will be separately referred to herein as “UPRR” or the “Railroad”.</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19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Our Condensed Consolidated Financial Statements are unaudited and reflect all adjustments (consisting of normal and recurring adjustments) that are, in the opinion of management, necessary for their fair presentation in conformity with accounting principles generally accepted in the United States of America (GAAP). Pursuant to the rules and regulations of the Securities and Exchange Commission (SEC), certain information and note disclosures normally included in financial statements prepared in accordance with GAAP have been condensed or omitted. Accordingly, this Quarterly Report on Form 10-Q should be read in conjunction with our Consolidated Financial Statements and notes thereto contained in our 2019 Annual Report on Form 10-K. Our Consolidated Statement of Financial Position at December 31, 2019, is derived from audited financial statements. The results of operations for the three months ended March 31, 2020, are not necessarily indicative of the results for the entire year ending December 31, 2020.</w:t>
      </w:r>
    </w:p>
    <w:p>
      <w:pPr>
        <w:spacing w:after="0" w:line="16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Condensed Consolidated Financial Statements are presented in accordance with GAAP as codified in the Financial Accounting Standards Board (FASB) Accounting Standards Codification (ASC).</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Accounting Pronouncements</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 xml:space="preserve">In June 2016, the FASB issued Accounting Standards Update No. 2016-13 (ASU 2016-13), </w:t>
      </w:r>
      <w:r>
        <w:rPr>
          <w:rFonts w:ascii="Arial" w:cs="Arial" w:eastAsia="Arial" w:hAnsi="Arial"/>
          <w:sz w:val="17"/>
          <w:szCs w:val="17"/>
          <w:i w:val="1"/>
          <w:iCs w:val="1"/>
          <w:color w:val="auto"/>
        </w:rPr>
        <w:t>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which replaces the existing incurred credit loss model for an expected credit loss model. Effective January 1, 2020,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ASU 2016-13 and it did not have a material impact on our consolidated financial position, results of operations, or cash flows.</w:t>
      </w:r>
    </w:p>
    <w:p>
      <w:pPr>
        <w:spacing w:after="0" w:line="10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In August 2018, the FASB issued Accounting Standards Update No. 2018-14 (ASU 2018-14), </w:t>
      </w:r>
      <w:r>
        <w:rPr>
          <w:rFonts w:ascii="Arial" w:cs="Arial" w:eastAsia="Arial" w:hAnsi="Arial"/>
          <w:sz w:val="17"/>
          <w:szCs w:val="17"/>
          <w:i w:val="1"/>
          <w:iCs w:val="1"/>
          <w:color w:val="auto"/>
        </w:rPr>
        <w:t>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Defined Benefit Plans, </w:t>
      </w:r>
      <w:r>
        <w:rPr>
          <w:rFonts w:ascii="Arial" w:cs="Arial" w:eastAsia="Arial" w:hAnsi="Arial"/>
          <w:sz w:val="17"/>
          <w:szCs w:val="17"/>
          <w:color w:val="auto"/>
        </w:rPr>
        <w:t>which modifies the disclosure requirements for employers that sponsor defined benefit pension and other postretirement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plans. The ASU is effective for the Company beginning January 1, 2021, and early adoption is permitted. Adoption of the standard is not expected to have a material impact on the Company’s consolidated financial statement disclosure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Operations and Segmentation</w:t>
      </w:r>
    </w:p>
    <w:p>
      <w:pPr>
        <w:spacing w:after="0" w:line="19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Railroad, along with its subsidiaries and rail affiliates, is our one reportable operating segment. Although we provide and analyze revenue by three commodity groups, we treat the financial results of the Railroad as one segment due to the integrated nature of our rail network. Our operating revenues are primarily derived from contracts with customers for the transportation of freight from origin to destination. Prior to 2020, we reported on four commodity groups, thus 2020 freight revenues have been realigned to the new reporting format.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disaggregation of our freight and other revenues: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4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3240" w:type="dxa"/>
            <w:vAlign w:val="bottom"/>
            <w:tcBorders>
              <w:top w:val="single" w:sz="8" w:color="7F7F7F"/>
            </w:tcBorders>
          </w:tcPr>
          <w:p>
            <w:pPr>
              <w:spacing w:after="0"/>
              <w:rPr>
                <w:sz w:val="20"/>
                <w:szCs w:val="20"/>
                <w:color w:val="auto"/>
              </w:rPr>
            </w:pPr>
          </w:p>
        </w:tc>
        <w:tc>
          <w:tcPr>
            <w:tcW w:w="1020" w:type="dxa"/>
            <w:vAlign w:val="bottom"/>
            <w:tcBorders>
              <w:top w:val="single" w:sz="8" w:color="7F7F7F"/>
            </w:tcBorders>
            <w:vMerge w:val="restart"/>
          </w:tcPr>
          <w:p>
            <w:pPr>
              <w:jc w:val="right"/>
              <w:ind w:right="61"/>
              <w:spacing w:after="0"/>
              <w:rPr>
                <w:sz w:val="20"/>
                <w:szCs w:val="20"/>
                <w:color w:val="auto"/>
              </w:rPr>
            </w:pPr>
            <w:r>
              <w:rPr>
                <w:rFonts w:ascii="Arial" w:cs="Arial" w:eastAsia="Arial" w:hAnsi="Arial"/>
                <w:sz w:val="16"/>
                <w:szCs w:val="16"/>
                <w:b w:val="1"/>
                <w:bCs w:val="1"/>
                <w:i w:val="1"/>
                <w:iCs w:val="1"/>
                <w:color w:val="auto"/>
              </w:rPr>
              <w:t>2020</w:t>
            </w:r>
          </w:p>
        </w:tc>
        <w:tc>
          <w:tcPr>
            <w:tcW w:w="660" w:type="dxa"/>
            <w:vAlign w:val="bottom"/>
            <w:tcBorders>
              <w:top w:val="single" w:sz="8" w:color="7F7F7F"/>
            </w:tcBorders>
          </w:tcPr>
          <w:p>
            <w:pPr>
              <w:spacing w:after="0"/>
              <w:rPr>
                <w:sz w:val="20"/>
                <w:szCs w:val="20"/>
                <w:color w:val="auto"/>
              </w:rPr>
            </w:pPr>
          </w:p>
        </w:tc>
        <w:tc>
          <w:tcPr>
            <w:tcW w:w="880" w:type="dxa"/>
            <w:vAlign w:val="bottom"/>
            <w:tcBorders>
              <w:top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4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3240" w:type="dxa"/>
            <w:vAlign w:val="bottom"/>
            <w:tcBorders>
              <w:bottom w:val="single" w:sz="8" w:color="7F7F7F"/>
            </w:tcBorders>
          </w:tcPr>
          <w:p>
            <w:pPr>
              <w:spacing w:after="0"/>
              <w:rPr>
                <w:sz w:val="16"/>
                <w:szCs w:val="16"/>
                <w:color w:val="auto"/>
              </w:rPr>
            </w:pPr>
          </w:p>
        </w:tc>
        <w:tc>
          <w:tcPr>
            <w:tcW w:w="1020" w:type="dxa"/>
            <w:vAlign w:val="bottom"/>
            <w:tcBorders>
              <w:bottom w:val="single" w:sz="8" w:color="7F7F7F"/>
            </w:tcBorders>
            <w:vMerge w:val="continue"/>
          </w:tcPr>
          <w:p>
            <w:pPr>
              <w:spacing w:after="0"/>
              <w:rPr>
                <w:sz w:val="16"/>
                <w:szCs w:val="16"/>
                <w:color w:val="auto"/>
              </w:rPr>
            </w:pPr>
          </w:p>
        </w:tc>
        <w:tc>
          <w:tcPr>
            <w:tcW w:w="660" w:type="dxa"/>
            <w:vAlign w:val="bottom"/>
            <w:tcBorders>
              <w:bottom w:val="single" w:sz="8" w:color="7F7F7F"/>
            </w:tcBorders>
          </w:tcPr>
          <w:p>
            <w:pPr>
              <w:spacing w:after="0"/>
              <w:rPr>
                <w:sz w:val="16"/>
                <w:szCs w:val="16"/>
                <w:color w:val="auto"/>
              </w:rPr>
            </w:pPr>
          </w:p>
        </w:tc>
        <w:tc>
          <w:tcPr>
            <w:tcW w:w="8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0" w:type="dxa"/>
            <w:vAlign w:val="bottom"/>
          </w:tcPr>
          <w:p>
            <w:pPr>
              <w:spacing w:after="0"/>
              <w:rPr>
                <w:sz w:val="1"/>
                <w:szCs w:val="1"/>
                <w:color w:val="auto"/>
              </w:rPr>
            </w:pPr>
          </w:p>
        </w:tc>
      </w:tr>
      <w:tr>
        <w:trPr>
          <w:trHeight w:val="197"/>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Bulk</w:t>
            </w:r>
          </w:p>
        </w:tc>
        <w:tc>
          <w:tcPr>
            <w:tcW w:w="3240" w:type="dxa"/>
            <w:vAlign w:val="bottom"/>
            <w:shd w:val="clear" w:color="auto" w:fill="CCEEFF"/>
          </w:tcPr>
          <w:p>
            <w:pPr>
              <w:jc w:val="right"/>
              <w:ind w:right="381"/>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1,534</w:t>
            </w:r>
          </w:p>
        </w:tc>
        <w:tc>
          <w:tcPr>
            <w:tcW w:w="6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0" w:type="dxa"/>
            <w:vAlign w:val="bottom"/>
          </w:tcPr>
          <w:p>
            <w:pPr>
              <w:spacing w:after="0"/>
              <w:rPr>
                <w:sz w:val="1"/>
                <w:szCs w:val="1"/>
                <w:color w:val="auto"/>
              </w:rPr>
            </w:pPr>
          </w:p>
        </w:tc>
      </w:tr>
      <w:tr>
        <w:trPr>
          <w:trHeight w:val="209"/>
        </w:trPr>
        <w:tc>
          <w:tcPr>
            <w:tcW w:w="5440" w:type="dxa"/>
            <w:vAlign w:val="bottom"/>
          </w:tcPr>
          <w:p>
            <w:pPr>
              <w:ind w:left="40"/>
              <w:spacing w:after="0"/>
              <w:rPr>
                <w:sz w:val="20"/>
                <w:szCs w:val="20"/>
                <w:color w:val="auto"/>
              </w:rPr>
            </w:pPr>
            <w:r>
              <w:rPr>
                <w:rFonts w:ascii="Arial" w:cs="Arial" w:eastAsia="Arial" w:hAnsi="Arial"/>
                <w:sz w:val="16"/>
                <w:szCs w:val="16"/>
                <w:color w:val="auto"/>
              </w:rPr>
              <w:t>Industrial</w:t>
            </w:r>
          </w:p>
        </w:tc>
        <w:tc>
          <w:tcPr>
            <w:tcW w:w="3240" w:type="dxa"/>
            <w:vAlign w:val="bottom"/>
          </w:tcPr>
          <w:p>
            <w:pPr>
              <w:spacing w:after="0"/>
              <w:rPr>
                <w:sz w:val="18"/>
                <w:szCs w:val="18"/>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b w:val="1"/>
                <w:bCs w:val="1"/>
                <w:color w:val="auto"/>
              </w:rPr>
              <w:t>1,894</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1,839</w:t>
            </w:r>
          </w:p>
        </w:tc>
        <w:tc>
          <w:tcPr>
            <w:tcW w:w="0" w:type="dxa"/>
            <w:vAlign w:val="bottom"/>
          </w:tcPr>
          <w:p>
            <w:pPr>
              <w:spacing w:after="0"/>
              <w:rPr>
                <w:sz w:val="1"/>
                <w:szCs w:val="1"/>
                <w:color w:val="auto"/>
              </w:rPr>
            </w:pPr>
          </w:p>
        </w:tc>
      </w:tr>
      <w:tr>
        <w:trPr>
          <w:trHeight w:val="204"/>
        </w:trPr>
        <w:tc>
          <w:tcPr>
            <w:tcW w:w="544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Premium</w:t>
            </w:r>
          </w:p>
        </w:tc>
        <w:tc>
          <w:tcPr>
            <w:tcW w:w="3240" w:type="dxa"/>
            <w:vAlign w:val="bottom"/>
            <w:tcBorders>
              <w:bottom w:val="single" w:sz="8" w:color="7F7F7F"/>
            </w:tcBorders>
            <w:shd w:val="clear" w:color="auto" w:fill="CCEEFF"/>
          </w:tcPr>
          <w:p>
            <w:pPr>
              <w:spacing w:after="0"/>
              <w:rPr>
                <w:sz w:val="17"/>
                <w:szCs w:val="17"/>
                <w:color w:val="auto"/>
              </w:rPr>
            </w:pPr>
          </w:p>
        </w:tc>
        <w:tc>
          <w:tcPr>
            <w:tcW w:w="1020" w:type="dxa"/>
            <w:vAlign w:val="bottom"/>
            <w:tcBorders>
              <w:bottom w:val="single" w:sz="8" w:color="7F7F7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1,452</w:t>
            </w:r>
          </w:p>
        </w:tc>
        <w:tc>
          <w:tcPr>
            <w:tcW w:w="660" w:type="dxa"/>
            <w:vAlign w:val="bottom"/>
            <w:tcBorders>
              <w:bottom w:val="single" w:sz="8" w:color="7F7F7F"/>
            </w:tcBorders>
            <w:shd w:val="clear" w:color="auto" w:fill="CCEEFF"/>
          </w:tcPr>
          <w:p>
            <w:pPr>
              <w:spacing w:after="0"/>
              <w:rPr>
                <w:sz w:val="17"/>
                <w:szCs w:val="17"/>
                <w:color w:val="auto"/>
              </w:rPr>
            </w:pPr>
          </w:p>
        </w:tc>
        <w:tc>
          <w:tcPr>
            <w:tcW w:w="8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190"/>
        </w:trPr>
        <w:tc>
          <w:tcPr>
            <w:tcW w:w="544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Total freight revenues</w:t>
            </w:r>
          </w:p>
        </w:tc>
        <w:tc>
          <w:tcPr>
            <w:tcW w:w="3240" w:type="dxa"/>
            <w:vAlign w:val="bottom"/>
            <w:tcBorders>
              <w:bottom w:val="single" w:sz="8" w:color="7F7F7F"/>
            </w:tcBorders>
          </w:tcPr>
          <w:p>
            <w:pPr>
              <w:jc w:val="right"/>
              <w:ind w:right="381"/>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7F7F7F"/>
            </w:tcBorders>
          </w:tcPr>
          <w:p>
            <w:pPr>
              <w:jc w:val="right"/>
              <w:ind w:right="101"/>
              <w:spacing w:after="0"/>
              <w:rPr>
                <w:sz w:val="20"/>
                <w:szCs w:val="20"/>
                <w:color w:val="auto"/>
              </w:rPr>
            </w:pPr>
            <w:r>
              <w:rPr>
                <w:rFonts w:ascii="Arial" w:cs="Arial" w:eastAsia="Arial" w:hAnsi="Arial"/>
                <w:sz w:val="16"/>
                <w:szCs w:val="16"/>
                <w:b w:val="1"/>
                <w:bCs w:val="1"/>
                <w:color w:val="auto"/>
              </w:rPr>
              <w:t>4,880</w:t>
            </w:r>
          </w:p>
        </w:tc>
        <w:tc>
          <w:tcPr>
            <w:tcW w:w="660" w:type="dxa"/>
            <w:vAlign w:val="bottom"/>
            <w:tcBorders>
              <w:bottom w:val="single" w:sz="8" w:color="7F7F7F"/>
            </w:tcBorders>
          </w:tcPr>
          <w:p>
            <w:pPr>
              <w:jc w:val="right"/>
              <w:ind w:right="38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5,010</w:t>
            </w:r>
          </w:p>
        </w:tc>
        <w:tc>
          <w:tcPr>
            <w:tcW w:w="0" w:type="dxa"/>
            <w:vAlign w:val="bottom"/>
          </w:tcPr>
          <w:p>
            <w:pPr>
              <w:spacing w:after="0"/>
              <w:rPr>
                <w:sz w:val="1"/>
                <w:szCs w:val="1"/>
                <w:color w:val="auto"/>
              </w:rPr>
            </w:pPr>
          </w:p>
        </w:tc>
      </w:tr>
      <w:tr>
        <w:trPr>
          <w:trHeight w:val="197"/>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subsidiary revenues</w:t>
            </w:r>
          </w:p>
        </w:tc>
        <w:tc>
          <w:tcPr>
            <w:tcW w:w="3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214</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09"/>
        </w:trPr>
        <w:tc>
          <w:tcPr>
            <w:tcW w:w="5440" w:type="dxa"/>
            <w:vAlign w:val="bottom"/>
          </w:tcPr>
          <w:p>
            <w:pPr>
              <w:ind w:left="40"/>
              <w:spacing w:after="0"/>
              <w:rPr>
                <w:sz w:val="20"/>
                <w:szCs w:val="20"/>
                <w:color w:val="auto"/>
              </w:rPr>
            </w:pPr>
            <w:r>
              <w:rPr>
                <w:rFonts w:ascii="Arial" w:cs="Arial" w:eastAsia="Arial" w:hAnsi="Arial"/>
                <w:sz w:val="16"/>
                <w:szCs w:val="16"/>
                <w:color w:val="auto"/>
              </w:rPr>
              <w:t>Accessorial revenues</w:t>
            </w:r>
          </w:p>
        </w:tc>
        <w:tc>
          <w:tcPr>
            <w:tcW w:w="3240" w:type="dxa"/>
            <w:vAlign w:val="bottom"/>
          </w:tcPr>
          <w:p>
            <w:pPr>
              <w:spacing w:after="0"/>
              <w:rPr>
                <w:sz w:val="18"/>
                <w:szCs w:val="18"/>
                <w:color w:val="auto"/>
              </w:rPr>
            </w:pPr>
          </w:p>
        </w:tc>
        <w:tc>
          <w:tcPr>
            <w:tcW w:w="1020" w:type="dxa"/>
            <w:vAlign w:val="bottom"/>
          </w:tcPr>
          <w:p>
            <w:pPr>
              <w:jc w:val="right"/>
              <w:ind w:right="101"/>
              <w:spacing w:after="0"/>
              <w:rPr>
                <w:sz w:val="20"/>
                <w:szCs w:val="20"/>
                <w:color w:val="auto"/>
              </w:rPr>
            </w:pPr>
            <w:r>
              <w:rPr>
                <w:rFonts w:ascii="Arial" w:cs="Arial" w:eastAsia="Arial" w:hAnsi="Arial"/>
                <w:sz w:val="16"/>
                <w:szCs w:val="16"/>
                <w:b w:val="1"/>
                <w:bCs w:val="1"/>
                <w:color w:val="auto"/>
              </w:rPr>
              <w:t>117</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4"/>
        </w:trPr>
        <w:tc>
          <w:tcPr>
            <w:tcW w:w="544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240" w:type="dxa"/>
            <w:vAlign w:val="bottom"/>
            <w:tcBorders>
              <w:bottom w:val="single" w:sz="8" w:color="7F7F7F"/>
            </w:tcBorders>
            <w:shd w:val="clear" w:color="auto" w:fill="CCEEFF"/>
          </w:tcPr>
          <w:p>
            <w:pPr>
              <w:spacing w:after="0"/>
              <w:rPr>
                <w:sz w:val="17"/>
                <w:szCs w:val="17"/>
                <w:color w:val="auto"/>
              </w:rPr>
            </w:pPr>
          </w:p>
        </w:tc>
        <w:tc>
          <w:tcPr>
            <w:tcW w:w="1020" w:type="dxa"/>
            <w:vAlign w:val="bottom"/>
            <w:tcBorders>
              <w:bottom w:val="single" w:sz="8" w:color="7F7F7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18</w:t>
            </w:r>
          </w:p>
        </w:tc>
        <w:tc>
          <w:tcPr>
            <w:tcW w:w="660" w:type="dxa"/>
            <w:vAlign w:val="bottom"/>
            <w:tcBorders>
              <w:bottom w:val="single" w:sz="8" w:color="7F7F7F"/>
            </w:tcBorders>
            <w:shd w:val="clear" w:color="auto" w:fill="CCEEFF"/>
          </w:tcPr>
          <w:p>
            <w:pPr>
              <w:spacing w:after="0"/>
              <w:rPr>
                <w:sz w:val="17"/>
                <w:szCs w:val="17"/>
                <w:color w:val="auto"/>
              </w:rPr>
            </w:pPr>
          </w:p>
        </w:tc>
        <w:tc>
          <w:tcPr>
            <w:tcW w:w="8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6"/>
                <w:szCs w:val="16"/>
                <w:color w:val="auto"/>
              </w:rPr>
              <w:t>Total operating revenues</w:t>
            </w:r>
          </w:p>
        </w:tc>
        <w:tc>
          <w:tcPr>
            <w:tcW w:w="3240" w:type="dxa"/>
            <w:vAlign w:val="bottom"/>
          </w:tcPr>
          <w:p>
            <w:pPr>
              <w:jc w:val="right"/>
              <w:ind w:right="381"/>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01"/>
              <w:spacing w:after="0"/>
              <w:rPr>
                <w:sz w:val="20"/>
                <w:szCs w:val="20"/>
                <w:color w:val="auto"/>
              </w:rPr>
            </w:pPr>
            <w:r>
              <w:rPr>
                <w:rFonts w:ascii="Arial" w:cs="Arial" w:eastAsia="Arial" w:hAnsi="Arial"/>
                <w:sz w:val="16"/>
                <w:szCs w:val="16"/>
                <w:b w:val="1"/>
                <w:bCs w:val="1"/>
                <w:color w:val="auto"/>
              </w:rPr>
              <w:t>5,229</w:t>
            </w:r>
          </w:p>
        </w:tc>
        <w:tc>
          <w:tcPr>
            <w:tcW w:w="66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5,384</w:t>
            </w:r>
          </w:p>
        </w:tc>
        <w:tc>
          <w:tcPr>
            <w:tcW w:w="0" w:type="dxa"/>
            <w:vAlign w:val="bottom"/>
          </w:tcPr>
          <w:p>
            <w:pPr>
              <w:spacing w:after="0"/>
              <w:rPr>
                <w:sz w:val="1"/>
                <w:szCs w:val="1"/>
                <w:color w:val="auto"/>
              </w:rPr>
            </w:pPr>
          </w:p>
        </w:tc>
      </w:tr>
      <w:tr>
        <w:trPr>
          <w:trHeight w:val="65"/>
        </w:trPr>
        <w:tc>
          <w:tcPr>
            <w:tcW w:w="5440" w:type="dxa"/>
            <w:vAlign w:val="bottom"/>
            <w:tcBorders>
              <w:bottom w:val="single" w:sz="8" w:color="7F7F7F"/>
            </w:tcBorders>
          </w:tcPr>
          <w:p>
            <w:pPr>
              <w:spacing w:after="0"/>
              <w:rPr>
                <w:sz w:val="5"/>
                <w:szCs w:val="5"/>
                <w:color w:val="auto"/>
              </w:rPr>
            </w:pPr>
          </w:p>
        </w:tc>
        <w:tc>
          <w:tcPr>
            <w:tcW w:w="3240" w:type="dxa"/>
            <w:vAlign w:val="bottom"/>
            <w:tcBorders>
              <w:bottom w:val="single" w:sz="8" w:color="7F7F7F"/>
            </w:tcBorders>
          </w:tcPr>
          <w:p>
            <w:pPr>
              <w:spacing w:after="0"/>
              <w:rPr>
                <w:sz w:val="5"/>
                <w:szCs w:val="5"/>
                <w:color w:val="auto"/>
              </w:rPr>
            </w:pPr>
          </w:p>
        </w:tc>
        <w:tc>
          <w:tcPr>
            <w:tcW w:w="1020" w:type="dxa"/>
            <w:vAlign w:val="bottom"/>
            <w:tcBorders>
              <w:bottom w:val="single" w:sz="8" w:color="7F7F7F"/>
            </w:tcBorders>
          </w:tcPr>
          <w:p>
            <w:pPr>
              <w:spacing w:after="0"/>
              <w:rPr>
                <w:sz w:val="5"/>
                <w:szCs w:val="5"/>
                <w:color w:val="auto"/>
              </w:rPr>
            </w:pPr>
          </w:p>
        </w:tc>
        <w:tc>
          <w:tcPr>
            <w:tcW w:w="660" w:type="dxa"/>
            <w:vAlign w:val="bottom"/>
            <w:tcBorders>
              <w:bottom w:val="single" w:sz="8" w:color="7F7F7F"/>
            </w:tcBorders>
          </w:tcPr>
          <w:p>
            <w:pPr>
              <w:spacing w:after="0"/>
              <w:rPr>
                <w:sz w:val="5"/>
                <w:szCs w:val="5"/>
                <w:color w:val="auto"/>
              </w:rPr>
            </w:pPr>
          </w:p>
        </w:tc>
        <w:tc>
          <w:tcPr>
            <w:tcW w:w="8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Although our revenues are principally derived from customers domiciled in the U.S., the ultimate points of origin or destination for some products we transport are outside the U.S. Each of our commodity groups includes revenue from shipments to and from Mexico. Included in the above table are freight revenues from our Mexico business which amounted to $583 million and $576 million, respectively, for the three months ended March 31, 2020, and March 31, 2019.</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Stock-Based Compensation</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have several stock-based compensation plans under which employees and non-employee directors receive stock options, nonvested retention shares, and nonvested stock units. We refer to the nonvested shares and stock units collectively as “retention awards”. We have elected to issue treasury shares to cover option exercises and stock unit vestings, while new shares are issued when retention shares are granted.</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stock-based compensation appears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860" w:type="dxa"/>
            <w:vAlign w:val="bottom"/>
            <w:tcBorders>
              <w:top w:val="single" w:sz="8" w:color="808080"/>
            </w:tcBorders>
          </w:tcPr>
          <w:p>
            <w:pPr>
              <w:spacing w:after="0"/>
              <w:rPr>
                <w:sz w:val="20"/>
                <w:szCs w:val="20"/>
                <w:color w:val="auto"/>
              </w:rPr>
            </w:pPr>
          </w:p>
        </w:tc>
        <w:tc>
          <w:tcPr>
            <w:tcW w:w="980" w:type="dxa"/>
            <w:vAlign w:val="bottom"/>
            <w:tcBorders>
              <w:top w:val="single" w:sz="8" w:color="808080"/>
            </w:tcBorders>
            <w:vMerge w:val="restart"/>
          </w:tcPr>
          <w:p>
            <w:pPr>
              <w:jc w:val="right"/>
              <w:ind w:right="61"/>
              <w:spacing w:after="0"/>
              <w:rPr>
                <w:sz w:val="20"/>
                <w:szCs w:val="20"/>
                <w:color w:val="auto"/>
              </w:rPr>
            </w:pPr>
            <w:r>
              <w:rPr>
                <w:rFonts w:ascii="Arial" w:cs="Arial" w:eastAsia="Arial" w:hAnsi="Arial"/>
                <w:sz w:val="16"/>
                <w:szCs w:val="16"/>
                <w:b w:val="1"/>
                <w:bCs w:val="1"/>
                <w:i w:val="1"/>
                <w:iCs w:val="1"/>
                <w:color w:val="auto"/>
              </w:rPr>
              <w:t>2020</w:t>
            </w:r>
          </w:p>
        </w:tc>
        <w:tc>
          <w:tcPr>
            <w:tcW w:w="700" w:type="dxa"/>
            <w:vAlign w:val="bottom"/>
            <w:tcBorders>
              <w:top w:val="single" w:sz="8" w:color="808080"/>
            </w:tcBorders>
          </w:tcPr>
          <w:p>
            <w:pPr>
              <w:spacing w:after="0"/>
              <w:rPr>
                <w:sz w:val="20"/>
                <w:szCs w:val="20"/>
                <w:color w:val="auto"/>
              </w:rPr>
            </w:pPr>
          </w:p>
        </w:tc>
        <w:tc>
          <w:tcPr>
            <w:tcW w:w="840" w:type="dxa"/>
            <w:vAlign w:val="bottom"/>
            <w:tcBorders>
              <w:top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86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860" w:type="dxa"/>
            <w:vAlign w:val="bottom"/>
            <w:tcBorders>
              <w:bottom w:val="single" w:sz="8" w:color="7F7F7F"/>
            </w:tcBorders>
          </w:tcPr>
          <w:p>
            <w:pPr>
              <w:spacing w:after="0"/>
              <w:rPr>
                <w:sz w:val="16"/>
                <w:szCs w:val="16"/>
                <w:color w:val="auto"/>
              </w:rPr>
            </w:pPr>
          </w:p>
        </w:tc>
        <w:tc>
          <w:tcPr>
            <w:tcW w:w="980" w:type="dxa"/>
            <w:vAlign w:val="bottom"/>
            <w:tcBorders>
              <w:bottom w:val="single" w:sz="8" w:color="7F7F7F"/>
            </w:tcBorders>
            <w:vMerge w:val="continue"/>
          </w:tcPr>
          <w:p>
            <w:pPr>
              <w:spacing w:after="0"/>
              <w:rPr>
                <w:sz w:val="16"/>
                <w:szCs w:val="16"/>
                <w:color w:val="auto"/>
              </w:rPr>
            </w:pPr>
          </w:p>
        </w:tc>
        <w:tc>
          <w:tcPr>
            <w:tcW w:w="700" w:type="dxa"/>
            <w:vAlign w:val="bottom"/>
            <w:tcBorders>
              <w:bottom w:val="single" w:sz="8" w:color="7F7F7F"/>
            </w:tcBorders>
          </w:tcPr>
          <w:p>
            <w:pPr>
              <w:spacing w:after="0"/>
              <w:rPr>
                <w:sz w:val="16"/>
                <w:szCs w:val="16"/>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 before tax:</w:t>
            </w:r>
          </w:p>
        </w:tc>
        <w:tc>
          <w:tcPr>
            <w:tcW w:w="8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260"/>
              <w:spacing w:after="0"/>
              <w:rPr>
                <w:sz w:val="20"/>
                <w:szCs w:val="20"/>
                <w:color w:val="auto"/>
              </w:rPr>
            </w:pPr>
            <w:r>
              <w:rPr>
                <w:rFonts w:ascii="Arial" w:cs="Arial" w:eastAsia="Arial" w:hAnsi="Arial"/>
                <w:sz w:val="16"/>
                <w:szCs w:val="16"/>
                <w:color w:val="auto"/>
              </w:rPr>
              <w:t>Stock options</w:t>
            </w:r>
          </w:p>
        </w:tc>
        <w:tc>
          <w:tcPr>
            <w:tcW w:w="860" w:type="dxa"/>
            <w:vAlign w:val="bottom"/>
          </w:tcPr>
          <w:p>
            <w:pPr>
              <w:jc w:val="right"/>
              <w:ind w:right="421"/>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b w:val="1"/>
                <w:bCs w:val="1"/>
                <w:color w:val="auto"/>
              </w:rPr>
              <w:t>4</w:t>
            </w:r>
          </w:p>
        </w:tc>
        <w:tc>
          <w:tcPr>
            <w:tcW w:w="70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4"/>
        </w:trPr>
        <w:tc>
          <w:tcPr>
            <w:tcW w:w="786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Retention awards</w:t>
            </w:r>
          </w:p>
        </w:tc>
        <w:tc>
          <w:tcPr>
            <w:tcW w:w="860" w:type="dxa"/>
            <w:vAlign w:val="bottom"/>
            <w:tcBorders>
              <w:bottom w:val="single" w:sz="8" w:color="7F7F7F"/>
            </w:tcBorders>
            <w:shd w:val="clear" w:color="auto" w:fill="CCEEFF"/>
          </w:tcPr>
          <w:p>
            <w:pPr>
              <w:spacing w:after="0"/>
              <w:rPr>
                <w:sz w:val="17"/>
                <w:szCs w:val="17"/>
                <w:color w:val="auto"/>
              </w:rPr>
            </w:pPr>
          </w:p>
        </w:tc>
        <w:tc>
          <w:tcPr>
            <w:tcW w:w="980" w:type="dxa"/>
            <w:vAlign w:val="bottom"/>
            <w:tcBorders>
              <w:bottom w:val="single" w:sz="8" w:color="7F7F7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18</w:t>
            </w:r>
          </w:p>
        </w:tc>
        <w:tc>
          <w:tcPr>
            <w:tcW w:w="700" w:type="dxa"/>
            <w:vAlign w:val="bottom"/>
            <w:tcBorders>
              <w:bottom w:val="single" w:sz="8" w:color="7F7F7F"/>
            </w:tcBorders>
            <w:shd w:val="clear" w:color="auto" w:fill="CCEEFF"/>
          </w:tcPr>
          <w:p>
            <w:pPr>
              <w:spacing w:after="0"/>
              <w:rPr>
                <w:sz w:val="17"/>
                <w:szCs w:val="17"/>
                <w:color w:val="auto"/>
              </w:rPr>
            </w:pPr>
          </w:p>
        </w:tc>
        <w:tc>
          <w:tcPr>
            <w:tcW w:w="8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6"/>
                <w:szCs w:val="16"/>
                <w:color w:val="auto"/>
              </w:rPr>
              <w:t>Total stock-based compensation, before tax</w:t>
            </w:r>
          </w:p>
        </w:tc>
        <w:tc>
          <w:tcPr>
            <w:tcW w:w="860" w:type="dxa"/>
            <w:vAlign w:val="bottom"/>
          </w:tcPr>
          <w:p>
            <w:pPr>
              <w:jc w:val="right"/>
              <w:ind w:right="421"/>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01"/>
              <w:spacing w:after="0"/>
              <w:rPr>
                <w:sz w:val="20"/>
                <w:szCs w:val="20"/>
                <w:color w:val="auto"/>
              </w:rPr>
            </w:pPr>
            <w:r>
              <w:rPr>
                <w:rFonts w:ascii="Arial" w:cs="Arial" w:eastAsia="Arial" w:hAnsi="Arial"/>
                <w:sz w:val="16"/>
                <w:szCs w:val="16"/>
                <w:b w:val="1"/>
                <w:bCs w:val="1"/>
                <w:color w:val="auto"/>
              </w:rPr>
              <w:t>22</w:t>
            </w:r>
          </w:p>
        </w:tc>
        <w:tc>
          <w:tcPr>
            <w:tcW w:w="700" w:type="dxa"/>
            <w:vAlign w:val="bottom"/>
          </w:tcPr>
          <w:p>
            <w:pPr>
              <w:jc w:val="right"/>
              <w:ind w:right="421"/>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52"/>
        </w:trPr>
        <w:tc>
          <w:tcPr>
            <w:tcW w:w="78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Excess tax benefits from equity compensation plans</w:t>
            </w:r>
          </w:p>
        </w:tc>
        <w:tc>
          <w:tcPr>
            <w:tcW w:w="86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33</w:t>
            </w:r>
          </w:p>
        </w:tc>
        <w:tc>
          <w:tcPr>
            <w:tcW w:w="700" w:type="dxa"/>
            <w:vAlign w:val="bottom"/>
            <w:tcBorders>
              <w:bottom w:val="single" w:sz="8" w:color="CCEEFF"/>
            </w:tcBorders>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9"/>
        </w:trPr>
        <w:tc>
          <w:tcPr>
            <w:tcW w:w="7860" w:type="dxa"/>
            <w:vAlign w:val="bottom"/>
            <w:shd w:val="clear" w:color="auto" w:fill="7F7F7F"/>
          </w:tcPr>
          <w:p>
            <w:pPr>
              <w:spacing w:after="0"/>
              <w:rPr>
                <w:sz w:val="3"/>
                <w:szCs w:val="3"/>
                <w:color w:val="auto"/>
              </w:rPr>
            </w:pPr>
          </w:p>
        </w:tc>
        <w:tc>
          <w:tcPr>
            <w:tcW w:w="860" w:type="dxa"/>
            <w:vAlign w:val="bottom"/>
            <w:shd w:val="clear" w:color="auto" w:fill="7F7F7F"/>
          </w:tcPr>
          <w:p>
            <w:pPr>
              <w:spacing w:after="0"/>
              <w:rPr>
                <w:sz w:val="3"/>
                <w:szCs w:val="3"/>
                <w:color w:val="auto"/>
              </w:rPr>
            </w:pPr>
          </w:p>
        </w:tc>
        <w:tc>
          <w:tcPr>
            <w:tcW w:w="980" w:type="dxa"/>
            <w:vAlign w:val="bottom"/>
            <w:shd w:val="clear" w:color="auto" w:fill="7F7F7F"/>
          </w:tcPr>
          <w:p>
            <w:pPr>
              <w:spacing w:after="0"/>
              <w:rPr>
                <w:sz w:val="3"/>
                <w:szCs w:val="3"/>
                <w:color w:val="auto"/>
              </w:rPr>
            </w:pPr>
          </w:p>
        </w:tc>
        <w:tc>
          <w:tcPr>
            <w:tcW w:w="700" w:type="dxa"/>
            <w:vAlign w:val="bottom"/>
            <w:shd w:val="clear" w:color="auto" w:fill="7F7F7F"/>
          </w:tcPr>
          <w:p>
            <w:pPr>
              <w:spacing w:after="0"/>
              <w:rPr>
                <w:sz w:val="3"/>
                <w:szCs w:val="3"/>
                <w:color w:val="auto"/>
              </w:rPr>
            </w:pPr>
          </w:p>
        </w:tc>
        <w:tc>
          <w:tcPr>
            <w:tcW w:w="840" w:type="dxa"/>
            <w:vAlign w:val="bottom"/>
            <w:shd w:val="clear" w:color="auto" w:fill="7F7F7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 We estimate the fair value of our stock option awards using the Black-Scholes option pricing model. The table below shows the</w:t>
      </w:r>
      <w:r>
        <w:rPr>
          <w:rFonts w:ascii="Arial" w:cs="Arial" w:eastAsia="Arial" w:hAnsi="Arial"/>
          <w:sz w:val="17"/>
          <w:szCs w:val="17"/>
          <w:b w:val="1"/>
          <w:bCs w:val="1"/>
          <w:color w:val="auto"/>
        </w:rPr>
        <w:t xml:space="preserve"> </w:t>
      </w:r>
      <w:r>
        <w:rPr>
          <w:rFonts w:ascii="Arial" w:cs="Arial" w:eastAsia="Arial" w:hAnsi="Arial"/>
          <w:sz w:val="17"/>
          <w:szCs w:val="17"/>
          <w:color w:val="auto"/>
        </w:rPr>
        <w:t>annual weighted-average assumptions used for valuation purposes: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00" w:type="dxa"/>
            <w:vAlign w:val="bottom"/>
            <w:tcBorders>
              <w:top w:val="single" w:sz="8" w:color="7F7F7F"/>
              <w:bottom w:val="single" w:sz="8" w:color="7F7F7F"/>
            </w:tcBorders>
          </w:tcPr>
          <w:p>
            <w:pPr>
              <w:ind w:left="40"/>
              <w:spacing w:after="0"/>
              <w:rPr>
                <w:sz w:val="20"/>
                <w:szCs w:val="20"/>
                <w:color w:val="auto"/>
              </w:rPr>
            </w:pPr>
            <w:r>
              <w:rPr>
                <w:rFonts w:ascii="Arial" w:cs="Arial" w:eastAsia="Arial" w:hAnsi="Arial"/>
                <w:sz w:val="16"/>
                <w:szCs w:val="16"/>
                <w:i w:val="1"/>
                <w:iCs w:val="1"/>
                <w:color w:val="auto"/>
              </w:rPr>
              <w:t>Weighted-Average Assumptions</w:t>
            </w:r>
          </w:p>
        </w:tc>
        <w:tc>
          <w:tcPr>
            <w:tcW w:w="2560" w:type="dxa"/>
            <w:vAlign w:val="bottom"/>
            <w:tcBorders>
              <w:top w:val="single" w:sz="8" w:color="7F7F7F"/>
              <w:bottom w:val="single" w:sz="8" w:color="7F7F7F"/>
            </w:tcBorders>
          </w:tcPr>
          <w:p>
            <w:pPr>
              <w:spacing w:after="0"/>
              <w:rPr>
                <w:sz w:val="19"/>
                <w:szCs w:val="19"/>
                <w:color w:val="auto"/>
              </w:rPr>
            </w:pPr>
          </w:p>
        </w:tc>
        <w:tc>
          <w:tcPr>
            <w:tcW w:w="1040" w:type="dxa"/>
            <w:vAlign w:val="bottom"/>
            <w:tcBorders>
              <w:top w:val="single" w:sz="8" w:color="7F7F7F"/>
              <w:bottom w:val="single" w:sz="8" w:color="7F7F7F"/>
            </w:tcBorders>
          </w:tcPr>
          <w:p>
            <w:pPr>
              <w:jc w:val="right"/>
              <w:ind w:right="61"/>
              <w:spacing w:after="0"/>
              <w:rPr>
                <w:sz w:val="20"/>
                <w:szCs w:val="20"/>
                <w:color w:val="auto"/>
              </w:rPr>
            </w:pPr>
            <w:r>
              <w:rPr>
                <w:rFonts w:ascii="Arial" w:cs="Arial" w:eastAsia="Arial" w:hAnsi="Arial"/>
                <w:sz w:val="16"/>
                <w:szCs w:val="16"/>
                <w:b w:val="1"/>
                <w:bCs w:val="1"/>
                <w:i w:val="1"/>
                <w:iCs w:val="1"/>
                <w:color w:val="auto"/>
              </w:rPr>
              <w:t>2020</w:t>
            </w:r>
          </w:p>
        </w:tc>
        <w:tc>
          <w:tcPr>
            <w:tcW w:w="660" w:type="dxa"/>
            <w:vAlign w:val="bottom"/>
            <w:tcBorders>
              <w:top w:val="single" w:sz="8" w:color="7F7F7F"/>
              <w:bottom w:val="single" w:sz="8" w:color="7F7F7F"/>
            </w:tcBorders>
          </w:tcPr>
          <w:p>
            <w:pPr>
              <w:spacing w:after="0"/>
              <w:rPr>
                <w:sz w:val="19"/>
                <w:szCs w:val="19"/>
                <w:color w:val="auto"/>
              </w:rPr>
            </w:pPr>
          </w:p>
        </w:tc>
        <w:tc>
          <w:tcPr>
            <w:tcW w:w="88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r>
      <w:tr>
        <w:trPr>
          <w:trHeight w:val="210"/>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2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1.5%</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23"/>
        </w:trPr>
        <w:tc>
          <w:tcPr>
            <w:tcW w:w="610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2560" w:type="dxa"/>
            <w:vAlign w:val="bottom"/>
          </w:tcPr>
          <w:p>
            <w:pPr>
              <w:spacing w:after="0"/>
              <w:rPr>
                <w:sz w:val="19"/>
                <w:szCs w:val="19"/>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2.1%</w:t>
            </w:r>
          </w:p>
        </w:tc>
        <w:tc>
          <w:tcPr>
            <w:tcW w:w="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(years)</w:t>
            </w:r>
          </w:p>
        </w:tc>
        <w:tc>
          <w:tcPr>
            <w:tcW w:w="2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4.9</w:t>
            </w:r>
          </w:p>
        </w:tc>
        <w:tc>
          <w:tcPr>
            <w:tcW w:w="6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61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Volatility</w:t>
            </w:r>
          </w:p>
        </w:tc>
        <w:tc>
          <w:tcPr>
            <w:tcW w:w="2560" w:type="dxa"/>
            <w:vAlign w:val="bottom"/>
            <w:tcBorders>
              <w:bottom w:val="single" w:sz="8" w:color="7F7F7F"/>
            </w:tcBorders>
          </w:tcPr>
          <w:p>
            <w:pPr>
              <w:spacing w:after="0"/>
              <w:rPr>
                <w:sz w:val="18"/>
                <w:szCs w:val="18"/>
                <w:color w:val="auto"/>
              </w:rPr>
            </w:pPr>
          </w:p>
        </w:tc>
        <w:tc>
          <w:tcPr>
            <w:tcW w:w="1040" w:type="dxa"/>
            <w:vAlign w:val="bottom"/>
            <w:tcBorders>
              <w:bottom w:val="single" w:sz="8" w:color="7F7F7F"/>
            </w:tcBorders>
          </w:tcPr>
          <w:p>
            <w:pPr>
              <w:jc w:val="right"/>
              <w:ind w:right="61"/>
              <w:spacing w:after="0"/>
              <w:rPr>
                <w:sz w:val="20"/>
                <w:szCs w:val="20"/>
                <w:color w:val="auto"/>
              </w:rPr>
            </w:pPr>
            <w:r>
              <w:rPr>
                <w:rFonts w:ascii="Arial" w:cs="Arial" w:eastAsia="Arial" w:hAnsi="Arial"/>
                <w:sz w:val="16"/>
                <w:szCs w:val="16"/>
                <w:b w:val="1"/>
                <w:bCs w:val="1"/>
                <w:color w:val="auto"/>
              </w:rPr>
              <w:t>23.4%</w:t>
            </w:r>
          </w:p>
        </w:tc>
        <w:tc>
          <w:tcPr>
            <w:tcW w:w="660" w:type="dxa"/>
            <w:vAlign w:val="bottom"/>
            <w:tcBorders>
              <w:bottom w:val="single" w:sz="8" w:color="7F7F7F"/>
            </w:tcBorders>
          </w:tcPr>
          <w:p>
            <w:pPr>
              <w:spacing w:after="0"/>
              <w:rPr>
                <w:sz w:val="18"/>
                <w:szCs w:val="18"/>
                <w:color w:val="auto"/>
              </w:rPr>
            </w:pPr>
          </w:p>
        </w:tc>
        <w:tc>
          <w:tcPr>
            <w:tcW w:w="8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22.7%</w:t>
            </w:r>
          </w:p>
        </w:tc>
      </w:tr>
      <w:tr>
        <w:trPr>
          <w:trHeight w:val="268"/>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grant-date fair value of options granted</w:t>
            </w:r>
          </w:p>
        </w:tc>
        <w:tc>
          <w:tcPr>
            <w:tcW w:w="2560" w:type="dxa"/>
            <w:vAlign w:val="bottom"/>
            <w:tcBorders>
              <w:bottom w:val="single" w:sz="8" w:color="CCEEFF"/>
            </w:tcBorders>
            <w:shd w:val="clear" w:color="auto" w:fill="CCEEFF"/>
          </w:tcPr>
          <w:p>
            <w:pPr>
              <w:jc w:val="right"/>
              <w:ind w:right="361"/>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32.20</w:t>
            </w:r>
          </w:p>
        </w:tc>
        <w:tc>
          <w:tcPr>
            <w:tcW w:w="66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30.37</w:t>
            </w:r>
          </w:p>
        </w:tc>
      </w:tr>
      <w:tr>
        <w:trPr>
          <w:trHeight w:val="39"/>
        </w:trPr>
        <w:tc>
          <w:tcPr>
            <w:tcW w:w="6100" w:type="dxa"/>
            <w:vAlign w:val="bottom"/>
            <w:shd w:val="clear" w:color="auto" w:fill="7F7F7F"/>
          </w:tcPr>
          <w:p>
            <w:pPr>
              <w:spacing w:after="0"/>
              <w:rPr>
                <w:sz w:val="3"/>
                <w:szCs w:val="3"/>
                <w:color w:val="auto"/>
              </w:rPr>
            </w:pPr>
          </w:p>
        </w:tc>
        <w:tc>
          <w:tcPr>
            <w:tcW w:w="2560" w:type="dxa"/>
            <w:vAlign w:val="bottom"/>
            <w:shd w:val="clear" w:color="auto" w:fill="7F7F7F"/>
          </w:tcPr>
          <w:p>
            <w:pPr>
              <w:spacing w:after="0"/>
              <w:rPr>
                <w:sz w:val="3"/>
                <w:szCs w:val="3"/>
                <w:color w:val="auto"/>
              </w:rPr>
            </w:pPr>
          </w:p>
        </w:tc>
        <w:tc>
          <w:tcPr>
            <w:tcW w:w="1040" w:type="dxa"/>
            <w:vAlign w:val="bottom"/>
            <w:shd w:val="clear" w:color="auto" w:fill="7F7F7F"/>
          </w:tcPr>
          <w:p>
            <w:pPr>
              <w:spacing w:after="0"/>
              <w:rPr>
                <w:sz w:val="3"/>
                <w:szCs w:val="3"/>
                <w:color w:val="auto"/>
              </w:rPr>
            </w:pPr>
          </w:p>
        </w:tc>
        <w:tc>
          <w:tcPr>
            <w:tcW w:w="660" w:type="dxa"/>
            <w:vAlign w:val="bottom"/>
            <w:shd w:val="clear" w:color="auto" w:fill="7F7F7F"/>
          </w:tcPr>
          <w:p>
            <w:pPr>
              <w:spacing w:after="0"/>
              <w:rPr>
                <w:sz w:val="3"/>
                <w:szCs w:val="3"/>
                <w:color w:val="auto"/>
              </w:rPr>
            </w:pPr>
          </w:p>
        </w:tc>
        <w:tc>
          <w:tcPr>
            <w:tcW w:w="880" w:type="dxa"/>
            <w:vAlign w:val="bottom"/>
            <w:shd w:val="clear" w:color="auto" w:fill="7F7F7F"/>
          </w:tcPr>
          <w:p>
            <w:pPr>
              <w:spacing w:after="0"/>
              <w:rPr>
                <w:sz w:val="3"/>
                <w:szCs w:val="3"/>
                <w:color w:val="auto"/>
              </w:rPr>
            </w:pPr>
          </w:p>
        </w:tc>
      </w:tr>
    </w:tbl>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risk-free rate is based on the U.S. Treasury yield curve in effect at the time of grant; the expected dividend yield is calculated as the ratio of dividends paid per share of common stock to the stock price on the date of grant; the expected life is based on historical and expected exercise behavior; and expected volatility is based on the historical volatility of our stock price over the expected life of the option.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 w:name="page9"/>
    <w:bookmarkEnd w:id="8"/>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 activity during the three months ended March 31, 2020,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136130" cy="24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476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180" w:type="dxa"/>
            <w:vAlign w:val="bottom"/>
            <w:gridSpan w:val="2"/>
            <w:vMerge w:val="restart"/>
          </w:tcPr>
          <w:p>
            <w:pPr>
              <w:ind w:left="420"/>
              <w:spacing w:after="0"/>
              <w:rPr>
                <w:sz w:val="20"/>
                <w:szCs w:val="20"/>
                <w:color w:val="auto"/>
              </w:rPr>
            </w:pPr>
            <w:r>
              <w:rPr>
                <w:rFonts w:ascii="Arial" w:cs="Arial" w:eastAsia="Arial" w:hAnsi="Arial"/>
                <w:sz w:val="16"/>
                <w:szCs w:val="16"/>
                <w:i w:val="1"/>
                <w:iCs w:val="1"/>
                <w:color w:val="auto"/>
              </w:rPr>
              <w:t>Options</w:t>
            </w:r>
          </w:p>
        </w:tc>
        <w:tc>
          <w:tcPr>
            <w:tcW w:w="1680" w:type="dxa"/>
            <w:vAlign w:val="bottom"/>
            <w:gridSpan w:val="2"/>
            <w:vMerge w:val="restart"/>
          </w:tcPr>
          <w:p>
            <w:pPr>
              <w:ind w:left="180"/>
              <w:spacing w:after="0"/>
              <w:rPr>
                <w:sz w:val="20"/>
                <w:szCs w:val="20"/>
                <w:color w:val="auto"/>
              </w:rPr>
            </w:pPr>
            <w:r>
              <w:rPr>
                <w:rFonts w:ascii="Arial" w:cs="Arial" w:eastAsia="Arial" w:hAnsi="Arial"/>
                <w:sz w:val="16"/>
                <w:szCs w:val="16"/>
                <w:i w:val="1"/>
                <w:iCs w:val="1"/>
                <w:color w:val="auto"/>
              </w:rPr>
              <w:t>Weighted-Average</w:t>
            </w:r>
          </w:p>
        </w:tc>
        <w:tc>
          <w:tcPr>
            <w:tcW w:w="1900" w:type="dxa"/>
            <w:vAlign w:val="bottom"/>
            <w:gridSpan w:val="2"/>
          </w:tcPr>
          <w:p>
            <w:pPr>
              <w:jc w:val="right"/>
              <w:ind w:right="61"/>
              <w:spacing w:after="0"/>
              <w:rPr>
                <w:sz w:val="20"/>
                <w:szCs w:val="20"/>
                <w:color w:val="auto"/>
              </w:rPr>
            </w:pPr>
            <w:r>
              <w:rPr>
                <w:rFonts w:ascii="Arial" w:cs="Arial" w:eastAsia="Arial" w:hAnsi="Arial"/>
                <w:sz w:val="16"/>
                <w:szCs w:val="16"/>
                <w:i w:val="1"/>
                <w:iCs w:val="1"/>
                <w:color w:val="auto"/>
              </w:rPr>
              <w:t>Weighted-Average</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i w:val="1"/>
                <w:iCs w:val="1"/>
                <w:color w:val="auto"/>
              </w:rPr>
              <w:t>Aggregate Intrinsic</w:t>
            </w:r>
          </w:p>
        </w:tc>
        <w:tc>
          <w:tcPr>
            <w:tcW w:w="0" w:type="dxa"/>
            <w:vAlign w:val="bottom"/>
          </w:tcPr>
          <w:p>
            <w:pPr>
              <w:spacing w:after="0"/>
              <w:rPr>
                <w:sz w:val="1"/>
                <w:szCs w:val="1"/>
                <w:color w:val="auto"/>
              </w:rPr>
            </w:pPr>
          </w:p>
        </w:tc>
      </w:tr>
      <w:tr>
        <w:trPr>
          <w:trHeight w:val="157"/>
        </w:trPr>
        <w:tc>
          <w:tcPr>
            <w:tcW w:w="50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900" w:type="dxa"/>
            <w:vAlign w:val="bottom"/>
            <w:gridSpan w:val="2"/>
          </w:tcPr>
          <w:p>
            <w:pPr>
              <w:jc w:val="right"/>
              <w:ind w:right="61"/>
              <w:spacing w:after="0" w:line="158" w:lineRule="exact"/>
              <w:rPr>
                <w:sz w:val="20"/>
                <w:szCs w:val="20"/>
                <w:color w:val="auto"/>
              </w:rPr>
            </w:pPr>
            <w:r>
              <w:rPr>
                <w:rFonts w:ascii="Arial" w:cs="Arial" w:eastAsia="Arial" w:hAnsi="Arial"/>
                <w:sz w:val="16"/>
                <w:szCs w:val="16"/>
                <w:i w:val="1"/>
                <w:iCs w:val="1"/>
                <w:color w:val="auto"/>
              </w:rPr>
              <w:t>Remaining Contractual</w:t>
            </w:r>
          </w:p>
        </w:tc>
        <w:tc>
          <w:tcPr>
            <w:tcW w:w="1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040" w:type="dxa"/>
            <w:vAlign w:val="bottom"/>
            <w:tcBorders>
              <w:bottom w:val="single" w:sz="8" w:color="7F7F7F"/>
            </w:tcBorders>
          </w:tcPr>
          <w:p>
            <w:pPr>
              <w:spacing w:after="0"/>
              <w:rPr>
                <w:sz w:val="16"/>
                <w:szCs w:val="16"/>
                <w:color w:val="auto"/>
              </w:rPr>
            </w:pPr>
          </w:p>
        </w:tc>
        <w:tc>
          <w:tcPr>
            <w:tcW w:w="1180" w:type="dxa"/>
            <w:vAlign w:val="bottom"/>
            <w:tcBorders>
              <w:bottom w:val="single" w:sz="8" w:color="7F7F7F"/>
            </w:tcBorders>
            <w:gridSpan w:val="2"/>
          </w:tcPr>
          <w:p>
            <w:pPr>
              <w:ind w:left="480"/>
              <w:spacing w:after="0"/>
              <w:rPr>
                <w:sz w:val="20"/>
                <w:szCs w:val="20"/>
                <w:color w:val="auto"/>
              </w:rPr>
            </w:pPr>
            <w:r>
              <w:rPr>
                <w:rFonts w:ascii="Arial" w:cs="Arial" w:eastAsia="Arial" w:hAnsi="Arial"/>
                <w:sz w:val="16"/>
                <w:szCs w:val="16"/>
                <w:i w:val="1"/>
                <w:iCs w:val="1"/>
                <w:color w:val="auto"/>
              </w:rPr>
              <w:t>(thous.)</w:t>
            </w:r>
          </w:p>
        </w:tc>
        <w:tc>
          <w:tcPr>
            <w:tcW w:w="380" w:type="dxa"/>
            <w:vAlign w:val="bottom"/>
            <w:tcBorders>
              <w:bottom w:val="single" w:sz="8" w:color="7F7F7F"/>
            </w:tcBorders>
          </w:tcPr>
          <w:p>
            <w:pPr>
              <w:spacing w:after="0"/>
              <w:rPr>
                <w:sz w:val="16"/>
                <w:szCs w:val="16"/>
                <w:color w:val="auto"/>
              </w:rPr>
            </w:pPr>
          </w:p>
        </w:tc>
        <w:tc>
          <w:tcPr>
            <w:tcW w:w="1300" w:type="dxa"/>
            <w:vAlign w:val="bottom"/>
            <w:tcBorders>
              <w:bottom w:val="single" w:sz="8" w:color="7F7F7F"/>
            </w:tcBorders>
          </w:tcPr>
          <w:p>
            <w:pPr>
              <w:jc w:val="right"/>
              <w:ind w:right="81"/>
              <w:spacing w:after="0"/>
              <w:rPr>
                <w:sz w:val="20"/>
                <w:szCs w:val="20"/>
                <w:color w:val="auto"/>
              </w:rPr>
            </w:pPr>
            <w:r>
              <w:rPr>
                <w:rFonts w:ascii="Arial" w:cs="Arial" w:eastAsia="Arial" w:hAnsi="Arial"/>
                <w:sz w:val="16"/>
                <w:szCs w:val="16"/>
                <w:i w:val="1"/>
                <w:iCs w:val="1"/>
                <w:color w:val="auto"/>
              </w:rPr>
              <w:t>Exercise Price</w:t>
            </w:r>
          </w:p>
        </w:tc>
        <w:tc>
          <w:tcPr>
            <w:tcW w:w="1400" w:type="dxa"/>
            <w:vAlign w:val="bottom"/>
            <w:tcBorders>
              <w:bottom w:val="single" w:sz="8" w:color="7F7F7F"/>
            </w:tcBorders>
          </w:tcPr>
          <w:p>
            <w:pPr>
              <w:spacing w:after="0"/>
              <w:rPr>
                <w:sz w:val="16"/>
                <w:szCs w:val="16"/>
                <w:color w:val="auto"/>
              </w:rPr>
            </w:pPr>
          </w:p>
        </w:tc>
        <w:tc>
          <w:tcPr>
            <w:tcW w:w="500" w:type="dxa"/>
            <w:vAlign w:val="bottom"/>
            <w:tcBorders>
              <w:bottom w:val="single" w:sz="8" w:color="7F7F7F"/>
            </w:tcBorders>
          </w:tcPr>
          <w:p>
            <w:pPr>
              <w:jc w:val="right"/>
              <w:ind w:right="21"/>
              <w:spacing w:after="0"/>
              <w:rPr>
                <w:sz w:val="20"/>
                <w:szCs w:val="20"/>
                <w:color w:val="auto"/>
              </w:rPr>
            </w:pPr>
            <w:r>
              <w:rPr>
                <w:rFonts w:ascii="Arial" w:cs="Arial" w:eastAsia="Arial" w:hAnsi="Arial"/>
                <w:sz w:val="16"/>
                <w:szCs w:val="16"/>
                <w:i w:val="1"/>
                <w:iCs w:val="1"/>
                <w:color w:val="auto"/>
              </w:rPr>
              <w:t>Term</w:t>
            </w:r>
          </w:p>
        </w:tc>
        <w:tc>
          <w:tcPr>
            <w:tcW w:w="144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Value (millions)</w:t>
            </w:r>
          </w:p>
        </w:tc>
        <w:tc>
          <w:tcPr>
            <w:tcW w:w="0" w:type="dxa"/>
            <w:vAlign w:val="bottom"/>
          </w:tcPr>
          <w:p>
            <w:pPr>
              <w:spacing w:after="0"/>
              <w:rPr>
                <w:sz w:val="1"/>
                <w:szCs w:val="1"/>
                <w:color w:val="auto"/>
              </w:rPr>
            </w:pPr>
          </w:p>
        </w:tc>
      </w:tr>
      <w:tr>
        <w:trPr>
          <w:trHeight w:val="19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January 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113.38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yrs.</w:t>
            </w:r>
          </w:p>
        </w:tc>
        <w:tc>
          <w:tcPr>
            <w:tcW w:w="8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7"/>
        </w:trPr>
        <w:tc>
          <w:tcPr>
            <w:tcW w:w="5040" w:type="dxa"/>
            <w:vAlign w:val="bottom"/>
          </w:tcPr>
          <w:p>
            <w:pPr>
              <w:ind w:left="4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spacing w:after="0"/>
              <w:rPr>
                <w:sz w:val="20"/>
                <w:szCs w:val="20"/>
                <w:color w:val="auto"/>
              </w:rPr>
            </w:pPr>
            <w:r>
              <w:rPr>
                <w:rFonts w:ascii="Arial" w:cs="Arial" w:eastAsia="Arial" w:hAnsi="Arial"/>
                <w:sz w:val="16"/>
                <w:szCs w:val="16"/>
                <w:color w:val="auto"/>
              </w:rPr>
              <w:t>558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176.63</w:t>
            </w:r>
          </w:p>
        </w:tc>
        <w:tc>
          <w:tcPr>
            <w:tcW w:w="1400" w:type="dxa"/>
            <w:vAlign w:val="bottom"/>
          </w:tcPr>
          <w:p>
            <w:pPr>
              <w:spacing w:after="0"/>
              <w:rPr>
                <w:sz w:val="17"/>
                <w:szCs w:val="17"/>
                <w:color w:val="auto"/>
              </w:rPr>
            </w:pPr>
          </w:p>
        </w:tc>
        <w:tc>
          <w:tcPr>
            <w:tcW w:w="500" w:type="dxa"/>
            <w:vAlign w:val="bottom"/>
          </w:tcPr>
          <w:p>
            <w:pPr>
              <w:jc w:val="right"/>
              <w:ind w:right="21"/>
              <w:spacing w:after="0"/>
              <w:rPr>
                <w:sz w:val="20"/>
                <w:szCs w:val="20"/>
                <w:color w:val="auto"/>
              </w:rPr>
            </w:pPr>
            <w:r>
              <w:rPr>
                <w:rFonts w:ascii="Arial" w:cs="Arial" w:eastAsia="Arial" w:hAnsi="Arial"/>
                <w:sz w:val="16"/>
                <w:szCs w:val="16"/>
                <w:color w:val="auto"/>
              </w:rPr>
              <w:t>N/A</w:t>
            </w: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(602)</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101.15</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N/A</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5040" w:type="dxa"/>
            <w:vAlign w:val="bottom"/>
          </w:tcPr>
          <w:p>
            <w:pPr>
              <w:ind w:left="40"/>
              <w:spacing w:after="0"/>
              <w:rPr>
                <w:sz w:val="20"/>
                <w:szCs w:val="20"/>
                <w:color w:val="auto"/>
              </w:rPr>
            </w:pPr>
            <w:r>
              <w:rPr>
                <w:rFonts w:ascii="Arial" w:cs="Arial" w:eastAsia="Arial" w:hAnsi="Arial"/>
                <w:sz w:val="16"/>
                <w:szCs w:val="16"/>
                <w:color w:val="auto"/>
              </w:rPr>
              <w:t>Forfeited or expired</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7"/>
                <w:szCs w:val="17"/>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142.54</w:t>
            </w:r>
          </w:p>
        </w:tc>
        <w:tc>
          <w:tcPr>
            <w:tcW w:w="1400" w:type="dxa"/>
            <w:vAlign w:val="bottom"/>
          </w:tcPr>
          <w:p>
            <w:pPr>
              <w:spacing w:after="0"/>
              <w:rPr>
                <w:sz w:val="17"/>
                <w:szCs w:val="17"/>
                <w:color w:val="auto"/>
              </w:rPr>
            </w:pPr>
          </w:p>
        </w:tc>
        <w:tc>
          <w:tcPr>
            <w:tcW w:w="500" w:type="dxa"/>
            <w:vAlign w:val="bottom"/>
          </w:tcPr>
          <w:p>
            <w:pPr>
              <w:jc w:val="right"/>
              <w:ind w:right="21"/>
              <w:spacing w:after="0"/>
              <w:rPr>
                <w:sz w:val="20"/>
                <w:szCs w:val="20"/>
                <w:color w:val="auto"/>
              </w:rPr>
            </w:pPr>
            <w:r>
              <w:rPr>
                <w:rFonts w:ascii="Arial" w:cs="Arial" w:eastAsia="Arial" w:hAnsi="Arial"/>
                <w:sz w:val="16"/>
                <w:szCs w:val="16"/>
                <w:color w:val="auto"/>
              </w:rPr>
              <w:t>N/A</w:t>
            </w: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00"/>
        </w:trPr>
        <w:tc>
          <w:tcPr>
            <w:tcW w:w="5040" w:type="dxa"/>
            <w:vAlign w:val="bottom"/>
            <w:tcBorders>
              <w:top w:val="single" w:sz="8" w:color="7F7F7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March 31, 2020</w:t>
            </w:r>
          </w:p>
        </w:tc>
        <w:tc>
          <w:tcPr>
            <w:tcW w:w="1020" w:type="dxa"/>
            <w:vAlign w:val="bottom"/>
            <w:tcBorders>
              <w:top w:val="single" w:sz="8" w:color="808080"/>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3,452</w:t>
            </w:r>
          </w:p>
        </w:tc>
        <w:tc>
          <w:tcPr>
            <w:tcW w:w="160" w:type="dxa"/>
            <w:vAlign w:val="bottom"/>
            <w:tcBorders>
              <w:top w:val="single" w:sz="8" w:color="7F7F7F"/>
              <w:bottom w:val="single" w:sz="8" w:color="CCEEFF"/>
            </w:tcBorders>
            <w:shd w:val="clear" w:color="auto" w:fill="CCEEFF"/>
          </w:tcPr>
          <w:p>
            <w:pPr>
              <w:spacing w:after="0"/>
              <w:rPr>
                <w:sz w:val="24"/>
                <w:szCs w:val="24"/>
                <w:color w:val="auto"/>
              </w:rPr>
            </w:pPr>
          </w:p>
        </w:tc>
        <w:tc>
          <w:tcPr>
            <w:tcW w:w="380" w:type="dxa"/>
            <w:vAlign w:val="bottom"/>
            <w:tcBorders>
              <w:top w:val="single" w:sz="8" w:color="7F7F7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7F7F7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125.69</w:t>
            </w:r>
          </w:p>
        </w:tc>
        <w:tc>
          <w:tcPr>
            <w:tcW w:w="140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500" w:type="dxa"/>
            <w:vAlign w:val="bottom"/>
            <w:tcBorders>
              <w:top w:val="single" w:sz="8" w:color="7F7F7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yrs.</w:t>
            </w:r>
          </w:p>
        </w:tc>
        <w:tc>
          <w:tcPr>
            <w:tcW w:w="840" w:type="dxa"/>
            <w:vAlign w:val="bottom"/>
            <w:tcBorders>
              <w:top w:val="single" w:sz="8" w:color="7F7F7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43"/>
        </w:trPr>
        <w:tc>
          <w:tcPr>
            <w:tcW w:w="5040" w:type="dxa"/>
            <w:vAlign w:val="bottom"/>
            <w:tcBorders>
              <w:top w:val="single" w:sz="8" w:color="7F7F7F"/>
            </w:tcBorders>
          </w:tcPr>
          <w:p>
            <w:pPr>
              <w:ind w:left="40"/>
              <w:spacing w:after="0"/>
              <w:rPr>
                <w:sz w:val="20"/>
                <w:szCs w:val="20"/>
                <w:color w:val="auto"/>
              </w:rPr>
            </w:pPr>
            <w:r>
              <w:rPr>
                <w:rFonts w:ascii="Arial" w:cs="Arial" w:eastAsia="Arial" w:hAnsi="Arial"/>
                <w:sz w:val="16"/>
                <w:szCs w:val="16"/>
                <w:color w:val="auto"/>
              </w:rPr>
              <w:t>Vested or expected to vest at March 31, 2020</w:t>
            </w:r>
          </w:p>
        </w:tc>
        <w:tc>
          <w:tcPr>
            <w:tcW w:w="1020" w:type="dxa"/>
            <w:vAlign w:val="bottom"/>
            <w:tcBorders>
              <w:top w:val="single" w:sz="8" w:color="808080"/>
            </w:tcBorders>
          </w:tcPr>
          <w:p>
            <w:pPr>
              <w:jc w:val="right"/>
              <w:spacing w:after="0"/>
              <w:rPr>
                <w:sz w:val="20"/>
                <w:szCs w:val="20"/>
                <w:color w:val="auto"/>
              </w:rPr>
            </w:pPr>
            <w:r>
              <w:rPr>
                <w:rFonts w:ascii="Arial" w:cs="Arial" w:eastAsia="Arial" w:hAnsi="Arial"/>
                <w:sz w:val="16"/>
                <w:szCs w:val="16"/>
                <w:color w:val="auto"/>
              </w:rPr>
              <w:t>3,418</w:t>
            </w:r>
          </w:p>
        </w:tc>
        <w:tc>
          <w:tcPr>
            <w:tcW w:w="160" w:type="dxa"/>
            <w:vAlign w:val="bottom"/>
            <w:tcBorders>
              <w:top w:val="single" w:sz="8" w:color="7F7F7F"/>
            </w:tcBorders>
          </w:tcPr>
          <w:p>
            <w:pPr>
              <w:spacing w:after="0"/>
              <w:rPr>
                <w:sz w:val="21"/>
                <w:szCs w:val="21"/>
                <w:color w:val="auto"/>
              </w:rPr>
            </w:pPr>
          </w:p>
        </w:tc>
        <w:tc>
          <w:tcPr>
            <w:tcW w:w="380" w:type="dxa"/>
            <w:vAlign w:val="bottom"/>
            <w:tcBorders>
              <w:top w:val="single" w:sz="8" w:color="7F7F7F"/>
            </w:tcBorders>
          </w:tcPr>
          <w:p>
            <w:pPr>
              <w:ind w:left="18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7F7F7F"/>
            </w:tcBorders>
          </w:tcPr>
          <w:p>
            <w:pPr>
              <w:jc w:val="right"/>
              <w:ind w:right="121"/>
              <w:spacing w:after="0"/>
              <w:rPr>
                <w:sz w:val="20"/>
                <w:szCs w:val="20"/>
                <w:color w:val="auto"/>
              </w:rPr>
            </w:pPr>
            <w:r>
              <w:rPr>
                <w:rFonts w:ascii="Arial" w:cs="Arial" w:eastAsia="Arial" w:hAnsi="Arial"/>
                <w:sz w:val="16"/>
                <w:szCs w:val="16"/>
                <w:color w:val="auto"/>
              </w:rPr>
              <w:t>125.31</w:t>
            </w:r>
          </w:p>
        </w:tc>
        <w:tc>
          <w:tcPr>
            <w:tcW w:w="140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6.6</w:t>
            </w:r>
          </w:p>
        </w:tc>
        <w:tc>
          <w:tcPr>
            <w:tcW w:w="500" w:type="dxa"/>
            <w:vAlign w:val="bottom"/>
            <w:tcBorders>
              <w:top w:val="single" w:sz="8" w:color="7F7F7F"/>
            </w:tcBorders>
          </w:tcPr>
          <w:p>
            <w:pPr>
              <w:jc w:val="right"/>
              <w:ind w:right="21"/>
              <w:spacing w:after="0"/>
              <w:rPr>
                <w:sz w:val="20"/>
                <w:szCs w:val="20"/>
                <w:color w:val="auto"/>
              </w:rPr>
            </w:pPr>
            <w:r>
              <w:rPr>
                <w:rFonts w:ascii="Arial" w:cs="Arial" w:eastAsia="Arial" w:hAnsi="Arial"/>
                <w:sz w:val="16"/>
                <w:szCs w:val="16"/>
                <w:color w:val="auto"/>
              </w:rPr>
              <w:t>yrs.</w:t>
            </w:r>
          </w:p>
        </w:tc>
        <w:tc>
          <w:tcPr>
            <w:tcW w:w="840" w:type="dxa"/>
            <w:vAlign w:val="bottom"/>
            <w:tcBorders>
              <w:top w:val="single" w:sz="8" w:color="7F7F7F"/>
            </w:tcBorders>
          </w:tcPr>
          <w:p>
            <w:pPr>
              <w:jc w:val="right"/>
              <w:ind w:right="201"/>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52"/>
        </w:trPr>
        <w:tc>
          <w:tcPr>
            <w:tcW w:w="5040" w:type="dxa"/>
            <w:vAlign w:val="bottom"/>
            <w:tcBorders>
              <w:bottom w:val="single" w:sz="8" w:color="7F7F7F"/>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380" w:type="dxa"/>
            <w:vAlign w:val="bottom"/>
            <w:tcBorders>
              <w:bottom w:val="single" w:sz="8" w:color="7F7F7F"/>
            </w:tcBorders>
          </w:tcPr>
          <w:p>
            <w:pPr>
              <w:spacing w:after="0"/>
              <w:rPr>
                <w:sz w:val="4"/>
                <w:szCs w:val="4"/>
                <w:color w:val="auto"/>
              </w:rPr>
            </w:pPr>
          </w:p>
        </w:tc>
        <w:tc>
          <w:tcPr>
            <w:tcW w:w="1300" w:type="dxa"/>
            <w:vAlign w:val="bottom"/>
            <w:tcBorders>
              <w:bottom w:val="single" w:sz="8" w:color="7F7F7F"/>
            </w:tcBorders>
          </w:tcPr>
          <w:p>
            <w:pPr>
              <w:spacing w:after="0"/>
              <w:rPr>
                <w:sz w:val="4"/>
                <w:szCs w:val="4"/>
                <w:color w:val="auto"/>
              </w:rPr>
            </w:pPr>
          </w:p>
        </w:tc>
        <w:tc>
          <w:tcPr>
            <w:tcW w:w="1400" w:type="dxa"/>
            <w:vAlign w:val="bottom"/>
            <w:tcBorders>
              <w:bottom w:val="single" w:sz="8" w:color="7F7F7F"/>
            </w:tcBorders>
          </w:tcPr>
          <w:p>
            <w:pPr>
              <w:spacing w:after="0"/>
              <w:rPr>
                <w:sz w:val="4"/>
                <w:szCs w:val="4"/>
                <w:color w:val="auto"/>
              </w:rPr>
            </w:pPr>
          </w:p>
        </w:tc>
        <w:tc>
          <w:tcPr>
            <w:tcW w:w="50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6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exercisable at March 31, 2020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2,306</w:t>
            </w:r>
          </w:p>
        </w:tc>
        <w:tc>
          <w:tcPr>
            <w:tcW w:w="1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108.27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yrs.</w:t>
            </w:r>
          </w:p>
        </w:tc>
        <w:tc>
          <w:tcPr>
            <w:tcW w:w="84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9"/>
        </w:trPr>
        <w:tc>
          <w:tcPr>
            <w:tcW w:w="5040" w:type="dxa"/>
            <w:vAlign w:val="bottom"/>
            <w:shd w:val="clear" w:color="auto" w:fill="7F7F7F"/>
          </w:tcPr>
          <w:p>
            <w:pPr>
              <w:spacing w:after="0"/>
              <w:rPr>
                <w:sz w:val="3"/>
                <w:szCs w:val="3"/>
                <w:color w:val="auto"/>
              </w:rPr>
            </w:pPr>
          </w:p>
        </w:tc>
        <w:tc>
          <w:tcPr>
            <w:tcW w:w="1020" w:type="dxa"/>
            <w:vAlign w:val="bottom"/>
            <w:shd w:val="clear" w:color="auto" w:fill="808080"/>
          </w:tcPr>
          <w:p>
            <w:pPr>
              <w:spacing w:after="0"/>
              <w:rPr>
                <w:sz w:val="3"/>
                <w:szCs w:val="3"/>
                <w:color w:val="auto"/>
              </w:rPr>
            </w:pPr>
          </w:p>
        </w:tc>
        <w:tc>
          <w:tcPr>
            <w:tcW w:w="160" w:type="dxa"/>
            <w:vAlign w:val="bottom"/>
            <w:shd w:val="clear" w:color="auto" w:fill="7F7F7F"/>
          </w:tcPr>
          <w:p>
            <w:pPr>
              <w:spacing w:after="0"/>
              <w:rPr>
                <w:sz w:val="3"/>
                <w:szCs w:val="3"/>
                <w:color w:val="auto"/>
              </w:rPr>
            </w:pPr>
          </w:p>
        </w:tc>
        <w:tc>
          <w:tcPr>
            <w:tcW w:w="380" w:type="dxa"/>
            <w:vAlign w:val="bottom"/>
            <w:shd w:val="clear" w:color="auto" w:fill="7F7F7F"/>
          </w:tcPr>
          <w:p>
            <w:pPr>
              <w:spacing w:after="0"/>
              <w:rPr>
                <w:sz w:val="3"/>
                <w:szCs w:val="3"/>
                <w:color w:val="auto"/>
              </w:rPr>
            </w:pPr>
          </w:p>
        </w:tc>
        <w:tc>
          <w:tcPr>
            <w:tcW w:w="1300" w:type="dxa"/>
            <w:vAlign w:val="bottom"/>
            <w:shd w:val="clear" w:color="auto" w:fill="7F7F7F"/>
          </w:tcPr>
          <w:p>
            <w:pPr>
              <w:spacing w:after="0"/>
              <w:rPr>
                <w:sz w:val="3"/>
                <w:szCs w:val="3"/>
                <w:color w:val="auto"/>
              </w:rPr>
            </w:pPr>
          </w:p>
        </w:tc>
        <w:tc>
          <w:tcPr>
            <w:tcW w:w="1400" w:type="dxa"/>
            <w:vAlign w:val="bottom"/>
            <w:shd w:val="clear" w:color="auto" w:fill="7F7F7F"/>
          </w:tcPr>
          <w:p>
            <w:pPr>
              <w:spacing w:after="0"/>
              <w:rPr>
                <w:sz w:val="3"/>
                <w:szCs w:val="3"/>
                <w:color w:val="auto"/>
              </w:rPr>
            </w:pPr>
          </w:p>
        </w:tc>
        <w:tc>
          <w:tcPr>
            <w:tcW w:w="500" w:type="dxa"/>
            <w:vAlign w:val="bottom"/>
            <w:shd w:val="clear" w:color="auto" w:fill="7F7F7F"/>
          </w:tcPr>
          <w:p>
            <w:pPr>
              <w:spacing w:after="0"/>
              <w:rPr>
                <w:sz w:val="3"/>
                <w:szCs w:val="3"/>
                <w:color w:val="auto"/>
              </w:rPr>
            </w:pPr>
          </w:p>
        </w:tc>
        <w:tc>
          <w:tcPr>
            <w:tcW w:w="840" w:type="dxa"/>
            <w:vAlign w:val="bottom"/>
            <w:shd w:val="clear" w:color="auto" w:fill="7F7F7F"/>
          </w:tcPr>
          <w:p>
            <w:pPr>
              <w:spacing w:after="0"/>
              <w:rPr>
                <w:sz w:val="3"/>
                <w:szCs w:val="3"/>
                <w:color w:val="auto"/>
              </w:rPr>
            </w:pPr>
          </w:p>
        </w:tc>
        <w:tc>
          <w:tcPr>
            <w:tcW w:w="600" w:type="dxa"/>
            <w:vAlign w:val="bottom"/>
            <w:shd w:val="clear" w:color="auto" w:fill="7F7F7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Stock options are granted at the closing price on the date of grant, have 10 year contractual terms, and vest no later than 3 years from the date of grant. None of the stock options outstanding at March 31, 2020, are subject to performance or market-based vesting conditions.</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At March 31, 2020, there was $28 million of unrecognized compensation expense related to nonvested stock options, which is expected to be recognized over a weighted-average period of 1.7 years. Additional information regarding stock option exercises appears in the following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0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2720" w:type="dxa"/>
            <w:vAlign w:val="bottom"/>
            <w:tcBorders>
              <w:top w:val="single" w:sz="8" w:color="7F7F7F"/>
            </w:tcBorders>
          </w:tcPr>
          <w:p>
            <w:pPr>
              <w:spacing w:after="0"/>
              <w:rPr>
                <w:sz w:val="20"/>
                <w:szCs w:val="20"/>
                <w:color w:val="auto"/>
              </w:rPr>
            </w:pPr>
          </w:p>
        </w:tc>
        <w:tc>
          <w:tcPr>
            <w:tcW w:w="980" w:type="dxa"/>
            <w:vAlign w:val="bottom"/>
            <w:tcBorders>
              <w:top w:val="single" w:sz="8" w:color="7F7F7F"/>
            </w:tcBorders>
            <w:vMerge w:val="restart"/>
          </w:tcPr>
          <w:p>
            <w:pPr>
              <w:jc w:val="right"/>
              <w:ind w:right="61"/>
              <w:spacing w:after="0"/>
              <w:rPr>
                <w:sz w:val="20"/>
                <w:szCs w:val="20"/>
                <w:color w:val="auto"/>
              </w:rPr>
            </w:pPr>
            <w:r>
              <w:rPr>
                <w:rFonts w:ascii="Arial" w:cs="Arial" w:eastAsia="Arial" w:hAnsi="Arial"/>
                <w:sz w:val="16"/>
                <w:szCs w:val="16"/>
                <w:b w:val="1"/>
                <w:bCs w:val="1"/>
                <w:i w:val="1"/>
                <w:iCs w:val="1"/>
                <w:color w:val="auto"/>
              </w:rPr>
              <w:t>2020</w:t>
            </w:r>
          </w:p>
        </w:tc>
        <w:tc>
          <w:tcPr>
            <w:tcW w:w="700" w:type="dxa"/>
            <w:vAlign w:val="bottom"/>
            <w:tcBorders>
              <w:top w:val="single" w:sz="8" w:color="7F7F7F"/>
            </w:tcBorders>
          </w:tcPr>
          <w:p>
            <w:pPr>
              <w:spacing w:after="0"/>
              <w:rPr>
                <w:sz w:val="20"/>
                <w:szCs w:val="20"/>
                <w:color w:val="auto"/>
              </w:rPr>
            </w:pPr>
          </w:p>
        </w:tc>
        <w:tc>
          <w:tcPr>
            <w:tcW w:w="840" w:type="dxa"/>
            <w:vAlign w:val="bottom"/>
            <w:tcBorders>
              <w:top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0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2720" w:type="dxa"/>
            <w:vAlign w:val="bottom"/>
            <w:tcBorders>
              <w:bottom w:val="single" w:sz="8" w:color="7F7F7F"/>
            </w:tcBorders>
          </w:tcPr>
          <w:p>
            <w:pPr>
              <w:spacing w:after="0"/>
              <w:rPr>
                <w:sz w:val="16"/>
                <w:szCs w:val="16"/>
                <w:color w:val="auto"/>
              </w:rPr>
            </w:pPr>
          </w:p>
        </w:tc>
        <w:tc>
          <w:tcPr>
            <w:tcW w:w="980" w:type="dxa"/>
            <w:vAlign w:val="bottom"/>
            <w:tcBorders>
              <w:bottom w:val="single" w:sz="8" w:color="7F7F7F"/>
            </w:tcBorders>
            <w:vMerge w:val="continue"/>
          </w:tcPr>
          <w:p>
            <w:pPr>
              <w:spacing w:after="0"/>
              <w:rPr>
                <w:sz w:val="16"/>
                <w:szCs w:val="16"/>
                <w:color w:val="auto"/>
              </w:rPr>
            </w:pPr>
          </w:p>
        </w:tc>
        <w:tc>
          <w:tcPr>
            <w:tcW w:w="700" w:type="dxa"/>
            <w:vAlign w:val="bottom"/>
            <w:tcBorders>
              <w:bottom w:val="single" w:sz="8" w:color="7F7F7F"/>
            </w:tcBorders>
          </w:tcPr>
          <w:p>
            <w:pPr>
              <w:spacing w:after="0"/>
              <w:rPr>
                <w:sz w:val="16"/>
                <w:szCs w:val="16"/>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0" w:type="dxa"/>
            <w:vAlign w:val="bottom"/>
          </w:tcPr>
          <w:p>
            <w:pPr>
              <w:spacing w:after="0"/>
              <w:rPr>
                <w:sz w:val="1"/>
                <w:szCs w:val="1"/>
                <w:color w:val="auto"/>
              </w:rPr>
            </w:pPr>
          </w:p>
        </w:tc>
      </w:tr>
      <w:tr>
        <w:trPr>
          <w:trHeight w:val="197"/>
        </w:trPr>
        <w:tc>
          <w:tcPr>
            <w:tcW w:w="6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Intrinsic value of stock options exercised</w:t>
            </w:r>
          </w:p>
        </w:tc>
        <w:tc>
          <w:tcPr>
            <w:tcW w:w="2720" w:type="dxa"/>
            <w:vAlign w:val="bottom"/>
            <w:shd w:val="clear" w:color="auto" w:fill="CCEEFF"/>
          </w:tcPr>
          <w:p>
            <w:pPr>
              <w:jc w:val="right"/>
              <w:ind w:right="421"/>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48</w:t>
            </w:r>
          </w:p>
        </w:tc>
        <w:tc>
          <w:tcPr>
            <w:tcW w:w="70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9"/>
        </w:trPr>
        <w:tc>
          <w:tcPr>
            <w:tcW w:w="6000" w:type="dxa"/>
            <w:vAlign w:val="bottom"/>
          </w:tcPr>
          <w:p>
            <w:pPr>
              <w:ind w:left="40"/>
              <w:spacing w:after="0"/>
              <w:rPr>
                <w:sz w:val="20"/>
                <w:szCs w:val="20"/>
                <w:color w:val="auto"/>
              </w:rPr>
            </w:pPr>
            <w:r>
              <w:rPr>
                <w:rFonts w:ascii="Arial" w:cs="Arial" w:eastAsia="Arial" w:hAnsi="Arial"/>
                <w:sz w:val="16"/>
                <w:szCs w:val="16"/>
                <w:color w:val="auto"/>
              </w:rPr>
              <w:t>Cash received from option exercises</w:t>
            </w:r>
          </w:p>
        </w:tc>
        <w:tc>
          <w:tcPr>
            <w:tcW w:w="2720" w:type="dxa"/>
            <w:vAlign w:val="bottom"/>
          </w:tcPr>
          <w:p>
            <w:pPr>
              <w:spacing w:after="0"/>
              <w:rPr>
                <w:sz w:val="18"/>
                <w:szCs w:val="18"/>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b w:val="1"/>
                <w:bCs w:val="1"/>
                <w:color w:val="auto"/>
              </w:rPr>
              <w:t>33</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1"/>
        </w:trPr>
        <w:tc>
          <w:tcPr>
            <w:tcW w:w="6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Treasury shares repurchased for employee taxes</w:t>
            </w:r>
          </w:p>
        </w:tc>
        <w:tc>
          <w:tcPr>
            <w:tcW w:w="27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(8)</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6000" w:type="dxa"/>
            <w:vAlign w:val="bottom"/>
          </w:tcPr>
          <w:p>
            <w:pPr>
              <w:ind w:left="40"/>
              <w:spacing w:after="0"/>
              <w:rPr>
                <w:sz w:val="20"/>
                <w:szCs w:val="20"/>
                <w:color w:val="auto"/>
              </w:rPr>
            </w:pPr>
            <w:r>
              <w:rPr>
                <w:rFonts w:ascii="Arial" w:cs="Arial" w:eastAsia="Arial" w:hAnsi="Arial"/>
                <w:sz w:val="16"/>
                <w:szCs w:val="16"/>
                <w:color w:val="auto"/>
              </w:rPr>
              <w:t>Tax benefit realized from option exercises</w:t>
            </w:r>
          </w:p>
        </w:tc>
        <w:tc>
          <w:tcPr>
            <w:tcW w:w="2720" w:type="dxa"/>
            <w:vAlign w:val="bottom"/>
          </w:tcPr>
          <w:p>
            <w:pPr>
              <w:spacing w:after="0"/>
              <w:rPr>
                <w:sz w:val="18"/>
                <w:szCs w:val="18"/>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b w:val="1"/>
                <w:bCs w:val="1"/>
                <w:color w:val="auto"/>
              </w:rPr>
              <w:t>11</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7"/>
        </w:trPr>
        <w:tc>
          <w:tcPr>
            <w:tcW w:w="600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Aggregate grant-date fair value of stock options vested</w:t>
            </w:r>
          </w:p>
        </w:tc>
        <w:tc>
          <w:tcPr>
            <w:tcW w:w="2720" w:type="dxa"/>
            <w:vAlign w:val="bottom"/>
            <w:tcBorders>
              <w:bottom w:val="single" w:sz="8" w:color="7F7F7F"/>
            </w:tcBorders>
            <w:shd w:val="clear" w:color="auto" w:fill="CCEEFF"/>
          </w:tcPr>
          <w:p>
            <w:pPr>
              <w:spacing w:after="0"/>
              <w:rPr>
                <w:sz w:val="18"/>
                <w:szCs w:val="18"/>
                <w:color w:val="auto"/>
              </w:rPr>
            </w:pPr>
          </w:p>
        </w:tc>
        <w:tc>
          <w:tcPr>
            <w:tcW w:w="980" w:type="dxa"/>
            <w:vAlign w:val="bottom"/>
            <w:tcBorders>
              <w:bottom w:val="single" w:sz="8" w:color="7F7F7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14</w:t>
            </w:r>
          </w:p>
        </w:tc>
        <w:tc>
          <w:tcPr>
            <w:tcW w:w="700" w:type="dxa"/>
            <w:vAlign w:val="bottom"/>
            <w:tcBorders>
              <w:bottom w:val="single" w:sz="8" w:color="7F7F7F"/>
            </w:tcBorders>
            <w:shd w:val="clear" w:color="auto" w:fill="CCEEFF"/>
          </w:tcPr>
          <w:p>
            <w:pPr>
              <w:spacing w:after="0"/>
              <w:rPr>
                <w:sz w:val="18"/>
                <w:szCs w:val="18"/>
                <w:color w:val="auto"/>
              </w:rPr>
            </w:pPr>
          </w:p>
        </w:tc>
        <w:tc>
          <w:tcPr>
            <w:tcW w:w="8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Retention Awards </w:t>
      </w:r>
      <w:r>
        <w:rPr>
          <w:rFonts w:ascii="Arial" w:cs="Arial" w:eastAsia="Arial" w:hAnsi="Arial"/>
          <w:sz w:val="17"/>
          <w:szCs w:val="17"/>
          <w:color w:val="auto"/>
        </w:rPr>
        <w:t>– The fair value of retention awards is based on the closing price of the stock on the grant date. Dividends and dividend</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equivalents are paid to participants during the vesting periods.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Changes in our retention awards during the three months ended March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136130"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476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6"/>
                <w:szCs w:val="16"/>
                <w:color w:val="auto"/>
              </w:rPr>
            </w:pPr>
          </w:p>
        </w:tc>
        <w:tc>
          <w:tcPr>
            <w:tcW w:w="1700" w:type="dxa"/>
            <w:vAlign w:val="bottom"/>
            <w:gridSpan w:val="2"/>
          </w:tcPr>
          <w:p>
            <w:pPr>
              <w:ind w:left="480"/>
              <w:spacing w:after="0"/>
              <w:rPr>
                <w:sz w:val="20"/>
                <w:szCs w:val="20"/>
                <w:color w:val="auto"/>
              </w:rPr>
            </w:pPr>
            <w:r>
              <w:rPr>
                <w:rFonts w:ascii="Arial" w:cs="Arial" w:eastAsia="Arial" w:hAnsi="Arial"/>
                <w:sz w:val="16"/>
                <w:szCs w:val="16"/>
                <w:i w:val="1"/>
                <w:iCs w:val="1"/>
                <w:color w:val="auto"/>
              </w:rPr>
              <w:t>Shares</w:t>
            </w:r>
          </w:p>
        </w:tc>
        <w:tc>
          <w:tcPr>
            <w:tcW w:w="2200" w:type="dxa"/>
            <w:vAlign w:val="bottom"/>
            <w:gridSpan w:val="2"/>
          </w:tcPr>
          <w:p>
            <w:pPr>
              <w:jc w:val="right"/>
              <w:spacing w:after="0"/>
              <w:rPr>
                <w:sz w:val="20"/>
                <w:szCs w:val="20"/>
                <w:color w:val="auto"/>
              </w:rPr>
            </w:pPr>
            <w:r>
              <w:rPr>
                <w:rFonts w:ascii="Arial" w:cs="Arial" w:eastAsia="Arial" w:hAnsi="Arial"/>
                <w:sz w:val="16"/>
                <w:szCs w:val="16"/>
                <w:i w:val="1"/>
                <w:iCs w:val="1"/>
                <w:color w:val="auto"/>
              </w:rPr>
              <w:t>Weighted-Average</w:t>
            </w:r>
          </w:p>
        </w:tc>
      </w:tr>
      <w:tr>
        <w:trPr>
          <w:trHeight w:val="190"/>
        </w:trPr>
        <w:tc>
          <w:tcPr>
            <w:tcW w:w="7340" w:type="dxa"/>
            <w:vAlign w:val="bottom"/>
            <w:tcBorders>
              <w:bottom w:val="single" w:sz="8" w:color="7F7F7F"/>
            </w:tcBorders>
          </w:tcPr>
          <w:p>
            <w:pPr>
              <w:spacing w:after="0"/>
              <w:rPr>
                <w:sz w:val="16"/>
                <w:szCs w:val="16"/>
                <w:color w:val="auto"/>
              </w:rPr>
            </w:pPr>
          </w:p>
        </w:tc>
        <w:tc>
          <w:tcPr>
            <w:tcW w:w="1700" w:type="dxa"/>
            <w:vAlign w:val="bottom"/>
            <w:tcBorders>
              <w:bottom w:val="single" w:sz="8" w:color="7F7F7F"/>
            </w:tcBorders>
            <w:gridSpan w:val="2"/>
          </w:tcPr>
          <w:p>
            <w:pPr>
              <w:ind w:left="480"/>
              <w:spacing w:after="0"/>
              <w:rPr>
                <w:sz w:val="20"/>
                <w:szCs w:val="20"/>
                <w:color w:val="auto"/>
              </w:rPr>
            </w:pPr>
            <w:r>
              <w:rPr>
                <w:rFonts w:ascii="Arial" w:cs="Arial" w:eastAsia="Arial" w:hAnsi="Arial"/>
                <w:sz w:val="16"/>
                <w:szCs w:val="16"/>
                <w:i w:val="1"/>
                <w:iCs w:val="1"/>
                <w:color w:val="auto"/>
              </w:rPr>
              <w:t>(thous.)</w:t>
            </w:r>
          </w:p>
        </w:tc>
        <w:tc>
          <w:tcPr>
            <w:tcW w:w="220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Grant-Date Fair Value</w:t>
            </w:r>
          </w:p>
        </w:tc>
      </w:tr>
      <w:tr>
        <w:trPr>
          <w:trHeight w:val="197"/>
        </w:trPr>
        <w:tc>
          <w:tcPr>
            <w:tcW w:w="7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at January 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w:t>
            </w:r>
          </w:p>
        </w:tc>
        <w:tc>
          <w:tcPr>
            <w:tcW w:w="6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112.12</w:t>
            </w:r>
          </w:p>
        </w:tc>
      </w:tr>
      <w:tr>
        <w:trPr>
          <w:trHeight w:val="207"/>
        </w:trPr>
        <w:tc>
          <w:tcPr>
            <w:tcW w:w="7340" w:type="dxa"/>
            <w:vAlign w:val="bottom"/>
          </w:tcPr>
          <w:p>
            <w:pPr>
              <w:ind w:left="4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spacing w:after="0"/>
              <w:rPr>
                <w:sz w:val="20"/>
                <w:szCs w:val="20"/>
                <w:color w:val="auto"/>
              </w:rPr>
            </w:pPr>
            <w:r>
              <w:rPr>
                <w:rFonts w:ascii="Arial" w:cs="Arial" w:eastAsia="Arial" w:hAnsi="Arial"/>
                <w:sz w:val="16"/>
                <w:szCs w:val="16"/>
                <w:color w:val="auto"/>
              </w:rPr>
              <w:t>304</w:t>
            </w:r>
          </w:p>
        </w:tc>
        <w:tc>
          <w:tcPr>
            <w:tcW w:w="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185.97</w:t>
            </w:r>
          </w:p>
        </w:tc>
      </w:tr>
      <w:tr>
        <w:trPr>
          <w:trHeight w:val="213"/>
        </w:trPr>
        <w:tc>
          <w:tcPr>
            <w:tcW w:w="7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(608)</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75.89</w:t>
            </w:r>
          </w:p>
        </w:tc>
      </w:tr>
      <w:tr>
        <w:trPr>
          <w:trHeight w:val="203"/>
        </w:trPr>
        <w:tc>
          <w:tcPr>
            <w:tcW w:w="734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700" w:type="dxa"/>
            <w:vAlign w:val="bottom"/>
            <w:gridSpan w:val="2"/>
          </w:tcPr>
          <w:p>
            <w:pPr>
              <w:jc w:val="right"/>
              <w:ind w:right="680"/>
              <w:spacing w:after="0"/>
              <w:rPr>
                <w:sz w:val="20"/>
                <w:szCs w:val="20"/>
                <w:color w:val="auto"/>
              </w:rPr>
            </w:pPr>
            <w:r>
              <w:rPr>
                <w:rFonts w:ascii="Arial" w:cs="Arial" w:eastAsia="Arial" w:hAnsi="Arial"/>
                <w:sz w:val="16"/>
                <w:szCs w:val="16"/>
                <w:color w:val="auto"/>
              </w:rPr>
              <w:t>(22)</w:t>
            </w:r>
          </w:p>
        </w:tc>
        <w:tc>
          <w:tcPr>
            <w:tcW w:w="1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134.81</w:t>
            </w:r>
          </w:p>
        </w:tc>
      </w:tr>
      <w:tr>
        <w:trPr>
          <w:trHeight w:val="268"/>
        </w:trPr>
        <w:tc>
          <w:tcPr>
            <w:tcW w:w="7340" w:type="dxa"/>
            <w:vAlign w:val="bottom"/>
            <w:tcBorders>
              <w:top w:val="single" w:sz="8" w:color="7F7F7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March 31, 2020</w:t>
            </w:r>
          </w:p>
        </w:tc>
        <w:tc>
          <w:tcPr>
            <w:tcW w:w="1020" w:type="dxa"/>
            <w:vAlign w:val="bottom"/>
            <w:tcBorders>
              <w:top w:val="single" w:sz="8" w:color="808080"/>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1,572</w:t>
            </w:r>
          </w:p>
        </w:tc>
        <w:tc>
          <w:tcPr>
            <w:tcW w:w="680" w:type="dxa"/>
            <w:vAlign w:val="bottom"/>
            <w:tcBorders>
              <w:top w:val="single" w:sz="8" w:color="7F7F7F"/>
              <w:bottom w:val="single" w:sz="8" w:color="CCEEFF"/>
            </w:tcBorders>
            <w:shd w:val="clear" w:color="auto" w:fill="CCEEFF"/>
          </w:tcPr>
          <w:p>
            <w:pPr>
              <w:spacing w:after="0"/>
              <w:rPr>
                <w:sz w:val="23"/>
                <w:szCs w:val="23"/>
                <w:color w:val="auto"/>
              </w:rPr>
            </w:pPr>
          </w:p>
        </w:tc>
        <w:tc>
          <w:tcPr>
            <w:tcW w:w="1420" w:type="dxa"/>
            <w:vAlign w:val="bottom"/>
            <w:tcBorders>
              <w:top w:val="single" w:sz="8" w:color="7F7F7F"/>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140.10</w:t>
            </w:r>
          </w:p>
        </w:tc>
      </w:tr>
      <w:tr>
        <w:trPr>
          <w:trHeight w:val="39"/>
        </w:trPr>
        <w:tc>
          <w:tcPr>
            <w:tcW w:w="7340" w:type="dxa"/>
            <w:vAlign w:val="bottom"/>
            <w:shd w:val="clear" w:color="auto" w:fill="7F7F7F"/>
          </w:tcPr>
          <w:p>
            <w:pPr>
              <w:spacing w:after="0"/>
              <w:rPr>
                <w:sz w:val="3"/>
                <w:szCs w:val="3"/>
                <w:color w:val="auto"/>
              </w:rPr>
            </w:pPr>
          </w:p>
        </w:tc>
        <w:tc>
          <w:tcPr>
            <w:tcW w:w="1020" w:type="dxa"/>
            <w:vAlign w:val="bottom"/>
            <w:shd w:val="clear" w:color="auto" w:fill="808080"/>
          </w:tcPr>
          <w:p>
            <w:pPr>
              <w:spacing w:after="0"/>
              <w:rPr>
                <w:sz w:val="3"/>
                <w:szCs w:val="3"/>
                <w:color w:val="auto"/>
              </w:rPr>
            </w:pPr>
          </w:p>
        </w:tc>
        <w:tc>
          <w:tcPr>
            <w:tcW w:w="680" w:type="dxa"/>
            <w:vAlign w:val="bottom"/>
            <w:shd w:val="clear" w:color="auto" w:fill="7F7F7F"/>
          </w:tcPr>
          <w:p>
            <w:pPr>
              <w:spacing w:after="0"/>
              <w:rPr>
                <w:sz w:val="3"/>
                <w:szCs w:val="3"/>
                <w:color w:val="auto"/>
              </w:rPr>
            </w:pPr>
          </w:p>
        </w:tc>
        <w:tc>
          <w:tcPr>
            <w:tcW w:w="1420" w:type="dxa"/>
            <w:vAlign w:val="bottom"/>
            <w:shd w:val="clear" w:color="auto" w:fill="7F7F7F"/>
          </w:tcPr>
          <w:p>
            <w:pPr>
              <w:spacing w:after="0"/>
              <w:rPr>
                <w:sz w:val="3"/>
                <w:szCs w:val="3"/>
                <w:color w:val="auto"/>
              </w:rPr>
            </w:pPr>
          </w:p>
        </w:tc>
        <w:tc>
          <w:tcPr>
            <w:tcW w:w="780" w:type="dxa"/>
            <w:vAlign w:val="bottom"/>
            <w:shd w:val="clear" w:color="auto" w:fill="7F7F7F"/>
          </w:tcPr>
          <w:p>
            <w:pPr>
              <w:spacing w:after="0"/>
              <w:rPr>
                <w:sz w:val="3"/>
                <w:szCs w:val="3"/>
                <w:color w:val="auto"/>
              </w:rPr>
            </w:pPr>
          </w:p>
        </w:tc>
      </w:tr>
    </w:tbl>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Retention awards are granted at no cost to the employee or non-employee director and vest over periods lasting up to 4 years. At March 31, 2020, there was $131 million of total unrecognized compensation expense related to nonvested retention awards, which is expected to be recognized over a weighted-average period of 2.2 years.</w:t>
      </w:r>
    </w:p>
    <w:p>
      <w:pPr>
        <w:spacing w:after="0" w:line="13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color w:val="auto"/>
        </w:rPr>
        <w:t xml:space="preserve">Performance Retention Awards </w:t>
      </w:r>
      <w:r>
        <w:rPr>
          <w:rFonts w:ascii="Arial" w:cs="Arial" w:eastAsia="Arial" w:hAnsi="Arial"/>
          <w:sz w:val="17"/>
          <w:szCs w:val="17"/>
          <w:color w:val="auto"/>
        </w:rPr>
        <w:t>– In February 2020, our Board of Directors approved performance stock unit grants. The basic terms of these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stock units are identical to those granted in February 2019, except for different annual return on invested capital (ROIC) performance targets. The plan also includes relative operating income growth (OIG) as a modifier compared to the companies included in the S&amp;P 500 Industrials Index. We define ROIC as net operating profit adjusted for interest expense (including interest on average operating lease liabilities) and taxes on interest divided by average invested capital adjusted for average operating lease liabilities. The modifier can be up to +/-25% of the award earned based on the ROIC achieved.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 w:name="page10"/>
    <w:bookmarkEnd w:id="9"/>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7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Stock units awarded to selected employees under these grants are subject to continued employment for 37 months and the attainment of certain levels of ROIC, modified for the relative OIG. We expense the fair value of the units that are probable of being earned based on our forecasted ROIC over the 3-year performance period, and with respect to the third year of the plan, the relative OIG modifier. We measure the fair value of these performance stock units based upon the closing price of the underlying common stock as of the date of grant, reduced by the present value of estimated future dividends. Dividend equivalents are paid to participants only after the units are earned.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used to calculate the present value of estimated future dividends related to the February 2020 grant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Borders>
              <w:top w:val="single" w:sz="8" w:color="7F7F7F"/>
              <w:bottom w:val="single" w:sz="8" w:color="7F7F7F"/>
            </w:tcBorders>
          </w:tcPr>
          <w:p>
            <w:pPr>
              <w:spacing w:after="0"/>
              <w:rPr>
                <w:sz w:val="18"/>
                <w:szCs w:val="18"/>
                <w:color w:val="auto"/>
              </w:rPr>
            </w:pPr>
          </w:p>
        </w:tc>
        <w:tc>
          <w:tcPr>
            <w:tcW w:w="4160" w:type="dxa"/>
            <w:vAlign w:val="bottom"/>
            <w:tcBorders>
              <w:top w:val="single" w:sz="8" w:color="7F7F7F"/>
              <w:bottom w:val="single" w:sz="8" w:color="7F7F7F"/>
            </w:tcBorders>
          </w:tcPr>
          <w:p>
            <w:pPr>
              <w:spacing w:after="0"/>
              <w:rPr>
                <w:sz w:val="18"/>
                <w:szCs w:val="18"/>
                <w:color w:val="auto"/>
              </w:rPr>
            </w:pPr>
          </w:p>
        </w:tc>
        <w:tc>
          <w:tcPr>
            <w:tcW w:w="68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2020</w:t>
            </w:r>
          </w:p>
        </w:tc>
      </w:tr>
      <w:tr>
        <w:trPr>
          <w:trHeight w:val="19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per share per quarter</w:t>
            </w:r>
          </w:p>
        </w:tc>
        <w:tc>
          <w:tcPr>
            <w:tcW w:w="41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r>
      <w:tr>
        <w:trPr>
          <w:trHeight w:val="216"/>
        </w:trPr>
        <w:tc>
          <w:tcPr>
            <w:tcW w:w="64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Risk-free interest rate at date of grant</w:t>
            </w:r>
          </w:p>
        </w:tc>
        <w:tc>
          <w:tcPr>
            <w:tcW w:w="4160" w:type="dxa"/>
            <w:vAlign w:val="bottom"/>
            <w:tcBorders>
              <w:bottom w:val="single" w:sz="8" w:color="7F7F7F"/>
            </w:tcBorders>
          </w:tcPr>
          <w:p>
            <w:pPr>
              <w:spacing w:after="0"/>
              <w:rPr>
                <w:sz w:val="18"/>
                <w:szCs w:val="18"/>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1.4%</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Changes in our performance retention awards during the three months ended March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wp:posOffset>
            </wp:positionV>
            <wp:extent cx="7136130" cy="24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476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4060" w:type="dxa"/>
            <w:vAlign w:val="bottom"/>
          </w:tcPr>
          <w:p>
            <w:pPr>
              <w:jc w:val="right"/>
              <w:ind w:right="481"/>
              <w:spacing w:after="0"/>
              <w:rPr>
                <w:sz w:val="20"/>
                <w:szCs w:val="20"/>
                <w:color w:val="auto"/>
              </w:rPr>
            </w:pPr>
            <w:r>
              <w:rPr>
                <w:rFonts w:ascii="Arial" w:cs="Arial" w:eastAsia="Arial" w:hAnsi="Arial"/>
                <w:sz w:val="16"/>
                <w:szCs w:val="16"/>
                <w:i w:val="1"/>
                <w:iCs w:val="1"/>
                <w:color w:val="auto"/>
              </w:rPr>
              <w:t>Shares</w:t>
            </w:r>
          </w:p>
        </w:tc>
        <w:tc>
          <w:tcPr>
            <w:tcW w:w="2020" w:type="dxa"/>
            <w:vAlign w:val="bottom"/>
            <w:gridSpan w:val="2"/>
          </w:tcPr>
          <w:p>
            <w:pPr>
              <w:jc w:val="right"/>
              <w:spacing w:after="0"/>
              <w:rPr>
                <w:sz w:val="20"/>
                <w:szCs w:val="20"/>
                <w:color w:val="auto"/>
              </w:rPr>
            </w:pPr>
            <w:r>
              <w:rPr>
                <w:rFonts w:ascii="Arial" w:cs="Arial" w:eastAsia="Arial" w:hAnsi="Arial"/>
                <w:sz w:val="16"/>
                <w:szCs w:val="16"/>
                <w:i w:val="1"/>
                <w:iCs w:val="1"/>
                <w:color w:val="auto"/>
              </w:rPr>
              <w:t>Weighted-Average</w:t>
            </w:r>
          </w:p>
        </w:tc>
      </w:tr>
      <w:tr>
        <w:trPr>
          <w:trHeight w:val="190"/>
        </w:trPr>
        <w:tc>
          <w:tcPr>
            <w:tcW w:w="5160" w:type="dxa"/>
            <w:vAlign w:val="bottom"/>
            <w:tcBorders>
              <w:bottom w:val="single" w:sz="8" w:color="7F7F7F"/>
            </w:tcBorders>
          </w:tcPr>
          <w:p>
            <w:pPr>
              <w:spacing w:after="0"/>
              <w:rPr>
                <w:sz w:val="16"/>
                <w:szCs w:val="16"/>
                <w:color w:val="auto"/>
              </w:rPr>
            </w:pPr>
          </w:p>
        </w:tc>
        <w:tc>
          <w:tcPr>
            <w:tcW w:w="4060" w:type="dxa"/>
            <w:vAlign w:val="bottom"/>
            <w:tcBorders>
              <w:bottom w:val="single" w:sz="8" w:color="7F7F7F"/>
            </w:tcBorders>
          </w:tcPr>
          <w:p>
            <w:pPr>
              <w:jc w:val="right"/>
              <w:ind w:right="421"/>
              <w:spacing w:after="0"/>
              <w:rPr>
                <w:sz w:val="20"/>
                <w:szCs w:val="20"/>
                <w:color w:val="auto"/>
              </w:rPr>
            </w:pPr>
            <w:r>
              <w:rPr>
                <w:rFonts w:ascii="Arial" w:cs="Arial" w:eastAsia="Arial" w:hAnsi="Arial"/>
                <w:sz w:val="16"/>
                <w:szCs w:val="16"/>
                <w:i w:val="1"/>
                <w:iCs w:val="1"/>
                <w:color w:val="auto"/>
              </w:rPr>
              <w:t>(thous.)</w:t>
            </w:r>
          </w:p>
        </w:tc>
        <w:tc>
          <w:tcPr>
            <w:tcW w:w="202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rPr>
              <w:t>Grant-Date Fair Value</w:t>
            </w: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Nonvested at January 1, 2020</w:t>
            </w:r>
          </w:p>
        </w:tc>
        <w:tc>
          <w:tcPr>
            <w:tcW w:w="4060" w:type="dxa"/>
            <w:vAlign w:val="bottom"/>
            <w:shd w:val="clear" w:color="auto" w:fill="CCEEFF"/>
          </w:tcPr>
          <w:p>
            <w:pPr>
              <w:jc w:val="right"/>
              <w:ind w:right="481"/>
              <w:spacing w:after="0"/>
              <w:rPr>
                <w:sz w:val="20"/>
                <w:szCs w:val="20"/>
                <w:color w:val="auto"/>
              </w:rPr>
            </w:pPr>
            <w:r>
              <w:rPr>
                <w:rFonts w:ascii="Arial" w:cs="Arial" w:eastAsia="Arial" w:hAnsi="Arial"/>
                <w:sz w:val="16"/>
                <w:szCs w:val="16"/>
                <w:color w:val="auto"/>
              </w:rPr>
              <w:t>929</w:t>
            </w:r>
          </w:p>
        </w:tc>
        <w:tc>
          <w:tcPr>
            <w:tcW w:w="12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123.32</w:t>
            </w:r>
          </w:p>
        </w:tc>
      </w:tr>
      <w:tr>
        <w:trPr>
          <w:trHeight w:val="207"/>
        </w:trPr>
        <w:tc>
          <w:tcPr>
            <w:tcW w:w="5160" w:type="dxa"/>
            <w:vAlign w:val="bottom"/>
          </w:tcPr>
          <w:p>
            <w:pPr>
              <w:ind w:left="40"/>
              <w:spacing w:after="0"/>
              <w:rPr>
                <w:sz w:val="20"/>
                <w:szCs w:val="20"/>
                <w:color w:val="auto"/>
              </w:rPr>
            </w:pPr>
            <w:r>
              <w:rPr>
                <w:rFonts w:ascii="Arial" w:cs="Arial" w:eastAsia="Arial" w:hAnsi="Arial"/>
                <w:sz w:val="16"/>
                <w:szCs w:val="16"/>
                <w:color w:val="auto"/>
              </w:rPr>
              <w:t>Granted</w:t>
            </w:r>
          </w:p>
        </w:tc>
        <w:tc>
          <w:tcPr>
            <w:tcW w:w="4060" w:type="dxa"/>
            <w:vAlign w:val="bottom"/>
          </w:tcPr>
          <w:p>
            <w:pPr>
              <w:jc w:val="right"/>
              <w:ind w:right="481"/>
              <w:spacing w:after="0"/>
              <w:rPr>
                <w:sz w:val="20"/>
                <w:szCs w:val="20"/>
                <w:color w:val="auto"/>
              </w:rPr>
            </w:pPr>
            <w:r>
              <w:rPr>
                <w:rFonts w:ascii="Arial" w:cs="Arial" w:eastAsia="Arial" w:hAnsi="Arial"/>
                <w:sz w:val="16"/>
                <w:szCs w:val="16"/>
                <w:color w:val="auto"/>
              </w:rPr>
              <w:t>287</w:t>
            </w:r>
          </w:p>
        </w:tc>
        <w:tc>
          <w:tcPr>
            <w:tcW w:w="1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166.63</w:t>
            </w:r>
          </w:p>
        </w:tc>
      </w:tr>
      <w:tr>
        <w:trPr>
          <w:trHeight w:val="21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406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rPr>
              <w:t>(336)</w:t>
            </w:r>
          </w:p>
        </w:tc>
        <w:tc>
          <w:tcPr>
            <w:tcW w:w="1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102.58</w:t>
            </w:r>
          </w:p>
        </w:tc>
      </w:tr>
      <w:tr>
        <w:trPr>
          <w:trHeight w:val="207"/>
        </w:trPr>
        <w:tc>
          <w:tcPr>
            <w:tcW w:w="5160" w:type="dxa"/>
            <w:vAlign w:val="bottom"/>
          </w:tcPr>
          <w:p>
            <w:pPr>
              <w:ind w:left="40"/>
              <w:spacing w:after="0"/>
              <w:rPr>
                <w:sz w:val="20"/>
                <w:szCs w:val="20"/>
                <w:color w:val="auto"/>
              </w:rPr>
            </w:pPr>
            <w:r>
              <w:rPr>
                <w:rFonts w:ascii="Arial" w:cs="Arial" w:eastAsia="Arial" w:hAnsi="Arial"/>
                <w:sz w:val="16"/>
                <w:szCs w:val="16"/>
                <w:color w:val="auto"/>
              </w:rPr>
              <w:t>Unearned</w:t>
            </w:r>
          </w:p>
        </w:tc>
        <w:tc>
          <w:tcPr>
            <w:tcW w:w="4060" w:type="dxa"/>
            <w:vAlign w:val="bottom"/>
          </w:tcPr>
          <w:p>
            <w:pPr>
              <w:jc w:val="right"/>
              <w:ind w:right="421"/>
              <w:spacing w:after="0"/>
              <w:rPr>
                <w:sz w:val="20"/>
                <w:szCs w:val="20"/>
                <w:color w:val="auto"/>
              </w:rPr>
            </w:pPr>
            <w:r>
              <w:rPr>
                <w:rFonts w:ascii="Arial" w:cs="Arial" w:eastAsia="Arial" w:hAnsi="Arial"/>
                <w:sz w:val="16"/>
                <w:szCs w:val="16"/>
                <w:color w:val="auto"/>
              </w:rPr>
              <w:t>(8)</w:t>
            </w:r>
          </w:p>
        </w:tc>
        <w:tc>
          <w:tcPr>
            <w:tcW w:w="1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150.42</w:t>
            </w:r>
          </w:p>
        </w:tc>
      </w:tr>
      <w:tr>
        <w:trPr>
          <w:trHeight w:val="206"/>
        </w:trPr>
        <w:tc>
          <w:tcPr>
            <w:tcW w:w="516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Forfeited</w:t>
            </w:r>
          </w:p>
        </w:tc>
        <w:tc>
          <w:tcPr>
            <w:tcW w:w="4060" w:type="dxa"/>
            <w:vAlign w:val="bottom"/>
            <w:tcBorders>
              <w:bottom w:val="single" w:sz="8" w:color="7F7F7F"/>
            </w:tcBorders>
            <w:shd w:val="clear" w:color="auto" w:fill="CCEEFF"/>
          </w:tcPr>
          <w:p>
            <w:pPr>
              <w:jc w:val="right"/>
              <w:ind w:right="421"/>
              <w:spacing w:after="0"/>
              <w:rPr>
                <w:sz w:val="20"/>
                <w:szCs w:val="20"/>
                <w:color w:val="auto"/>
              </w:rPr>
            </w:pPr>
            <w:r>
              <w:rPr>
                <w:rFonts w:ascii="Arial" w:cs="Arial" w:eastAsia="Arial" w:hAnsi="Arial"/>
                <w:sz w:val="16"/>
                <w:szCs w:val="16"/>
                <w:color w:val="auto"/>
              </w:rPr>
              <w:t>(32)</w:t>
            </w:r>
          </w:p>
        </w:tc>
        <w:tc>
          <w:tcPr>
            <w:tcW w:w="1240" w:type="dxa"/>
            <w:vAlign w:val="bottom"/>
            <w:tcBorders>
              <w:bottom w:val="single" w:sz="8" w:color="7F7F7F"/>
            </w:tcBorders>
            <w:shd w:val="clear" w:color="auto" w:fill="CCEEFF"/>
          </w:tcPr>
          <w:p>
            <w:pPr>
              <w:spacing w:after="0"/>
              <w:rPr>
                <w:sz w:val="17"/>
                <w:szCs w:val="17"/>
                <w:color w:val="auto"/>
              </w:rPr>
            </w:pP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138.71</w:t>
            </w:r>
          </w:p>
        </w:tc>
      </w:tr>
      <w:tr>
        <w:trPr>
          <w:trHeight w:val="243"/>
        </w:trPr>
        <w:tc>
          <w:tcPr>
            <w:tcW w:w="5160" w:type="dxa"/>
            <w:vAlign w:val="bottom"/>
          </w:tcPr>
          <w:p>
            <w:pPr>
              <w:ind w:left="40"/>
              <w:spacing w:after="0"/>
              <w:rPr>
                <w:sz w:val="20"/>
                <w:szCs w:val="20"/>
                <w:color w:val="auto"/>
              </w:rPr>
            </w:pPr>
            <w:r>
              <w:rPr>
                <w:rFonts w:ascii="Arial" w:cs="Arial" w:eastAsia="Arial" w:hAnsi="Arial"/>
                <w:sz w:val="16"/>
                <w:szCs w:val="16"/>
                <w:color w:val="auto"/>
              </w:rPr>
              <w:t>Nonvested at March 31, 2020</w:t>
            </w:r>
          </w:p>
        </w:tc>
        <w:tc>
          <w:tcPr>
            <w:tcW w:w="4060" w:type="dxa"/>
            <w:vAlign w:val="bottom"/>
          </w:tcPr>
          <w:p>
            <w:pPr>
              <w:jc w:val="right"/>
              <w:ind w:right="481"/>
              <w:spacing w:after="0"/>
              <w:rPr>
                <w:sz w:val="20"/>
                <w:szCs w:val="20"/>
                <w:color w:val="auto"/>
              </w:rPr>
            </w:pPr>
            <w:r>
              <w:rPr>
                <w:rFonts w:ascii="Arial" w:cs="Arial" w:eastAsia="Arial" w:hAnsi="Arial"/>
                <w:sz w:val="16"/>
                <w:szCs w:val="16"/>
                <w:color w:val="auto"/>
              </w:rPr>
              <w:t>840</w:t>
            </w:r>
          </w:p>
        </w:tc>
        <w:tc>
          <w:tcPr>
            <w:tcW w:w="124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145.57</w:t>
            </w:r>
          </w:p>
        </w:tc>
      </w:tr>
      <w:tr>
        <w:trPr>
          <w:trHeight w:val="65"/>
        </w:trPr>
        <w:tc>
          <w:tcPr>
            <w:tcW w:w="5160" w:type="dxa"/>
            <w:vAlign w:val="bottom"/>
            <w:tcBorders>
              <w:bottom w:val="single" w:sz="8" w:color="7F7F7F"/>
            </w:tcBorders>
          </w:tcPr>
          <w:p>
            <w:pPr>
              <w:spacing w:after="0"/>
              <w:rPr>
                <w:sz w:val="5"/>
                <w:szCs w:val="5"/>
                <w:color w:val="auto"/>
              </w:rPr>
            </w:pPr>
          </w:p>
        </w:tc>
        <w:tc>
          <w:tcPr>
            <w:tcW w:w="4060" w:type="dxa"/>
            <w:vAlign w:val="bottom"/>
            <w:tcBorders>
              <w:bottom w:val="single" w:sz="8" w:color="7F7F7F"/>
            </w:tcBorders>
          </w:tcPr>
          <w:p>
            <w:pPr>
              <w:spacing w:after="0"/>
              <w:rPr>
                <w:sz w:val="5"/>
                <w:szCs w:val="5"/>
                <w:color w:val="auto"/>
              </w:rPr>
            </w:pPr>
          </w:p>
        </w:tc>
        <w:tc>
          <w:tcPr>
            <w:tcW w:w="124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r>
    </w:tbl>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At March 31, 2020, there was $29 million of total unrecognized compensation expense related to nonvested performance retention awards, which is expected to be recognized over a weighted-average period of 1.6 years. This expense is subject to achievement of the performance measures established for the performance stock unit grants.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Retirement Plans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and Other Postretirement Benefits</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color w:val="auto"/>
        </w:rPr>
        <w:t xml:space="preserve">Pension Plans </w:t>
      </w:r>
      <w:r>
        <w:rPr>
          <w:rFonts w:ascii="Arial" w:cs="Arial" w:eastAsia="Arial" w:hAnsi="Arial"/>
          <w:sz w:val="17"/>
          <w:szCs w:val="17"/>
          <w:color w:val="auto"/>
        </w:rPr>
        <w:t>– We provide defined benefit retirement income to eligible non-union employees through qualified and non-qualified</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(supplemental) pension plans. Qualified and non-qualified pension benefits are based on years of service and the highest compensation during the latest years of employment, with specific reductions made for early retirements. Non-union employees hired on or after January 1, 2018 are no longer eligible for pension benefits, but are eligible for an enhanced 401(k) plan.</w:t>
      </w:r>
    </w:p>
    <w:p>
      <w:pPr>
        <w:spacing w:after="0" w:line="13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Other Postretirement Benefits (OPEB) </w:t>
      </w:r>
      <w:r>
        <w:rPr>
          <w:rFonts w:ascii="Arial" w:cs="Arial" w:eastAsia="Arial" w:hAnsi="Arial"/>
          <w:sz w:val="17"/>
          <w:szCs w:val="17"/>
          <w:color w:val="auto"/>
        </w:rPr>
        <w:t>– We provide medical and life insurance benefits for eligible retirees hired before January 1, 2004. These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are funded as medical claims and life insurance premiums are paid.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7"/>
          <w:szCs w:val="17"/>
          <w:color w:val="auto"/>
        </w:rPr>
        <w:t>Both pension and OPEB expense are determined based upon the annual service cost of benefits (the actuarial cost of benefits earned during a period) and the interest cost on those liabilities, less the expected return on plan assets. The expected long-term rate of return on plan assets is applied to a calculated value of plan assets that recognizes changes in fair value over a 5 year period. This practice is intended to reduce year-to-year volatility in pension expense, but it can have the effect of delaying the recognition of differences between actual returns on assets and expected returns based on long-term rate of return assumptions. Differences in actual experience in relation to assumptions are not recognized in net income immediately, but are deferred in accumulated other comprehensive income and, if necessary, amortized as pension or OPEB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 w:name="page11"/>
    <w:bookmarkEnd w:id="10"/>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our net periodic pension and OPEB costs were as follows for the three months ended March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640" w:type="dxa"/>
            <w:vAlign w:val="bottom"/>
            <w:tcBorders>
              <w:top w:val="single" w:sz="8" w:color="7F7F7F"/>
              <w:bottom w:val="single" w:sz="8" w:color="7F7F7F"/>
            </w:tcBorders>
          </w:tcPr>
          <w:p>
            <w:pPr>
              <w:spacing w:after="0"/>
              <w:rPr>
                <w:sz w:val="18"/>
                <w:szCs w:val="18"/>
                <w:color w:val="auto"/>
              </w:rPr>
            </w:pPr>
          </w:p>
        </w:tc>
        <w:tc>
          <w:tcPr>
            <w:tcW w:w="1320" w:type="dxa"/>
            <w:vAlign w:val="bottom"/>
            <w:tcBorders>
              <w:top w:val="single" w:sz="8" w:color="7F7F7F"/>
              <w:bottom w:val="single" w:sz="8" w:color="7F7F7F"/>
            </w:tcBorders>
            <w:gridSpan w:val="2"/>
          </w:tcPr>
          <w:p>
            <w:pPr>
              <w:jc w:val="right"/>
              <w:ind w:right="261"/>
              <w:spacing w:after="0"/>
              <w:rPr>
                <w:sz w:val="20"/>
                <w:szCs w:val="20"/>
                <w:color w:val="auto"/>
              </w:rPr>
            </w:pPr>
            <w:r>
              <w:rPr>
                <w:rFonts w:ascii="Arial" w:cs="Arial" w:eastAsia="Arial" w:hAnsi="Arial"/>
                <w:sz w:val="16"/>
                <w:szCs w:val="16"/>
                <w:i w:val="1"/>
                <w:iCs w:val="1"/>
                <w:color w:val="auto"/>
              </w:rPr>
              <w:t>Pension</w:t>
            </w:r>
          </w:p>
        </w:tc>
        <w:tc>
          <w:tcPr>
            <w:tcW w:w="700" w:type="dxa"/>
            <w:vAlign w:val="bottom"/>
            <w:tcBorders>
              <w:top w:val="single" w:sz="8" w:color="7F7F7F"/>
              <w:bottom w:val="single" w:sz="8" w:color="7F7F7F"/>
            </w:tcBorders>
          </w:tcPr>
          <w:p>
            <w:pPr>
              <w:spacing w:after="0"/>
              <w:rPr>
                <w:sz w:val="18"/>
                <w:szCs w:val="18"/>
                <w:color w:val="auto"/>
              </w:rPr>
            </w:pPr>
          </w:p>
        </w:tc>
        <w:tc>
          <w:tcPr>
            <w:tcW w:w="260" w:type="dxa"/>
            <w:vAlign w:val="bottom"/>
            <w:tcBorders>
              <w:top w:val="single" w:sz="8" w:color="7F7F7F"/>
            </w:tcBorders>
          </w:tcPr>
          <w:p>
            <w:pPr>
              <w:spacing w:after="0"/>
              <w:rPr>
                <w:sz w:val="18"/>
                <w:szCs w:val="18"/>
                <w:color w:val="auto"/>
              </w:rPr>
            </w:pPr>
          </w:p>
        </w:tc>
        <w:tc>
          <w:tcPr>
            <w:tcW w:w="520" w:type="dxa"/>
            <w:vAlign w:val="bottom"/>
            <w:tcBorders>
              <w:top w:val="single" w:sz="8" w:color="7F7F7F"/>
              <w:bottom w:val="single" w:sz="8" w:color="7F7F7F"/>
            </w:tcBorders>
          </w:tcPr>
          <w:p>
            <w:pPr>
              <w:spacing w:after="0"/>
              <w:rPr>
                <w:sz w:val="18"/>
                <w:szCs w:val="18"/>
                <w:color w:val="auto"/>
              </w:rPr>
            </w:pPr>
          </w:p>
        </w:tc>
        <w:tc>
          <w:tcPr>
            <w:tcW w:w="1260" w:type="dxa"/>
            <w:vAlign w:val="bottom"/>
            <w:tcBorders>
              <w:top w:val="single" w:sz="8" w:color="7F7F7F"/>
              <w:bottom w:val="single" w:sz="8" w:color="7F7F7F"/>
            </w:tcBorders>
            <w:gridSpan w:val="2"/>
          </w:tcPr>
          <w:p>
            <w:pPr>
              <w:jc w:val="right"/>
              <w:ind w:right="261"/>
              <w:spacing w:after="0"/>
              <w:rPr>
                <w:sz w:val="20"/>
                <w:szCs w:val="20"/>
                <w:color w:val="auto"/>
              </w:rPr>
            </w:pPr>
            <w:r>
              <w:rPr>
                <w:rFonts w:ascii="Arial" w:cs="Arial" w:eastAsia="Arial" w:hAnsi="Arial"/>
                <w:sz w:val="16"/>
                <w:szCs w:val="16"/>
                <w:i w:val="1"/>
                <w:iCs w:val="1"/>
                <w:color w:val="auto"/>
              </w:rPr>
              <w:t>OPEB</w:t>
            </w:r>
          </w:p>
        </w:tc>
        <w:tc>
          <w:tcPr>
            <w:tcW w:w="680" w:type="dxa"/>
            <w:vAlign w:val="bottom"/>
            <w:tcBorders>
              <w:top w:val="single" w:sz="8" w:color="7F7F7F"/>
              <w:bottom w:val="single" w:sz="8" w:color="7F7F7F"/>
            </w:tcBorders>
          </w:tcPr>
          <w:p>
            <w:pPr>
              <w:spacing w:after="0"/>
              <w:rPr>
                <w:sz w:val="18"/>
                <w:szCs w:val="18"/>
                <w:color w:val="auto"/>
              </w:rPr>
            </w:pPr>
          </w:p>
        </w:tc>
      </w:tr>
      <w:tr>
        <w:trPr>
          <w:trHeight w:val="190"/>
        </w:trPr>
        <w:tc>
          <w:tcPr>
            <w:tcW w:w="586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640" w:type="dxa"/>
            <w:vAlign w:val="bottom"/>
            <w:tcBorders>
              <w:bottom w:val="single" w:sz="8" w:color="7F7F7F"/>
            </w:tcBorders>
          </w:tcPr>
          <w:p>
            <w:pPr>
              <w:spacing w:after="0"/>
              <w:rPr>
                <w:sz w:val="16"/>
                <w:szCs w:val="16"/>
                <w:color w:val="auto"/>
              </w:rPr>
            </w:pPr>
          </w:p>
        </w:tc>
        <w:tc>
          <w:tcPr>
            <w:tcW w:w="800" w:type="dxa"/>
            <w:vAlign w:val="bottom"/>
            <w:tcBorders>
              <w:bottom w:val="single" w:sz="8" w:color="7F7F7F"/>
            </w:tcBorders>
          </w:tcPr>
          <w:p>
            <w:pPr>
              <w:jc w:val="right"/>
              <w:ind w:right="61"/>
              <w:spacing w:after="0"/>
              <w:rPr>
                <w:sz w:val="20"/>
                <w:szCs w:val="20"/>
                <w:color w:val="auto"/>
              </w:rPr>
            </w:pPr>
            <w:r>
              <w:rPr>
                <w:rFonts w:ascii="Arial" w:cs="Arial" w:eastAsia="Arial" w:hAnsi="Arial"/>
                <w:sz w:val="16"/>
                <w:szCs w:val="16"/>
                <w:b w:val="1"/>
                <w:bCs w:val="1"/>
                <w:i w:val="1"/>
                <w:iCs w:val="1"/>
                <w:color w:val="auto"/>
              </w:rPr>
              <w:t>2020</w:t>
            </w:r>
          </w:p>
        </w:tc>
        <w:tc>
          <w:tcPr>
            <w:tcW w:w="520" w:type="dxa"/>
            <w:vAlign w:val="bottom"/>
            <w:tcBorders>
              <w:bottom w:val="single" w:sz="8" w:color="7F7F7F"/>
            </w:tcBorders>
          </w:tcPr>
          <w:p>
            <w:pPr>
              <w:spacing w:after="0"/>
              <w:rPr>
                <w:sz w:val="16"/>
                <w:szCs w:val="16"/>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260" w:type="dxa"/>
            <w:vAlign w:val="bottom"/>
            <w:tcBorders>
              <w:bottom w:val="single" w:sz="8" w:color="7F7F7F"/>
            </w:tcBorders>
          </w:tcPr>
          <w:p>
            <w:pPr>
              <w:spacing w:after="0"/>
              <w:rPr>
                <w:sz w:val="16"/>
                <w:szCs w:val="16"/>
                <w:color w:val="auto"/>
              </w:rPr>
            </w:pPr>
          </w:p>
        </w:tc>
        <w:tc>
          <w:tcPr>
            <w:tcW w:w="520" w:type="dxa"/>
            <w:vAlign w:val="bottom"/>
            <w:tcBorders>
              <w:bottom w:val="single" w:sz="8" w:color="7F7F7F"/>
            </w:tcBorders>
          </w:tcPr>
          <w:p>
            <w:pPr>
              <w:spacing w:after="0"/>
              <w:rPr>
                <w:sz w:val="16"/>
                <w:szCs w:val="16"/>
                <w:color w:val="auto"/>
              </w:rPr>
            </w:pPr>
          </w:p>
        </w:tc>
        <w:tc>
          <w:tcPr>
            <w:tcW w:w="760" w:type="dxa"/>
            <w:vAlign w:val="bottom"/>
            <w:tcBorders>
              <w:bottom w:val="single" w:sz="8" w:color="7F7F7F"/>
            </w:tcBorders>
          </w:tcPr>
          <w:p>
            <w:pPr>
              <w:jc w:val="right"/>
              <w:ind w:right="61"/>
              <w:spacing w:after="0"/>
              <w:rPr>
                <w:sz w:val="20"/>
                <w:szCs w:val="20"/>
                <w:color w:val="auto"/>
              </w:rPr>
            </w:pPr>
            <w:r>
              <w:rPr>
                <w:rFonts w:ascii="Arial" w:cs="Arial" w:eastAsia="Arial" w:hAnsi="Arial"/>
                <w:sz w:val="16"/>
                <w:szCs w:val="16"/>
                <w:b w:val="1"/>
                <w:bCs w:val="1"/>
                <w:i w:val="1"/>
                <w:iCs w:val="1"/>
                <w:color w:val="auto"/>
              </w:rPr>
              <w:t>2020</w:t>
            </w:r>
          </w:p>
        </w:tc>
        <w:tc>
          <w:tcPr>
            <w:tcW w:w="500" w:type="dxa"/>
            <w:vAlign w:val="bottom"/>
            <w:tcBorders>
              <w:bottom w:val="single" w:sz="8" w:color="7F7F7F"/>
            </w:tcBorders>
          </w:tcPr>
          <w:p>
            <w:pPr>
              <w:spacing w:after="0"/>
              <w:rPr>
                <w:sz w:val="16"/>
                <w:szCs w:val="16"/>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r>
      <w:tr>
        <w:trPr>
          <w:trHeight w:val="197"/>
        </w:trPr>
        <w:tc>
          <w:tcPr>
            <w:tcW w:w="5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64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27</w:t>
            </w:r>
          </w:p>
        </w:tc>
        <w:tc>
          <w:tcPr>
            <w:tcW w:w="5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8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640" w:type="dxa"/>
            <w:vAlign w:val="bottom"/>
          </w:tcPr>
          <w:p>
            <w:pPr>
              <w:spacing w:after="0"/>
              <w:rPr>
                <w:sz w:val="18"/>
                <w:szCs w:val="18"/>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b w:val="1"/>
                <w:bCs w:val="1"/>
                <w:color w:val="auto"/>
              </w:rPr>
              <w:t>34</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b w:val="1"/>
                <w:bCs w:val="1"/>
                <w:color w:val="auto"/>
              </w:rPr>
              <w:t>1</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1"/>
        </w:trPr>
        <w:tc>
          <w:tcPr>
            <w:tcW w:w="5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(70)</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860" w:type="dxa"/>
            <w:vAlign w:val="bottom"/>
          </w:tcPr>
          <w:p>
            <w:pPr>
              <w:ind w:left="40"/>
              <w:spacing w:after="0"/>
              <w:rPr>
                <w:sz w:val="20"/>
                <w:szCs w:val="20"/>
                <w:color w:val="auto"/>
              </w:rPr>
            </w:pPr>
            <w:r>
              <w:rPr>
                <w:rFonts w:ascii="Arial" w:cs="Arial" w:eastAsia="Arial" w:hAnsi="Arial"/>
                <w:sz w:val="16"/>
                <w:szCs w:val="16"/>
                <w:color w:val="auto"/>
              </w:rPr>
              <w:t>Amortization of:</w:t>
            </w: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3"/>
        </w:trPr>
        <w:tc>
          <w:tcPr>
            <w:tcW w:w="58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Prior service cost</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860" w:type="dxa"/>
            <w:vAlign w:val="bottom"/>
            <w:tcBorders>
              <w:bottom w:val="single" w:sz="8" w:color="7F7F7F"/>
            </w:tcBorders>
          </w:tcPr>
          <w:p>
            <w:pPr>
              <w:ind w:left="100"/>
              <w:spacing w:after="0"/>
              <w:rPr>
                <w:sz w:val="20"/>
                <w:szCs w:val="20"/>
                <w:color w:val="auto"/>
              </w:rPr>
            </w:pPr>
            <w:r>
              <w:rPr>
                <w:rFonts w:ascii="Arial" w:cs="Arial" w:eastAsia="Arial" w:hAnsi="Arial"/>
                <w:sz w:val="16"/>
                <w:szCs w:val="16"/>
                <w:color w:val="auto"/>
              </w:rPr>
              <w:t>Actuarial loss</w:t>
            </w:r>
          </w:p>
        </w:tc>
        <w:tc>
          <w:tcPr>
            <w:tcW w:w="640" w:type="dxa"/>
            <w:vAlign w:val="bottom"/>
            <w:tcBorders>
              <w:bottom w:val="single" w:sz="8" w:color="7F7F7F"/>
            </w:tcBorders>
          </w:tcPr>
          <w:p>
            <w:pPr>
              <w:spacing w:after="0"/>
              <w:rPr>
                <w:sz w:val="17"/>
                <w:szCs w:val="17"/>
                <w:color w:val="auto"/>
              </w:rPr>
            </w:pPr>
          </w:p>
        </w:tc>
        <w:tc>
          <w:tcPr>
            <w:tcW w:w="800" w:type="dxa"/>
            <w:vAlign w:val="bottom"/>
            <w:tcBorders>
              <w:bottom w:val="single" w:sz="8" w:color="7F7F7F"/>
            </w:tcBorders>
          </w:tcPr>
          <w:p>
            <w:pPr>
              <w:jc w:val="right"/>
              <w:ind w:right="81"/>
              <w:spacing w:after="0"/>
              <w:rPr>
                <w:sz w:val="20"/>
                <w:szCs w:val="20"/>
                <w:color w:val="auto"/>
              </w:rPr>
            </w:pPr>
            <w:r>
              <w:rPr>
                <w:rFonts w:ascii="Arial" w:cs="Arial" w:eastAsia="Arial" w:hAnsi="Arial"/>
                <w:sz w:val="16"/>
                <w:szCs w:val="16"/>
                <w:b w:val="1"/>
                <w:bCs w:val="1"/>
                <w:color w:val="auto"/>
              </w:rPr>
              <w:t>28</w:t>
            </w:r>
          </w:p>
        </w:tc>
        <w:tc>
          <w:tcPr>
            <w:tcW w:w="52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7F7F7F"/>
            </w:tcBorders>
          </w:tcPr>
          <w:p>
            <w:pPr>
              <w:spacing w:after="0"/>
              <w:rPr>
                <w:sz w:val="17"/>
                <w:szCs w:val="17"/>
                <w:color w:val="auto"/>
              </w:rPr>
            </w:pPr>
          </w:p>
        </w:tc>
        <w:tc>
          <w:tcPr>
            <w:tcW w:w="520" w:type="dxa"/>
            <w:vAlign w:val="bottom"/>
            <w:tcBorders>
              <w:bottom w:val="single" w:sz="8" w:color="7F7F7F"/>
            </w:tcBorders>
          </w:tcPr>
          <w:p>
            <w:pPr>
              <w:spacing w:after="0"/>
              <w:rPr>
                <w:sz w:val="17"/>
                <w:szCs w:val="17"/>
                <w:color w:val="auto"/>
              </w:rPr>
            </w:pPr>
          </w:p>
        </w:tc>
        <w:tc>
          <w:tcPr>
            <w:tcW w:w="760" w:type="dxa"/>
            <w:vAlign w:val="bottom"/>
            <w:tcBorders>
              <w:bottom w:val="single" w:sz="8" w:color="7F7F7F"/>
            </w:tcBorders>
          </w:tcPr>
          <w:p>
            <w:pPr>
              <w:jc w:val="right"/>
              <w:ind w:right="61"/>
              <w:spacing w:after="0"/>
              <w:rPr>
                <w:sz w:val="20"/>
                <w:szCs w:val="20"/>
                <w:color w:val="auto"/>
              </w:rPr>
            </w:pPr>
            <w:r>
              <w:rPr>
                <w:rFonts w:ascii="Arial" w:cs="Arial" w:eastAsia="Arial" w:hAnsi="Arial"/>
                <w:sz w:val="16"/>
                <w:szCs w:val="16"/>
                <w:b w:val="1"/>
                <w:bCs w:val="1"/>
                <w:color w:val="auto"/>
              </w:rPr>
              <w:t>2</w:t>
            </w:r>
          </w:p>
        </w:tc>
        <w:tc>
          <w:tcPr>
            <w:tcW w:w="50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586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Net periodic benefit cost</w:t>
            </w:r>
          </w:p>
        </w:tc>
        <w:tc>
          <w:tcPr>
            <w:tcW w:w="640" w:type="dxa"/>
            <w:vAlign w:val="bottom"/>
            <w:tcBorders>
              <w:bottom w:val="single" w:sz="8" w:color="7F7F7F"/>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7F7F7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19</w:t>
            </w:r>
          </w:p>
        </w:tc>
        <w:tc>
          <w:tcPr>
            <w:tcW w:w="520" w:type="dxa"/>
            <w:vAlign w:val="bottom"/>
            <w:tcBorders>
              <w:bottom w:val="single" w:sz="8" w:color="7F7F7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7F7F7F"/>
            </w:tcBorders>
            <w:shd w:val="clear" w:color="auto" w:fill="CCEEFF"/>
          </w:tcPr>
          <w:p>
            <w:pPr>
              <w:spacing w:after="0"/>
              <w:rPr>
                <w:sz w:val="17"/>
                <w:szCs w:val="17"/>
                <w:color w:val="auto"/>
              </w:rPr>
            </w:pPr>
          </w:p>
        </w:tc>
        <w:tc>
          <w:tcPr>
            <w:tcW w:w="520" w:type="dxa"/>
            <w:vAlign w:val="bottom"/>
            <w:tcBorders>
              <w:bottom w:val="single" w:sz="8" w:color="7F7F7F"/>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7F7F7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7F7F7F"/>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bl>
    <w:p>
      <w:pPr>
        <w:spacing w:after="0" w:line="196"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On June 30, 2019, the OPEB plan was remeasured to reflect an announced plan amendment effective January 1, 2020 that reduced and eliminated certain medical benefits for Medicare-eligible retirees. This negative plan amendment resulted in a reduction in the accumulated postretirement benefit obligation of approximately $92 million with a corresponding adjustment of $69 million in other comprehensive income, net of $23 million in deferred taxes. This amount is being amortized as a reduction of future net periodic OPEB cost over approximately 8 years, which represents the future remaining service period of eligible employees.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Contributions</w:t>
      </w:r>
    </w:p>
    <w:p>
      <w:pPr>
        <w:spacing w:after="0" w:line="19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 the three months ended March 31, 2020, cash contributions totaled $0 to the qualified pension plan. Any contributions made during 2020 will be based on cash generated from operations and financial market considerations. Our policy with respect to funding the qualified plans is to fund at least the minimum required by law and not more than the maximum amount deductible for tax purposes. At March 31, 2020, we do not have minimum cash funding requirements for 2020.</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Other Income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Other income included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00" w:type="dxa"/>
            <w:vAlign w:val="bottom"/>
            <w:tcBorders>
              <w:top w:val="single" w:sz="8" w:color="808080"/>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3220" w:type="dxa"/>
            <w:vAlign w:val="bottom"/>
            <w:tcBorders>
              <w:top w:val="single" w:sz="8" w:color="808080"/>
            </w:tcBorders>
          </w:tcPr>
          <w:p>
            <w:pPr>
              <w:spacing w:after="0"/>
              <w:rPr>
                <w:sz w:val="20"/>
                <w:szCs w:val="20"/>
                <w:color w:val="auto"/>
              </w:rPr>
            </w:pPr>
          </w:p>
        </w:tc>
        <w:tc>
          <w:tcPr>
            <w:tcW w:w="800" w:type="dxa"/>
            <w:vAlign w:val="bottom"/>
            <w:tcBorders>
              <w:top w:val="single" w:sz="8" w:color="808080"/>
            </w:tcBorders>
            <w:vMerge w:val="restart"/>
          </w:tcPr>
          <w:p>
            <w:pPr>
              <w:jc w:val="right"/>
              <w:ind w:right="61"/>
              <w:spacing w:after="0"/>
              <w:rPr>
                <w:sz w:val="20"/>
                <w:szCs w:val="20"/>
                <w:color w:val="auto"/>
              </w:rPr>
            </w:pPr>
            <w:r>
              <w:rPr>
                <w:rFonts w:ascii="Arial" w:cs="Arial" w:eastAsia="Arial" w:hAnsi="Arial"/>
                <w:sz w:val="16"/>
                <w:szCs w:val="16"/>
                <w:b w:val="1"/>
                <w:bCs w:val="1"/>
                <w:i w:val="1"/>
                <w:iCs w:val="1"/>
                <w:color w:val="auto"/>
              </w:rPr>
              <w:t>2020</w:t>
            </w:r>
          </w:p>
        </w:tc>
        <w:tc>
          <w:tcPr>
            <w:tcW w:w="540" w:type="dxa"/>
            <w:vAlign w:val="bottom"/>
            <w:tcBorders>
              <w:top w:val="single" w:sz="8" w:color="808080"/>
            </w:tcBorders>
          </w:tcPr>
          <w:p>
            <w:pPr>
              <w:spacing w:after="0"/>
              <w:rPr>
                <w:sz w:val="20"/>
                <w:szCs w:val="20"/>
                <w:color w:val="auto"/>
              </w:rPr>
            </w:pPr>
          </w:p>
        </w:tc>
        <w:tc>
          <w:tcPr>
            <w:tcW w:w="680" w:type="dxa"/>
            <w:vAlign w:val="bottom"/>
            <w:tcBorders>
              <w:top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0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3220" w:type="dxa"/>
            <w:vAlign w:val="bottom"/>
            <w:tcBorders>
              <w:bottom w:val="single" w:sz="8" w:color="7F7F7F"/>
            </w:tcBorders>
          </w:tcPr>
          <w:p>
            <w:pPr>
              <w:spacing w:after="0"/>
              <w:rPr>
                <w:sz w:val="16"/>
                <w:szCs w:val="16"/>
                <w:color w:val="auto"/>
              </w:rPr>
            </w:pPr>
          </w:p>
        </w:tc>
        <w:tc>
          <w:tcPr>
            <w:tcW w:w="800" w:type="dxa"/>
            <w:vAlign w:val="bottom"/>
            <w:tcBorders>
              <w:bottom w:val="single" w:sz="8" w:color="7F7F7F"/>
            </w:tcBorders>
            <w:vMerge w:val="continue"/>
          </w:tcPr>
          <w:p>
            <w:pPr>
              <w:spacing w:after="0"/>
              <w:rPr>
                <w:sz w:val="16"/>
                <w:szCs w:val="16"/>
                <w:color w:val="auto"/>
              </w:rPr>
            </w:pPr>
          </w:p>
        </w:tc>
        <w:tc>
          <w:tcPr>
            <w:tcW w:w="540" w:type="dxa"/>
            <w:vAlign w:val="bottom"/>
            <w:tcBorders>
              <w:bottom w:val="single" w:sz="8" w:color="7F7F7F"/>
            </w:tcBorders>
          </w:tcPr>
          <w:p>
            <w:pPr>
              <w:spacing w:after="0"/>
              <w:rPr>
                <w:sz w:val="16"/>
                <w:szCs w:val="16"/>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0" w:type="dxa"/>
            <w:vAlign w:val="bottom"/>
          </w:tcPr>
          <w:p>
            <w:pPr>
              <w:spacing w:after="0"/>
              <w:rPr>
                <w:sz w:val="1"/>
                <w:szCs w:val="1"/>
                <w:color w:val="auto"/>
              </w:rPr>
            </w:pPr>
          </w:p>
        </w:tc>
      </w:tr>
      <w:tr>
        <w:trPr>
          <w:trHeight w:val="197"/>
        </w:trPr>
        <w:tc>
          <w:tcPr>
            <w:tcW w:w="6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Rental income</w:t>
            </w:r>
          </w:p>
        </w:tc>
        <w:tc>
          <w:tcPr>
            <w:tcW w:w="322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31</w:t>
            </w:r>
          </w:p>
        </w:tc>
        <w:tc>
          <w:tcPr>
            <w:tcW w:w="5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9"/>
        </w:trPr>
        <w:tc>
          <w:tcPr>
            <w:tcW w:w="6000" w:type="dxa"/>
            <w:vAlign w:val="bottom"/>
          </w:tcPr>
          <w:p>
            <w:pPr>
              <w:ind w:left="40"/>
              <w:spacing w:after="0"/>
              <w:rPr>
                <w:sz w:val="20"/>
                <w:szCs w:val="20"/>
                <w:color w:val="auto"/>
              </w:rPr>
            </w:pPr>
            <w:r>
              <w:rPr>
                <w:rFonts w:ascii="Arial" w:cs="Arial" w:eastAsia="Arial" w:hAnsi="Arial"/>
                <w:sz w:val="16"/>
                <w:szCs w:val="16"/>
                <w:color w:val="auto"/>
              </w:rPr>
              <w:t>Net gain on non-operating asset dispositions</w:t>
            </w:r>
          </w:p>
        </w:tc>
        <w:tc>
          <w:tcPr>
            <w:tcW w:w="322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11</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1"/>
        </w:trPr>
        <w:tc>
          <w:tcPr>
            <w:tcW w:w="6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periodic pension and OPEB costs</w:t>
            </w:r>
          </w:p>
        </w:tc>
        <w:tc>
          <w:tcPr>
            <w:tcW w:w="3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8</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600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3220" w:type="dxa"/>
            <w:vAlign w:val="bottom"/>
          </w:tcPr>
          <w:p>
            <w:pPr>
              <w:spacing w:after="0"/>
              <w:rPr>
                <w:sz w:val="18"/>
                <w:szCs w:val="18"/>
                <w:color w:val="auto"/>
              </w:rPr>
            </w:pPr>
          </w:p>
        </w:tc>
        <w:tc>
          <w:tcPr>
            <w:tcW w:w="800" w:type="dxa"/>
            <w:vAlign w:val="bottom"/>
          </w:tcPr>
          <w:p>
            <w:pPr>
              <w:jc w:val="right"/>
              <w:ind w:right="61"/>
              <w:spacing w:after="0"/>
              <w:rPr>
                <w:sz w:val="20"/>
                <w:szCs w:val="20"/>
                <w:color w:val="auto"/>
              </w:rPr>
            </w:pPr>
            <w:r>
              <w:rPr>
                <w:rFonts w:ascii="Arial" w:cs="Arial" w:eastAsia="Arial" w:hAnsi="Arial"/>
                <w:sz w:val="16"/>
                <w:szCs w:val="16"/>
                <w:b w:val="1"/>
                <w:bCs w:val="1"/>
                <w:color w:val="auto"/>
              </w:rPr>
              <w:t>6</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1"/>
        </w:trPr>
        <w:tc>
          <w:tcPr>
            <w:tcW w:w="6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 on employment tax refund</w:t>
            </w:r>
          </w:p>
        </w:tc>
        <w:tc>
          <w:tcPr>
            <w:tcW w:w="3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Non-operating environmental costs and other</w:t>
            </w:r>
          </w:p>
        </w:tc>
        <w:tc>
          <w:tcPr>
            <w:tcW w:w="3220" w:type="dxa"/>
            <w:vAlign w:val="bottom"/>
            <w:tcBorders>
              <w:bottom w:val="single" w:sz="8" w:color="7F7F7F"/>
            </w:tcBorders>
          </w:tcPr>
          <w:p>
            <w:pPr>
              <w:spacing w:after="0"/>
              <w:rPr>
                <w:sz w:val="18"/>
                <w:szCs w:val="18"/>
                <w:color w:val="auto"/>
              </w:rPr>
            </w:pPr>
          </w:p>
        </w:tc>
        <w:tc>
          <w:tcPr>
            <w:tcW w:w="800" w:type="dxa"/>
            <w:vAlign w:val="bottom"/>
            <w:tcBorders>
              <w:bottom w:val="single" w:sz="8" w:color="7F7F7F"/>
            </w:tcBorders>
          </w:tcPr>
          <w:p>
            <w:pPr>
              <w:jc w:val="right"/>
              <w:ind w:right="21"/>
              <w:spacing w:after="0"/>
              <w:rPr>
                <w:sz w:val="20"/>
                <w:szCs w:val="20"/>
                <w:color w:val="auto"/>
              </w:rPr>
            </w:pPr>
            <w:r>
              <w:rPr>
                <w:rFonts w:ascii="Arial" w:cs="Arial" w:eastAsia="Arial" w:hAnsi="Arial"/>
                <w:sz w:val="16"/>
                <w:szCs w:val="16"/>
                <w:b w:val="1"/>
                <w:bCs w:val="1"/>
                <w:color w:val="auto"/>
              </w:rPr>
              <w:t>(3)</w:t>
            </w:r>
          </w:p>
        </w:tc>
        <w:tc>
          <w:tcPr>
            <w:tcW w:w="540" w:type="dxa"/>
            <w:vAlign w:val="bottom"/>
            <w:tcBorders>
              <w:bottom w:val="single" w:sz="8" w:color="7F7F7F"/>
            </w:tcBorders>
          </w:tcPr>
          <w:p>
            <w:pPr>
              <w:spacing w:after="0"/>
              <w:rPr>
                <w:sz w:val="18"/>
                <w:szCs w:val="18"/>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22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53</w:t>
            </w:r>
          </w:p>
        </w:tc>
        <w:tc>
          <w:tcPr>
            <w:tcW w:w="54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9"/>
        </w:trPr>
        <w:tc>
          <w:tcPr>
            <w:tcW w:w="6000" w:type="dxa"/>
            <w:vAlign w:val="bottom"/>
            <w:shd w:val="clear" w:color="auto" w:fill="7F7F7F"/>
          </w:tcPr>
          <w:p>
            <w:pPr>
              <w:spacing w:after="0"/>
              <w:rPr>
                <w:sz w:val="3"/>
                <w:szCs w:val="3"/>
                <w:color w:val="auto"/>
              </w:rPr>
            </w:pPr>
          </w:p>
        </w:tc>
        <w:tc>
          <w:tcPr>
            <w:tcW w:w="3220" w:type="dxa"/>
            <w:vAlign w:val="bottom"/>
            <w:shd w:val="clear" w:color="auto" w:fill="7F7F7F"/>
          </w:tcPr>
          <w:p>
            <w:pPr>
              <w:spacing w:after="0"/>
              <w:rPr>
                <w:sz w:val="3"/>
                <w:szCs w:val="3"/>
                <w:color w:val="auto"/>
              </w:rPr>
            </w:pPr>
          </w:p>
        </w:tc>
        <w:tc>
          <w:tcPr>
            <w:tcW w:w="800" w:type="dxa"/>
            <w:vAlign w:val="bottom"/>
            <w:shd w:val="clear" w:color="auto" w:fill="7F7F7F"/>
          </w:tcPr>
          <w:p>
            <w:pPr>
              <w:spacing w:after="0"/>
              <w:rPr>
                <w:sz w:val="3"/>
                <w:szCs w:val="3"/>
                <w:color w:val="auto"/>
              </w:rPr>
            </w:pPr>
          </w:p>
        </w:tc>
        <w:tc>
          <w:tcPr>
            <w:tcW w:w="540" w:type="dxa"/>
            <w:vAlign w:val="bottom"/>
            <w:shd w:val="clear" w:color="auto" w:fill="7F7F7F"/>
          </w:tcPr>
          <w:p>
            <w:pPr>
              <w:spacing w:after="0"/>
              <w:rPr>
                <w:sz w:val="3"/>
                <w:szCs w:val="3"/>
                <w:color w:val="auto"/>
              </w:rPr>
            </w:pPr>
          </w:p>
        </w:tc>
        <w:tc>
          <w:tcPr>
            <w:tcW w:w="680" w:type="dxa"/>
            <w:vAlign w:val="bottom"/>
            <w:shd w:val="clear" w:color="auto" w:fill="7F7F7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UPC is not currently under examination by the Internal Revenue Service (IRS). The statute of limitations has run for all years prior to 2016. Several state tax authorities are examining our state tax returns for years 2015 through 2018. At March 31, 2020, we had a net liability for unrecognized tax benefits of $67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Earnings Per Share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between basic and diluted earnings per share: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6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 Except Per Share Amounts,</w:t>
            </w:r>
          </w:p>
        </w:tc>
        <w:tc>
          <w:tcPr>
            <w:tcW w:w="2500" w:type="dxa"/>
            <w:vAlign w:val="bottom"/>
            <w:tcBorders>
              <w:top w:val="single" w:sz="8" w:color="7F7F7F"/>
            </w:tcBorders>
          </w:tcPr>
          <w:p>
            <w:pPr>
              <w:spacing w:after="0"/>
              <w:rPr>
                <w:sz w:val="20"/>
                <w:szCs w:val="20"/>
                <w:color w:val="auto"/>
              </w:rPr>
            </w:pPr>
          </w:p>
        </w:tc>
        <w:tc>
          <w:tcPr>
            <w:tcW w:w="920" w:type="dxa"/>
            <w:vAlign w:val="bottom"/>
            <w:tcBorders>
              <w:top w:val="single" w:sz="8" w:color="7F7F7F"/>
            </w:tcBorders>
            <w:vMerge w:val="restart"/>
          </w:tcPr>
          <w:p>
            <w:pPr>
              <w:jc w:val="right"/>
              <w:ind w:right="61"/>
              <w:spacing w:after="0"/>
              <w:rPr>
                <w:sz w:val="20"/>
                <w:szCs w:val="20"/>
                <w:color w:val="auto"/>
              </w:rPr>
            </w:pPr>
            <w:r>
              <w:rPr>
                <w:rFonts w:ascii="Arial" w:cs="Arial" w:eastAsia="Arial" w:hAnsi="Arial"/>
                <w:sz w:val="16"/>
                <w:szCs w:val="16"/>
                <w:b w:val="1"/>
                <w:bCs w:val="1"/>
                <w:i w:val="1"/>
                <w:iCs w:val="1"/>
                <w:color w:val="auto"/>
              </w:rPr>
              <w:t>2020</w:t>
            </w:r>
          </w:p>
        </w:tc>
        <w:tc>
          <w:tcPr>
            <w:tcW w:w="220" w:type="dxa"/>
            <w:vAlign w:val="bottom"/>
            <w:tcBorders>
              <w:top w:val="single" w:sz="8" w:color="7F7F7F"/>
            </w:tcBorders>
          </w:tcPr>
          <w:p>
            <w:pPr>
              <w:spacing w:after="0"/>
              <w:rPr>
                <w:sz w:val="20"/>
                <w:szCs w:val="20"/>
                <w:color w:val="auto"/>
              </w:rPr>
            </w:pPr>
          </w:p>
        </w:tc>
        <w:tc>
          <w:tcPr>
            <w:tcW w:w="1140" w:type="dxa"/>
            <w:vAlign w:val="bottom"/>
            <w:tcBorders>
              <w:top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46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2500" w:type="dxa"/>
            <w:vAlign w:val="bottom"/>
            <w:tcBorders>
              <w:bottom w:val="single" w:sz="8" w:color="7F7F7F"/>
            </w:tcBorders>
          </w:tcPr>
          <w:p>
            <w:pPr>
              <w:spacing w:after="0"/>
              <w:rPr>
                <w:sz w:val="16"/>
                <w:szCs w:val="16"/>
                <w:color w:val="auto"/>
              </w:rPr>
            </w:pPr>
          </w:p>
        </w:tc>
        <w:tc>
          <w:tcPr>
            <w:tcW w:w="920" w:type="dxa"/>
            <w:vAlign w:val="bottom"/>
            <w:tcBorders>
              <w:bottom w:val="single" w:sz="8" w:color="7F7F7F"/>
            </w:tcBorders>
            <w:vMerge w:val="continue"/>
          </w:tcPr>
          <w:p>
            <w:pPr>
              <w:spacing w:after="0"/>
              <w:rPr>
                <w:sz w:val="16"/>
                <w:szCs w:val="16"/>
                <w:color w:val="auto"/>
              </w:rPr>
            </w:pPr>
          </w:p>
        </w:tc>
        <w:tc>
          <w:tcPr>
            <w:tcW w:w="220" w:type="dxa"/>
            <w:vAlign w:val="bottom"/>
            <w:tcBorders>
              <w:bottom w:val="single" w:sz="8" w:color="7F7F7F"/>
            </w:tcBorders>
          </w:tcPr>
          <w:p>
            <w:pPr>
              <w:spacing w:after="0"/>
              <w:rPr>
                <w:sz w:val="16"/>
                <w:szCs w:val="16"/>
                <w:color w:val="auto"/>
              </w:rPr>
            </w:pPr>
          </w:p>
        </w:tc>
        <w:tc>
          <w:tcPr>
            <w:tcW w:w="11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0" w:type="dxa"/>
            <w:vAlign w:val="bottom"/>
          </w:tcPr>
          <w:p>
            <w:pPr>
              <w:spacing w:after="0"/>
              <w:rPr>
                <w:sz w:val="1"/>
                <w:szCs w:val="1"/>
                <w:color w:val="auto"/>
              </w:rPr>
            </w:pPr>
          </w:p>
        </w:tc>
      </w:tr>
      <w:tr>
        <w:trPr>
          <w:trHeight w:val="30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50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1,474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0" w:type="dxa"/>
            <w:vAlign w:val="bottom"/>
          </w:tcPr>
          <w:p>
            <w:pPr>
              <w:spacing w:after="0"/>
              <w:rPr>
                <w:sz w:val="1"/>
                <w:szCs w:val="1"/>
                <w:color w:val="auto"/>
              </w:rPr>
            </w:pPr>
          </w:p>
        </w:tc>
      </w:tr>
      <w:tr>
        <w:trPr>
          <w:trHeight w:val="193"/>
        </w:trPr>
        <w:tc>
          <w:tcPr>
            <w:tcW w:w="6460" w:type="dxa"/>
            <w:vAlign w:val="bottom"/>
            <w:tcBorders>
              <w:top w:val="single" w:sz="8" w:color="7F7F7F"/>
            </w:tcBorders>
          </w:tcPr>
          <w:p>
            <w:pPr>
              <w:ind w:left="40"/>
              <w:spacing w:after="0"/>
              <w:rPr>
                <w:sz w:val="20"/>
                <w:szCs w:val="20"/>
                <w:color w:val="auto"/>
              </w:rPr>
            </w:pPr>
            <w:r>
              <w:rPr>
                <w:rFonts w:ascii="Arial" w:cs="Arial" w:eastAsia="Arial" w:hAnsi="Arial"/>
                <w:sz w:val="16"/>
                <w:szCs w:val="16"/>
                <w:color w:val="auto"/>
              </w:rPr>
              <w:t>Weighted-average number of shares outstanding:</w:t>
            </w:r>
          </w:p>
        </w:tc>
        <w:tc>
          <w:tcPr>
            <w:tcW w:w="2500" w:type="dxa"/>
            <w:vAlign w:val="bottom"/>
            <w:tcBorders>
              <w:top w:val="single" w:sz="8" w:color="7F7F7F"/>
            </w:tcBorders>
          </w:tcPr>
          <w:p>
            <w:pPr>
              <w:spacing w:after="0"/>
              <w:rPr>
                <w:sz w:val="16"/>
                <w:szCs w:val="16"/>
                <w:color w:val="auto"/>
              </w:rPr>
            </w:pPr>
          </w:p>
        </w:tc>
        <w:tc>
          <w:tcPr>
            <w:tcW w:w="920" w:type="dxa"/>
            <w:vAlign w:val="bottom"/>
            <w:tcBorders>
              <w:top w:val="single" w:sz="8" w:color="7F7F7F"/>
            </w:tcBorders>
          </w:tcPr>
          <w:p>
            <w:pPr>
              <w:spacing w:after="0"/>
              <w:rPr>
                <w:sz w:val="16"/>
                <w:szCs w:val="16"/>
                <w:color w:val="auto"/>
              </w:rPr>
            </w:pPr>
          </w:p>
        </w:tc>
        <w:tc>
          <w:tcPr>
            <w:tcW w:w="220" w:type="dxa"/>
            <w:vAlign w:val="bottom"/>
            <w:tcBorders>
              <w:top w:val="single" w:sz="8" w:color="7F7F7F"/>
            </w:tcBorders>
          </w:tcPr>
          <w:p>
            <w:pPr>
              <w:spacing w:after="0"/>
              <w:rPr>
                <w:sz w:val="16"/>
                <w:szCs w:val="16"/>
                <w:color w:val="auto"/>
              </w:rPr>
            </w:pPr>
          </w:p>
        </w:tc>
        <w:tc>
          <w:tcPr>
            <w:tcW w:w="1140" w:type="dxa"/>
            <w:vAlign w:val="bottom"/>
            <w:tcBorders>
              <w:top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5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684.3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w:t>
            </w:r>
          </w:p>
        </w:tc>
        <w:tc>
          <w:tcPr>
            <w:tcW w:w="0" w:type="dxa"/>
            <w:vAlign w:val="bottom"/>
          </w:tcPr>
          <w:p>
            <w:pPr>
              <w:spacing w:after="0"/>
              <w:rPr>
                <w:sz w:val="1"/>
                <w:szCs w:val="1"/>
                <w:color w:val="auto"/>
              </w:rPr>
            </w:pPr>
          </w:p>
        </w:tc>
      </w:tr>
      <w:tr>
        <w:trPr>
          <w:trHeight w:val="209"/>
        </w:trPr>
        <w:tc>
          <w:tcPr>
            <w:tcW w:w="6460" w:type="dxa"/>
            <w:vAlign w:val="bottom"/>
          </w:tcPr>
          <w:p>
            <w:pPr>
              <w:ind w:left="220"/>
              <w:spacing w:after="0"/>
              <w:rPr>
                <w:sz w:val="20"/>
                <w:szCs w:val="20"/>
                <w:color w:val="auto"/>
              </w:rPr>
            </w:pPr>
            <w:r>
              <w:rPr>
                <w:rFonts w:ascii="Arial" w:cs="Arial" w:eastAsia="Arial" w:hAnsi="Arial"/>
                <w:sz w:val="16"/>
                <w:szCs w:val="16"/>
                <w:color w:val="auto"/>
              </w:rPr>
              <w:t>Dilutive effect of stock options</w:t>
            </w:r>
          </w:p>
        </w:tc>
        <w:tc>
          <w:tcPr>
            <w:tcW w:w="2500" w:type="dxa"/>
            <w:vAlign w:val="bottom"/>
          </w:tcPr>
          <w:p>
            <w:pPr>
              <w:spacing w:after="0"/>
              <w:rPr>
                <w:sz w:val="18"/>
                <w:szCs w:val="18"/>
                <w:color w:val="auto"/>
              </w:rPr>
            </w:pPr>
          </w:p>
        </w:tc>
        <w:tc>
          <w:tcPr>
            <w:tcW w:w="920" w:type="dxa"/>
            <w:vAlign w:val="bottom"/>
          </w:tcPr>
          <w:p>
            <w:pPr>
              <w:jc w:val="right"/>
              <w:ind w:right="101"/>
              <w:spacing w:after="0"/>
              <w:rPr>
                <w:sz w:val="20"/>
                <w:szCs w:val="20"/>
                <w:color w:val="auto"/>
              </w:rPr>
            </w:pPr>
            <w:r>
              <w:rPr>
                <w:rFonts w:ascii="Arial" w:cs="Arial" w:eastAsia="Arial" w:hAnsi="Arial"/>
                <w:sz w:val="16"/>
                <w:szCs w:val="16"/>
                <w:b w:val="1"/>
                <w:bCs w:val="1"/>
                <w:color w:val="auto"/>
              </w:rPr>
              <w:t>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4"/>
        </w:trPr>
        <w:tc>
          <w:tcPr>
            <w:tcW w:w="6460" w:type="dxa"/>
            <w:vAlign w:val="bottom"/>
            <w:tcBorders>
              <w:bottom w:val="single" w:sz="8" w:color="7F7F7F"/>
            </w:tcBorders>
            <w:shd w:val="clear" w:color="auto" w:fill="CCEEFF"/>
          </w:tcPr>
          <w:p>
            <w:pPr>
              <w:ind w:left="220"/>
              <w:spacing w:after="0"/>
              <w:rPr>
                <w:sz w:val="20"/>
                <w:szCs w:val="20"/>
                <w:color w:val="auto"/>
              </w:rPr>
            </w:pPr>
            <w:r>
              <w:rPr>
                <w:rFonts w:ascii="Arial" w:cs="Arial" w:eastAsia="Arial" w:hAnsi="Arial"/>
                <w:sz w:val="16"/>
                <w:szCs w:val="16"/>
                <w:color w:val="auto"/>
              </w:rPr>
              <w:t>Dilutive effect of retention shares and units</w:t>
            </w:r>
          </w:p>
        </w:tc>
        <w:tc>
          <w:tcPr>
            <w:tcW w:w="2500" w:type="dxa"/>
            <w:vAlign w:val="bottom"/>
            <w:tcBorders>
              <w:bottom w:val="single" w:sz="8" w:color="7F7F7F"/>
            </w:tcBorders>
            <w:shd w:val="clear" w:color="auto" w:fill="CCEEFF"/>
          </w:tcPr>
          <w:p>
            <w:pPr>
              <w:spacing w:after="0"/>
              <w:rPr>
                <w:sz w:val="17"/>
                <w:szCs w:val="17"/>
                <w:color w:val="auto"/>
              </w:rPr>
            </w:pPr>
          </w:p>
        </w:tc>
        <w:tc>
          <w:tcPr>
            <w:tcW w:w="920" w:type="dxa"/>
            <w:vAlign w:val="bottom"/>
            <w:tcBorders>
              <w:bottom w:val="single" w:sz="8" w:color="7F7F7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1.0</w:t>
            </w:r>
          </w:p>
        </w:tc>
        <w:tc>
          <w:tcPr>
            <w:tcW w:w="220" w:type="dxa"/>
            <w:vAlign w:val="bottom"/>
            <w:tcBorders>
              <w:bottom w:val="single" w:sz="8" w:color="7F7F7F"/>
            </w:tcBorders>
            <w:shd w:val="clear" w:color="auto" w:fill="CCEEFF"/>
          </w:tcPr>
          <w:p>
            <w:pPr>
              <w:spacing w:after="0"/>
              <w:rPr>
                <w:sz w:val="17"/>
                <w:szCs w:val="17"/>
                <w:color w:val="auto"/>
              </w:rPr>
            </w:pPr>
          </w:p>
        </w:tc>
        <w:tc>
          <w:tcPr>
            <w:tcW w:w="114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3"/>
        </w:trPr>
        <w:tc>
          <w:tcPr>
            <w:tcW w:w="6460" w:type="dxa"/>
            <w:vAlign w:val="bottom"/>
          </w:tcPr>
          <w:p>
            <w:pPr>
              <w:ind w:left="40"/>
              <w:spacing w:after="0"/>
              <w:rPr>
                <w:sz w:val="20"/>
                <w:szCs w:val="20"/>
                <w:color w:val="auto"/>
              </w:rPr>
            </w:pPr>
            <w:r>
              <w:rPr>
                <w:rFonts w:ascii="Arial" w:cs="Arial" w:eastAsia="Arial" w:hAnsi="Arial"/>
                <w:sz w:val="16"/>
                <w:szCs w:val="16"/>
                <w:color w:val="auto"/>
              </w:rPr>
              <w:t>Diluted</w:t>
            </w:r>
          </w:p>
        </w:tc>
        <w:tc>
          <w:tcPr>
            <w:tcW w:w="2500" w:type="dxa"/>
            <w:vAlign w:val="bottom"/>
          </w:tcPr>
          <w:p>
            <w:pPr>
              <w:spacing w:after="0"/>
              <w:rPr>
                <w:sz w:val="21"/>
                <w:szCs w:val="21"/>
                <w:color w:val="auto"/>
              </w:rPr>
            </w:pPr>
          </w:p>
        </w:tc>
        <w:tc>
          <w:tcPr>
            <w:tcW w:w="920" w:type="dxa"/>
            <w:vAlign w:val="bottom"/>
          </w:tcPr>
          <w:p>
            <w:pPr>
              <w:jc w:val="right"/>
              <w:ind w:right="101"/>
              <w:spacing w:after="0"/>
              <w:rPr>
                <w:sz w:val="20"/>
                <w:szCs w:val="20"/>
                <w:color w:val="auto"/>
              </w:rPr>
            </w:pPr>
            <w:r>
              <w:rPr>
                <w:rFonts w:ascii="Arial" w:cs="Arial" w:eastAsia="Arial" w:hAnsi="Arial"/>
                <w:sz w:val="16"/>
                <w:szCs w:val="16"/>
                <w:b w:val="1"/>
                <w:bCs w:val="1"/>
                <w:color w:val="auto"/>
              </w:rPr>
              <w:t>686.2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719.5</w:t>
            </w:r>
          </w:p>
        </w:tc>
        <w:tc>
          <w:tcPr>
            <w:tcW w:w="0" w:type="dxa"/>
            <w:vAlign w:val="bottom"/>
          </w:tcPr>
          <w:p>
            <w:pPr>
              <w:spacing w:after="0"/>
              <w:rPr>
                <w:sz w:val="1"/>
                <w:szCs w:val="1"/>
                <w:color w:val="auto"/>
              </w:rPr>
            </w:pPr>
          </w:p>
        </w:tc>
      </w:tr>
      <w:tr>
        <w:trPr>
          <w:trHeight w:val="52"/>
        </w:trPr>
        <w:tc>
          <w:tcPr>
            <w:tcW w:w="6460" w:type="dxa"/>
            <w:vAlign w:val="bottom"/>
            <w:tcBorders>
              <w:bottom w:val="single" w:sz="8" w:color="7F7F7F"/>
            </w:tcBorders>
          </w:tcPr>
          <w:p>
            <w:pPr>
              <w:spacing w:after="0"/>
              <w:rPr>
                <w:sz w:val="4"/>
                <w:szCs w:val="4"/>
                <w:color w:val="auto"/>
              </w:rPr>
            </w:pPr>
          </w:p>
        </w:tc>
        <w:tc>
          <w:tcPr>
            <w:tcW w:w="2500" w:type="dxa"/>
            <w:vAlign w:val="bottom"/>
            <w:tcBorders>
              <w:bottom w:val="single" w:sz="8" w:color="7F7F7F"/>
            </w:tcBorders>
          </w:tcPr>
          <w:p>
            <w:pPr>
              <w:spacing w:after="0"/>
              <w:rPr>
                <w:sz w:val="4"/>
                <w:szCs w:val="4"/>
                <w:color w:val="auto"/>
              </w:rPr>
            </w:pPr>
          </w:p>
        </w:tc>
        <w:tc>
          <w:tcPr>
            <w:tcW w:w="9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share – basic</w:t>
            </w:r>
          </w:p>
        </w:tc>
        <w:tc>
          <w:tcPr>
            <w:tcW w:w="2500" w:type="dxa"/>
            <w:vAlign w:val="bottom"/>
            <w:shd w:val="clear" w:color="auto" w:fill="CCEEFF"/>
          </w:tcPr>
          <w:p>
            <w:pPr>
              <w:jc w:val="right"/>
              <w:ind w:right="281"/>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2.15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9"/>
        </w:trPr>
        <w:tc>
          <w:tcPr>
            <w:tcW w:w="6460" w:type="dxa"/>
            <w:vAlign w:val="bottom"/>
          </w:tcPr>
          <w:p>
            <w:pPr>
              <w:ind w:left="40"/>
              <w:spacing w:after="0"/>
              <w:rPr>
                <w:sz w:val="20"/>
                <w:szCs w:val="20"/>
                <w:color w:val="auto"/>
              </w:rPr>
            </w:pPr>
            <w:r>
              <w:rPr>
                <w:rFonts w:ascii="Arial" w:cs="Arial" w:eastAsia="Arial" w:hAnsi="Arial"/>
                <w:sz w:val="16"/>
                <w:szCs w:val="16"/>
                <w:color w:val="auto"/>
              </w:rPr>
              <w:t>Earnings per share – diluted</w:t>
            </w:r>
          </w:p>
        </w:tc>
        <w:tc>
          <w:tcPr>
            <w:tcW w:w="2500" w:type="dxa"/>
            <w:vAlign w:val="bottom"/>
          </w:tcPr>
          <w:p>
            <w:pPr>
              <w:jc w:val="right"/>
              <w:ind w:right="281"/>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01"/>
              <w:spacing w:after="0"/>
              <w:rPr>
                <w:sz w:val="20"/>
                <w:szCs w:val="20"/>
                <w:color w:val="auto"/>
              </w:rPr>
            </w:pPr>
            <w:r>
              <w:rPr>
                <w:rFonts w:ascii="Arial" w:cs="Arial" w:eastAsia="Arial" w:hAnsi="Arial"/>
                <w:sz w:val="16"/>
                <w:szCs w:val="16"/>
                <w:b w:val="1"/>
                <w:bCs w:val="1"/>
                <w:color w:val="auto"/>
              </w:rPr>
              <w:t>2.15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7"/>
        </w:trPr>
        <w:tc>
          <w:tcPr>
            <w:tcW w:w="6460" w:type="dxa"/>
            <w:vAlign w:val="bottom"/>
            <w:tcBorders>
              <w:bottom w:val="single" w:sz="8" w:color="808080"/>
            </w:tcBorders>
            <w:shd w:val="clear" w:color="auto" w:fill="CCEEFF"/>
          </w:tcPr>
          <w:p>
            <w:pPr>
              <w:ind w:left="40"/>
              <w:spacing w:after="0"/>
              <w:rPr>
                <w:sz w:val="20"/>
                <w:szCs w:val="20"/>
                <w:color w:val="auto"/>
              </w:rPr>
            </w:pPr>
            <w:r>
              <w:rPr>
                <w:rFonts w:ascii="Arial" w:cs="Arial" w:eastAsia="Arial" w:hAnsi="Arial"/>
                <w:sz w:val="16"/>
                <w:szCs w:val="16"/>
                <w:color w:val="auto"/>
              </w:rPr>
              <w:t>Stock options excluded as their inclusion would be anti-dilutive</w:t>
            </w:r>
          </w:p>
        </w:tc>
        <w:tc>
          <w:tcPr>
            <w:tcW w:w="2500" w:type="dxa"/>
            <w:vAlign w:val="bottom"/>
            <w:tcBorders>
              <w:bottom w:val="single" w:sz="8" w:color="808080"/>
            </w:tcBorders>
            <w:shd w:val="clear" w:color="auto" w:fill="CCEEFF"/>
          </w:tcPr>
          <w:p>
            <w:pPr>
              <w:spacing w:after="0"/>
              <w:rPr>
                <w:sz w:val="18"/>
                <w:szCs w:val="18"/>
                <w:color w:val="auto"/>
              </w:rPr>
            </w:pPr>
          </w:p>
        </w:tc>
        <w:tc>
          <w:tcPr>
            <w:tcW w:w="920" w:type="dxa"/>
            <w:vAlign w:val="bottom"/>
            <w:tcBorders>
              <w:bottom w:val="single" w:sz="8" w:color="808080"/>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0.7</w:t>
            </w:r>
          </w:p>
        </w:tc>
        <w:tc>
          <w:tcPr>
            <w:tcW w:w="220" w:type="dxa"/>
            <w:vAlign w:val="bottom"/>
            <w:tcBorders>
              <w:bottom w:val="single" w:sz="8" w:color="808080"/>
            </w:tcBorders>
            <w:shd w:val="clear" w:color="auto" w:fill="CCEEFF"/>
          </w:tcPr>
          <w:p>
            <w:pPr>
              <w:spacing w:after="0"/>
              <w:rPr>
                <w:sz w:val="18"/>
                <w:szCs w:val="18"/>
                <w:color w:val="auto"/>
              </w:rPr>
            </w:pPr>
          </w:p>
        </w:tc>
        <w:tc>
          <w:tcPr>
            <w:tcW w:w="114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Accumulated Other Comprehensive Income/(Loss)</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Reclassifications out of accumulated other comprehensive income/(loss) for the three months ended March 31, 2020, and 2019, were as follows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130" cy="24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2476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i w:val="1"/>
                <w:iCs w:val="1"/>
                <w:color w:val="auto"/>
              </w:rPr>
              <w:t>Defined</w:t>
            </w:r>
          </w:p>
        </w:tc>
        <w:tc>
          <w:tcPr>
            <w:tcW w:w="400" w:type="dxa"/>
            <w:vAlign w:val="bottom"/>
          </w:tcPr>
          <w:p>
            <w:pPr>
              <w:spacing w:after="0"/>
              <w:rPr>
                <w:sz w:val="16"/>
                <w:szCs w:val="16"/>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i w:val="1"/>
                <w:iCs w:val="1"/>
                <w:color w:val="auto"/>
              </w:rPr>
              <w:t>Foreign</w:t>
            </w: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2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Millions</w:t>
            </w:r>
          </w:p>
        </w:tc>
        <w:tc>
          <w:tcPr>
            <w:tcW w:w="1200" w:type="dxa"/>
            <w:vAlign w:val="bottom"/>
          </w:tcPr>
          <w:p>
            <w:pPr>
              <w:spacing w:after="0"/>
              <w:rPr>
                <w:sz w:val="13"/>
                <w:szCs w:val="13"/>
                <w:color w:val="auto"/>
              </w:rPr>
            </w:pPr>
          </w:p>
        </w:tc>
        <w:tc>
          <w:tcPr>
            <w:tcW w:w="960" w:type="dxa"/>
            <w:vAlign w:val="bottom"/>
          </w:tcPr>
          <w:p>
            <w:pPr>
              <w:jc w:val="right"/>
              <w:ind w:right="61"/>
              <w:spacing w:after="0" w:line="158" w:lineRule="exact"/>
              <w:rPr>
                <w:sz w:val="20"/>
                <w:szCs w:val="20"/>
                <w:color w:val="auto"/>
              </w:rPr>
            </w:pPr>
            <w:r>
              <w:rPr>
                <w:rFonts w:ascii="Arial" w:cs="Arial" w:eastAsia="Arial" w:hAnsi="Arial"/>
                <w:sz w:val="16"/>
                <w:szCs w:val="16"/>
                <w:i w:val="1"/>
                <w:iCs w:val="1"/>
                <w:color w:val="auto"/>
              </w:rPr>
              <w:t>benefit</w:t>
            </w:r>
          </w:p>
        </w:tc>
        <w:tc>
          <w:tcPr>
            <w:tcW w:w="400" w:type="dxa"/>
            <w:vAlign w:val="bottom"/>
          </w:tcPr>
          <w:p>
            <w:pPr>
              <w:spacing w:after="0"/>
              <w:rPr>
                <w:sz w:val="13"/>
                <w:szCs w:val="13"/>
                <w:color w:val="auto"/>
              </w:rPr>
            </w:pPr>
          </w:p>
        </w:tc>
        <w:tc>
          <w:tcPr>
            <w:tcW w:w="1040" w:type="dxa"/>
            <w:vAlign w:val="bottom"/>
          </w:tcPr>
          <w:p>
            <w:pPr>
              <w:jc w:val="right"/>
              <w:ind w:right="41"/>
              <w:spacing w:after="0" w:line="158" w:lineRule="exact"/>
              <w:rPr>
                <w:sz w:val="20"/>
                <w:szCs w:val="20"/>
                <w:color w:val="auto"/>
              </w:rPr>
            </w:pPr>
            <w:r>
              <w:rPr>
                <w:rFonts w:ascii="Arial" w:cs="Arial" w:eastAsia="Arial" w:hAnsi="Arial"/>
                <w:sz w:val="16"/>
                <w:szCs w:val="16"/>
                <w:i w:val="1"/>
                <w:iCs w:val="1"/>
                <w:color w:val="auto"/>
              </w:rPr>
              <w:t>currency</w:t>
            </w:r>
          </w:p>
        </w:tc>
        <w:tc>
          <w:tcPr>
            <w:tcW w:w="5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Total</w:t>
            </w:r>
          </w:p>
        </w:tc>
        <w:tc>
          <w:tcPr>
            <w:tcW w:w="0" w:type="dxa"/>
            <w:vAlign w:val="bottom"/>
          </w:tcPr>
          <w:p>
            <w:pPr>
              <w:spacing w:after="0"/>
              <w:rPr>
                <w:sz w:val="1"/>
                <w:szCs w:val="1"/>
                <w:color w:val="auto"/>
              </w:rPr>
            </w:pPr>
          </w:p>
        </w:tc>
      </w:tr>
      <w:tr>
        <w:trPr>
          <w:trHeight w:val="190"/>
        </w:trPr>
        <w:tc>
          <w:tcPr>
            <w:tcW w:w="6280" w:type="dxa"/>
            <w:vAlign w:val="bottom"/>
            <w:tcBorders>
              <w:bottom w:val="single" w:sz="8" w:color="7F7F7F"/>
            </w:tcBorders>
            <w:vMerge w:val="continue"/>
          </w:tcPr>
          <w:p>
            <w:pPr>
              <w:spacing w:after="0"/>
              <w:rPr>
                <w:sz w:val="16"/>
                <w:szCs w:val="16"/>
                <w:color w:val="auto"/>
              </w:rPr>
            </w:pPr>
          </w:p>
        </w:tc>
        <w:tc>
          <w:tcPr>
            <w:tcW w:w="1200" w:type="dxa"/>
            <w:vAlign w:val="bottom"/>
            <w:tcBorders>
              <w:bottom w:val="single" w:sz="8" w:color="7F7F7F"/>
            </w:tcBorders>
          </w:tcPr>
          <w:p>
            <w:pPr>
              <w:spacing w:after="0"/>
              <w:rPr>
                <w:sz w:val="16"/>
                <w:szCs w:val="16"/>
                <w:color w:val="auto"/>
              </w:rPr>
            </w:pPr>
          </w:p>
        </w:tc>
        <w:tc>
          <w:tcPr>
            <w:tcW w:w="960" w:type="dxa"/>
            <w:vAlign w:val="bottom"/>
            <w:tcBorders>
              <w:bottom w:val="single" w:sz="8" w:color="7F7F7F"/>
            </w:tcBorders>
          </w:tcPr>
          <w:p>
            <w:pPr>
              <w:jc w:val="right"/>
              <w:ind w:right="61"/>
              <w:spacing w:after="0"/>
              <w:rPr>
                <w:sz w:val="20"/>
                <w:szCs w:val="20"/>
                <w:color w:val="auto"/>
              </w:rPr>
            </w:pPr>
            <w:r>
              <w:rPr>
                <w:rFonts w:ascii="Arial" w:cs="Arial" w:eastAsia="Arial" w:hAnsi="Arial"/>
                <w:sz w:val="16"/>
                <w:szCs w:val="16"/>
                <w:i w:val="1"/>
                <w:iCs w:val="1"/>
                <w:color w:val="auto"/>
              </w:rPr>
              <w:t>plans</w:t>
            </w:r>
          </w:p>
        </w:tc>
        <w:tc>
          <w:tcPr>
            <w:tcW w:w="400" w:type="dxa"/>
            <w:vAlign w:val="bottom"/>
            <w:tcBorders>
              <w:bottom w:val="single" w:sz="8" w:color="7F7F7F"/>
            </w:tcBorders>
          </w:tcPr>
          <w:p>
            <w:pPr>
              <w:spacing w:after="0"/>
              <w:rPr>
                <w:sz w:val="16"/>
                <w:szCs w:val="16"/>
                <w:color w:val="auto"/>
              </w:rPr>
            </w:pPr>
          </w:p>
        </w:tc>
        <w:tc>
          <w:tcPr>
            <w:tcW w:w="104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i w:val="1"/>
                <w:iCs w:val="1"/>
                <w:color w:val="auto"/>
              </w:rPr>
              <w:t>translation</w:t>
            </w:r>
          </w:p>
        </w:tc>
        <w:tc>
          <w:tcPr>
            <w:tcW w:w="540" w:type="dxa"/>
            <w:vAlign w:val="bottom"/>
            <w:tcBorders>
              <w:bottom w:val="single" w:sz="8" w:color="7F7F7F"/>
            </w:tcBorders>
          </w:tcPr>
          <w:p>
            <w:pPr>
              <w:spacing w:after="0"/>
              <w:rPr>
                <w:sz w:val="16"/>
                <w:szCs w:val="16"/>
                <w:color w:val="auto"/>
              </w:rPr>
            </w:pPr>
          </w:p>
        </w:tc>
        <w:tc>
          <w:tcPr>
            <w:tcW w:w="820" w:type="dxa"/>
            <w:vAlign w:val="bottom"/>
            <w:tcBorders>
              <w:bottom w:val="single" w:sz="8" w:color="7F7F7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January 1, 2020</w:t>
            </w:r>
          </w:p>
        </w:tc>
        <w:tc>
          <w:tcPr>
            <w:tcW w:w="1200" w:type="dxa"/>
            <w:vAlign w:val="bottom"/>
            <w:tcBorders>
              <w:bottom w:val="single" w:sz="8" w:color="7F7F7F"/>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7F7F7F"/>
            </w:tcBorders>
            <w:shd w:val="clear" w:color="auto" w:fill="CCEEFF"/>
          </w:tcPr>
          <w:p>
            <w:pPr>
              <w:jc w:val="right"/>
              <w:ind w:right="61"/>
              <w:spacing w:after="0"/>
              <w:rPr>
                <w:sz w:val="20"/>
                <w:szCs w:val="20"/>
                <w:color w:val="auto"/>
              </w:rPr>
            </w:pPr>
            <w:r>
              <w:rPr>
                <w:rFonts w:ascii="Arial" w:cs="Arial" w:eastAsia="Arial" w:hAnsi="Arial"/>
                <w:sz w:val="16"/>
                <w:szCs w:val="16"/>
                <w:color w:val="auto"/>
              </w:rPr>
              <w:t>(1,150)</w:t>
            </w:r>
          </w:p>
        </w:tc>
        <w:tc>
          <w:tcPr>
            <w:tcW w:w="400" w:type="dxa"/>
            <w:vAlign w:val="bottom"/>
            <w:tcBorders>
              <w:bottom w:val="single" w:sz="8" w:color="7F7F7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color w:val="auto"/>
              </w:rPr>
              <w:t>(206)</w:t>
            </w:r>
          </w:p>
        </w:tc>
        <w:tc>
          <w:tcPr>
            <w:tcW w:w="540" w:type="dxa"/>
            <w:vAlign w:val="bottom"/>
            <w:tcBorders>
              <w:bottom w:val="single" w:sz="8" w:color="7F7F7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193"/>
        </w:trPr>
        <w:tc>
          <w:tcPr>
            <w:tcW w:w="628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w:t>
            </w:r>
          </w:p>
        </w:tc>
        <w:tc>
          <w:tcPr>
            <w:tcW w:w="120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2</w:t>
            </w:r>
          </w:p>
        </w:tc>
        <w:tc>
          <w:tcPr>
            <w:tcW w:w="40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11"/>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income/(loss) [a]</w:t>
            </w:r>
          </w:p>
        </w:tc>
        <w:tc>
          <w:tcPr>
            <w:tcW w:w="1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20</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18"/>
        </w:trPr>
        <w:tc>
          <w:tcPr>
            <w:tcW w:w="6280" w:type="dxa"/>
            <w:vAlign w:val="bottom"/>
            <w:tcBorders>
              <w:bottom w:val="single" w:sz="8" w:color="7F7F7F"/>
            </w:tcBorders>
            <w:shd w:val="clear" w:color="auto" w:fill="CCEEFF"/>
          </w:tcPr>
          <w:p>
            <w:pPr>
              <w:spacing w:after="0"/>
              <w:rPr>
                <w:sz w:val="10"/>
                <w:szCs w:val="10"/>
                <w:color w:val="auto"/>
              </w:rPr>
            </w:pPr>
          </w:p>
        </w:tc>
        <w:tc>
          <w:tcPr>
            <w:tcW w:w="1200" w:type="dxa"/>
            <w:vAlign w:val="bottom"/>
            <w:tcBorders>
              <w:bottom w:val="single" w:sz="8" w:color="7F7F7F"/>
            </w:tcBorders>
            <w:shd w:val="clear" w:color="auto" w:fill="CCEEFF"/>
          </w:tcPr>
          <w:p>
            <w:pPr>
              <w:spacing w:after="0"/>
              <w:rPr>
                <w:sz w:val="10"/>
                <w:szCs w:val="10"/>
                <w:color w:val="auto"/>
              </w:rPr>
            </w:pPr>
          </w:p>
        </w:tc>
        <w:tc>
          <w:tcPr>
            <w:tcW w:w="960" w:type="dxa"/>
            <w:vAlign w:val="bottom"/>
            <w:tcBorders>
              <w:bottom w:val="single" w:sz="8" w:color="7F7F7F"/>
            </w:tcBorders>
            <w:shd w:val="clear" w:color="auto" w:fill="CCEEFF"/>
          </w:tcPr>
          <w:p>
            <w:pPr>
              <w:spacing w:after="0"/>
              <w:rPr>
                <w:sz w:val="10"/>
                <w:szCs w:val="10"/>
                <w:color w:val="auto"/>
              </w:rPr>
            </w:pPr>
          </w:p>
        </w:tc>
        <w:tc>
          <w:tcPr>
            <w:tcW w:w="400" w:type="dxa"/>
            <w:vAlign w:val="bottom"/>
            <w:tcBorders>
              <w:bottom w:val="single" w:sz="8" w:color="7F7F7F"/>
            </w:tcBorders>
            <w:shd w:val="clear" w:color="auto" w:fill="CCEEFF"/>
          </w:tcPr>
          <w:p>
            <w:pPr>
              <w:spacing w:after="0"/>
              <w:rPr>
                <w:sz w:val="10"/>
                <w:szCs w:val="10"/>
                <w:color w:val="auto"/>
              </w:rPr>
            </w:pPr>
          </w:p>
        </w:tc>
        <w:tc>
          <w:tcPr>
            <w:tcW w:w="1040" w:type="dxa"/>
            <w:vAlign w:val="bottom"/>
            <w:tcBorders>
              <w:bottom w:val="single" w:sz="8" w:color="7F7F7F"/>
            </w:tcBorders>
            <w:shd w:val="clear" w:color="auto" w:fill="CCEEFF"/>
          </w:tcPr>
          <w:p>
            <w:pPr>
              <w:spacing w:after="0"/>
              <w:rPr>
                <w:sz w:val="10"/>
                <w:szCs w:val="10"/>
                <w:color w:val="auto"/>
              </w:rPr>
            </w:pPr>
          </w:p>
        </w:tc>
        <w:tc>
          <w:tcPr>
            <w:tcW w:w="540" w:type="dxa"/>
            <w:vAlign w:val="bottom"/>
            <w:tcBorders>
              <w:bottom w:val="single" w:sz="8" w:color="7F7F7F"/>
            </w:tcBorders>
            <w:shd w:val="clear" w:color="auto" w:fill="CCEEFF"/>
          </w:tcPr>
          <w:p>
            <w:pPr>
              <w:spacing w:after="0"/>
              <w:rPr>
                <w:sz w:val="10"/>
                <w:szCs w:val="10"/>
                <w:color w:val="auto"/>
              </w:rPr>
            </w:pPr>
          </w:p>
        </w:tc>
        <w:tc>
          <w:tcPr>
            <w:tcW w:w="820" w:type="dxa"/>
            <w:vAlign w:val="bottom"/>
            <w:tcBorders>
              <w:bottom w:val="single" w:sz="8" w:color="7F7F7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6280" w:type="dxa"/>
            <w:vAlign w:val="bottom"/>
          </w:tcPr>
          <w:p>
            <w:pPr>
              <w:spacing w:after="0"/>
              <w:rPr>
                <w:sz w:val="20"/>
                <w:szCs w:val="20"/>
                <w:color w:val="auto"/>
              </w:rPr>
            </w:pPr>
            <w:r>
              <w:rPr>
                <w:rFonts w:ascii="Arial" w:cs="Arial" w:eastAsia="Arial" w:hAnsi="Arial"/>
                <w:sz w:val="16"/>
                <w:szCs w:val="16"/>
                <w:color w:val="auto"/>
              </w:rPr>
              <w:t>Net year-to-date other comprehensive income/(loss),</w:t>
            </w:r>
          </w:p>
        </w:tc>
        <w:tc>
          <w:tcPr>
            <w:tcW w:w="1200" w:type="dxa"/>
            <w:vAlign w:val="bottom"/>
          </w:tcPr>
          <w:p>
            <w:pPr>
              <w:spacing w:after="0"/>
              <w:rPr>
                <w:sz w:val="16"/>
                <w:szCs w:val="16"/>
                <w:color w:val="auto"/>
              </w:rPr>
            </w:pPr>
          </w:p>
        </w:tc>
        <w:tc>
          <w:tcPr>
            <w:tcW w:w="960" w:type="dxa"/>
            <w:vAlign w:val="bottom"/>
            <w:vMerge w:val="restart"/>
          </w:tcPr>
          <w:p>
            <w:pPr>
              <w:jc w:val="right"/>
              <w:ind w:right="101"/>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16"/>
                <w:szCs w:val="16"/>
                <w:color w:val="auto"/>
              </w:rPr>
            </w:pPr>
          </w:p>
        </w:tc>
        <w:tc>
          <w:tcPr>
            <w:tcW w:w="1040" w:type="dxa"/>
            <w:vAlign w:val="bottom"/>
            <w:vMerge w:val="restart"/>
          </w:tcPr>
          <w:p>
            <w:pPr>
              <w:jc w:val="right"/>
              <w:ind w:right="81"/>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10"/>
        </w:trPr>
        <w:tc>
          <w:tcPr>
            <w:tcW w:w="6280" w:type="dxa"/>
            <w:vAlign w:val="bottom"/>
            <w:vMerge w:val="restart"/>
          </w:tcPr>
          <w:p>
            <w:pPr>
              <w:spacing w:after="0"/>
              <w:rPr>
                <w:sz w:val="20"/>
                <w:szCs w:val="20"/>
                <w:color w:val="auto"/>
              </w:rPr>
            </w:pPr>
            <w:r>
              <w:rPr>
                <w:rFonts w:ascii="Arial" w:cs="Arial" w:eastAsia="Arial" w:hAnsi="Arial"/>
                <w:sz w:val="16"/>
                <w:szCs w:val="16"/>
                <w:color w:val="auto"/>
              </w:rPr>
              <w:t>net of taxes of ($7) million</w:t>
            </w:r>
          </w:p>
        </w:tc>
        <w:tc>
          <w:tcPr>
            <w:tcW w:w="12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62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28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tcPr>
          <w:p>
            <w:pPr>
              <w:spacing w:after="0"/>
              <w:rPr>
                <w:sz w:val="3"/>
                <w:szCs w:val="3"/>
                <w:color w:val="auto"/>
              </w:rPr>
            </w:pPr>
          </w:p>
        </w:tc>
        <w:tc>
          <w:tcPr>
            <w:tcW w:w="40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8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2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March 31, 2020</w:t>
            </w:r>
          </w:p>
        </w:tc>
        <w:tc>
          <w:tcPr>
            <w:tcW w:w="1200" w:type="dxa"/>
            <w:vAlign w:val="bottom"/>
            <w:tcBorders>
              <w:bottom w:val="single" w:sz="8" w:color="7F7F7F"/>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7F7F7F"/>
            </w:tcBorders>
            <w:shd w:val="clear" w:color="auto" w:fill="CCEEFF"/>
          </w:tcPr>
          <w:p>
            <w:pPr>
              <w:jc w:val="right"/>
              <w:ind w:right="61"/>
              <w:spacing w:after="0"/>
              <w:rPr>
                <w:sz w:val="20"/>
                <w:szCs w:val="20"/>
                <w:color w:val="auto"/>
              </w:rPr>
            </w:pPr>
            <w:r>
              <w:rPr>
                <w:rFonts w:ascii="Arial" w:cs="Arial" w:eastAsia="Arial" w:hAnsi="Arial"/>
                <w:sz w:val="16"/>
                <w:szCs w:val="16"/>
                <w:color w:val="auto"/>
              </w:rPr>
              <w:t>(1,128)</w:t>
            </w:r>
          </w:p>
        </w:tc>
        <w:tc>
          <w:tcPr>
            <w:tcW w:w="400" w:type="dxa"/>
            <w:vAlign w:val="bottom"/>
            <w:tcBorders>
              <w:bottom w:val="single" w:sz="8" w:color="7F7F7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color w:val="auto"/>
              </w:rPr>
              <w:t>(201)</w:t>
            </w:r>
          </w:p>
        </w:tc>
        <w:tc>
          <w:tcPr>
            <w:tcW w:w="540" w:type="dxa"/>
            <w:vAlign w:val="bottom"/>
            <w:tcBorders>
              <w:bottom w:val="single" w:sz="8" w:color="7F7F7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0" w:type="dxa"/>
            <w:vAlign w:val="bottom"/>
          </w:tcPr>
          <w:p>
            <w:pPr>
              <w:spacing w:after="0"/>
              <w:rPr>
                <w:sz w:val="1"/>
                <w:szCs w:val="1"/>
                <w:color w:val="auto"/>
              </w:rPr>
            </w:pPr>
          </w:p>
        </w:tc>
      </w:tr>
      <w:tr>
        <w:trPr>
          <w:trHeight w:val="177"/>
        </w:trPr>
        <w:tc>
          <w:tcPr>
            <w:tcW w:w="6280" w:type="dxa"/>
            <w:vAlign w:val="bottom"/>
            <w:tcBorders>
              <w:bottom w:val="single" w:sz="8" w:color="7F7F7F"/>
            </w:tcBorders>
          </w:tcPr>
          <w:p>
            <w:pPr>
              <w:spacing w:after="0"/>
              <w:rPr>
                <w:sz w:val="15"/>
                <w:szCs w:val="15"/>
                <w:color w:val="auto"/>
              </w:rPr>
            </w:pPr>
          </w:p>
        </w:tc>
        <w:tc>
          <w:tcPr>
            <w:tcW w:w="1200" w:type="dxa"/>
            <w:vAlign w:val="bottom"/>
            <w:tcBorders>
              <w:bottom w:val="single" w:sz="8" w:color="7F7F7F"/>
            </w:tcBorders>
          </w:tcPr>
          <w:p>
            <w:pPr>
              <w:spacing w:after="0"/>
              <w:rPr>
                <w:sz w:val="15"/>
                <w:szCs w:val="15"/>
                <w:color w:val="auto"/>
              </w:rPr>
            </w:pPr>
          </w:p>
        </w:tc>
        <w:tc>
          <w:tcPr>
            <w:tcW w:w="960" w:type="dxa"/>
            <w:vAlign w:val="bottom"/>
            <w:tcBorders>
              <w:bottom w:val="single" w:sz="8" w:color="7F7F7F"/>
            </w:tcBorders>
          </w:tcPr>
          <w:p>
            <w:pPr>
              <w:spacing w:after="0"/>
              <w:rPr>
                <w:sz w:val="15"/>
                <w:szCs w:val="15"/>
                <w:color w:val="auto"/>
              </w:rPr>
            </w:pPr>
          </w:p>
        </w:tc>
        <w:tc>
          <w:tcPr>
            <w:tcW w:w="400" w:type="dxa"/>
            <w:vAlign w:val="bottom"/>
            <w:tcBorders>
              <w:bottom w:val="single" w:sz="8" w:color="7F7F7F"/>
            </w:tcBorders>
          </w:tcPr>
          <w:p>
            <w:pPr>
              <w:spacing w:after="0"/>
              <w:rPr>
                <w:sz w:val="15"/>
                <w:szCs w:val="15"/>
                <w:color w:val="auto"/>
              </w:rPr>
            </w:pPr>
          </w:p>
        </w:tc>
        <w:tc>
          <w:tcPr>
            <w:tcW w:w="1040" w:type="dxa"/>
            <w:vAlign w:val="bottom"/>
            <w:tcBorders>
              <w:bottom w:val="single" w:sz="8" w:color="7F7F7F"/>
            </w:tcBorders>
          </w:tcPr>
          <w:p>
            <w:pPr>
              <w:spacing w:after="0"/>
              <w:rPr>
                <w:sz w:val="15"/>
                <w:szCs w:val="15"/>
                <w:color w:val="auto"/>
              </w:rPr>
            </w:pPr>
          </w:p>
        </w:tc>
        <w:tc>
          <w:tcPr>
            <w:tcW w:w="540" w:type="dxa"/>
            <w:vAlign w:val="bottom"/>
            <w:tcBorders>
              <w:bottom w:val="single" w:sz="8" w:color="7F7F7F"/>
            </w:tcBorders>
          </w:tcPr>
          <w:p>
            <w:pPr>
              <w:spacing w:after="0"/>
              <w:rPr>
                <w:sz w:val="15"/>
                <w:szCs w:val="15"/>
                <w:color w:val="auto"/>
              </w:rPr>
            </w:pPr>
          </w:p>
        </w:tc>
        <w:tc>
          <w:tcPr>
            <w:tcW w:w="820" w:type="dxa"/>
            <w:vAlign w:val="bottom"/>
            <w:tcBorders>
              <w:bottom w:val="single" w:sz="8" w:color="7F7F7F"/>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January 1, 2019</w:t>
            </w:r>
          </w:p>
        </w:tc>
        <w:tc>
          <w:tcPr>
            <w:tcW w:w="1200" w:type="dxa"/>
            <w:vAlign w:val="bottom"/>
            <w:tcBorders>
              <w:bottom w:val="single" w:sz="8" w:color="7F7F7F"/>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7F7F7F"/>
            </w:tcBorders>
            <w:shd w:val="clear" w:color="auto" w:fill="CCEEFF"/>
          </w:tcPr>
          <w:p>
            <w:pPr>
              <w:jc w:val="right"/>
              <w:ind w:right="61"/>
              <w:spacing w:after="0"/>
              <w:rPr>
                <w:sz w:val="20"/>
                <w:szCs w:val="20"/>
                <w:color w:val="auto"/>
              </w:rPr>
            </w:pPr>
            <w:r>
              <w:rPr>
                <w:rFonts w:ascii="Arial" w:cs="Arial" w:eastAsia="Arial" w:hAnsi="Arial"/>
                <w:sz w:val="16"/>
                <w:szCs w:val="16"/>
                <w:color w:val="auto"/>
              </w:rPr>
              <w:t>(1,192)</w:t>
            </w:r>
          </w:p>
        </w:tc>
        <w:tc>
          <w:tcPr>
            <w:tcW w:w="400" w:type="dxa"/>
            <w:vAlign w:val="bottom"/>
            <w:tcBorders>
              <w:bottom w:val="single" w:sz="8" w:color="7F7F7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color w:val="auto"/>
              </w:rPr>
              <w:t>(223)</w:t>
            </w:r>
          </w:p>
        </w:tc>
        <w:tc>
          <w:tcPr>
            <w:tcW w:w="540" w:type="dxa"/>
            <w:vAlign w:val="bottom"/>
            <w:tcBorders>
              <w:bottom w:val="single" w:sz="8" w:color="7F7F7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193"/>
        </w:trPr>
        <w:tc>
          <w:tcPr>
            <w:tcW w:w="6280" w:type="dxa"/>
            <w:vAlign w:val="bottom"/>
          </w:tcPr>
          <w:p>
            <w:pPr>
              <w:spacing w:after="0"/>
              <w:rPr>
                <w:sz w:val="20"/>
                <w:szCs w:val="20"/>
                <w:color w:val="auto"/>
              </w:rPr>
            </w:pPr>
            <w:r>
              <w:rPr>
                <w:rFonts w:ascii="Arial" w:cs="Arial" w:eastAsia="Arial" w:hAnsi="Arial"/>
                <w:sz w:val="16"/>
                <w:szCs w:val="16"/>
                <w:color w:val="auto"/>
              </w:rPr>
              <w:t>Other comprehensive income/(loss) before reclassifications</w:t>
            </w:r>
          </w:p>
        </w:tc>
        <w:tc>
          <w:tcPr>
            <w:tcW w:w="12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27</w:t>
            </w:r>
          </w:p>
        </w:tc>
        <w:tc>
          <w:tcPr>
            <w:tcW w:w="5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11"/>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income/(loss) [a]</w:t>
            </w:r>
          </w:p>
        </w:tc>
        <w:tc>
          <w:tcPr>
            <w:tcW w:w="1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13</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18"/>
        </w:trPr>
        <w:tc>
          <w:tcPr>
            <w:tcW w:w="6280" w:type="dxa"/>
            <w:vAlign w:val="bottom"/>
            <w:tcBorders>
              <w:bottom w:val="single" w:sz="8" w:color="7F7F7F"/>
            </w:tcBorders>
            <w:shd w:val="clear" w:color="auto" w:fill="CCEEFF"/>
          </w:tcPr>
          <w:p>
            <w:pPr>
              <w:spacing w:after="0"/>
              <w:rPr>
                <w:sz w:val="10"/>
                <w:szCs w:val="10"/>
                <w:color w:val="auto"/>
              </w:rPr>
            </w:pPr>
          </w:p>
        </w:tc>
        <w:tc>
          <w:tcPr>
            <w:tcW w:w="1200" w:type="dxa"/>
            <w:vAlign w:val="bottom"/>
            <w:tcBorders>
              <w:bottom w:val="single" w:sz="8" w:color="7F7F7F"/>
            </w:tcBorders>
            <w:shd w:val="clear" w:color="auto" w:fill="CCEEFF"/>
          </w:tcPr>
          <w:p>
            <w:pPr>
              <w:spacing w:after="0"/>
              <w:rPr>
                <w:sz w:val="10"/>
                <w:szCs w:val="10"/>
                <w:color w:val="auto"/>
              </w:rPr>
            </w:pPr>
          </w:p>
        </w:tc>
        <w:tc>
          <w:tcPr>
            <w:tcW w:w="960" w:type="dxa"/>
            <w:vAlign w:val="bottom"/>
            <w:tcBorders>
              <w:bottom w:val="single" w:sz="8" w:color="7F7F7F"/>
            </w:tcBorders>
            <w:shd w:val="clear" w:color="auto" w:fill="CCEEFF"/>
          </w:tcPr>
          <w:p>
            <w:pPr>
              <w:spacing w:after="0"/>
              <w:rPr>
                <w:sz w:val="10"/>
                <w:szCs w:val="10"/>
                <w:color w:val="auto"/>
              </w:rPr>
            </w:pPr>
          </w:p>
        </w:tc>
        <w:tc>
          <w:tcPr>
            <w:tcW w:w="400" w:type="dxa"/>
            <w:vAlign w:val="bottom"/>
            <w:tcBorders>
              <w:bottom w:val="single" w:sz="8" w:color="7F7F7F"/>
            </w:tcBorders>
            <w:shd w:val="clear" w:color="auto" w:fill="CCEEFF"/>
          </w:tcPr>
          <w:p>
            <w:pPr>
              <w:spacing w:after="0"/>
              <w:rPr>
                <w:sz w:val="10"/>
                <w:szCs w:val="10"/>
                <w:color w:val="auto"/>
              </w:rPr>
            </w:pPr>
          </w:p>
        </w:tc>
        <w:tc>
          <w:tcPr>
            <w:tcW w:w="1040" w:type="dxa"/>
            <w:vAlign w:val="bottom"/>
            <w:tcBorders>
              <w:bottom w:val="single" w:sz="8" w:color="7F7F7F"/>
            </w:tcBorders>
            <w:shd w:val="clear" w:color="auto" w:fill="CCEEFF"/>
          </w:tcPr>
          <w:p>
            <w:pPr>
              <w:spacing w:after="0"/>
              <w:rPr>
                <w:sz w:val="10"/>
                <w:szCs w:val="10"/>
                <w:color w:val="auto"/>
              </w:rPr>
            </w:pPr>
          </w:p>
        </w:tc>
        <w:tc>
          <w:tcPr>
            <w:tcW w:w="540" w:type="dxa"/>
            <w:vAlign w:val="bottom"/>
            <w:tcBorders>
              <w:bottom w:val="single" w:sz="8" w:color="7F7F7F"/>
            </w:tcBorders>
            <w:shd w:val="clear" w:color="auto" w:fill="CCEEFF"/>
          </w:tcPr>
          <w:p>
            <w:pPr>
              <w:spacing w:after="0"/>
              <w:rPr>
                <w:sz w:val="10"/>
                <w:szCs w:val="10"/>
                <w:color w:val="auto"/>
              </w:rPr>
            </w:pPr>
          </w:p>
        </w:tc>
        <w:tc>
          <w:tcPr>
            <w:tcW w:w="820" w:type="dxa"/>
            <w:vAlign w:val="bottom"/>
            <w:tcBorders>
              <w:bottom w:val="single" w:sz="8" w:color="7F7F7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6280" w:type="dxa"/>
            <w:vAlign w:val="bottom"/>
          </w:tcPr>
          <w:p>
            <w:pPr>
              <w:spacing w:after="0"/>
              <w:rPr>
                <w:sz w:val="20"/>
                <w:szCs w:val="20"/>
                <w:color w:val="auto"/>
              </w:rPr>
            </w:pPr>
            <w:r>
              <w:rPr>
                <w:rFonts w:ascii="Arial" w:cs="Arial" w:eastAsia="Arial" w:hAnsi="Arial"/>
                <w:sz w:val="16"/>
                <w:szCs w:val="16"/>
                <w:color w:val="auto"/>
              </w:rPr>
              <w:t>Net year-to-date other comprehensive income/(loss),</w:t>
            </w:r>
          </w:p>
        </w:tc>
        <w:tc>
          <w:tcPr>
            <w:tcW w:w="1200" w:type="dxa"/>
            <w:vAlign w:val="bottom"/>
          </w:tcPr>
          <w:p>
            <w:pPr>
              <w:spacing w:after="0"/>
              <w:rPr>
                <w:sz w:val="16"/>
                <w:szCs w:val="16"/>
                <w:color w:val="auto"/>
              </w:rPr>
            </w:pPr>
          </w:p>
        </w:tc>
        <w:tc>
          <w:tcPr>
            <w:tcW w:w="960" w:type="dxa"/>
            <w:vAlign w:val="bottom"/>
            <w:vMerge w:val="restart"/>
          </w:tcPr>
          <w:p>
            <w:pPr>
              <w:jc w:val="right"/>
              <w:ind w:right="101"/>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6"/>
                <w:szCs w:val="16"/>
                <w:color w:val="auto"/>
              </w:rPr>
            </w:pPr>
          </w:p>
        </w:tc>
        <w:tc>
          <w:tcPr>
            <w:tcW w:w="1040" w:type="dxa"/>
            <w:vAlign w:val="bottom"/>
            <w:vMerge w:val="restart"/>
          </w:tcPr>
          <w:p>
            <w:pPr>
              <w:jc w:val="right"/>
              <w:ind w:right="81"/>
              <w:spacing w:after="0"/>
              <w:rPr>
                <w:sz w:val="20"/>
                <w:szCs w:val="20"/>
                <w:color w:val="auto"/>
              </w:rPr>
            </w:pPr>
            <w:r>
              <w:rPr>
                <w:rFonts w:ascii="Arial" w:cs="Arial" w:eastAsia="Arial" w:hAnsi="Arial"/>
                <w:sz w:val="16"/>
                <w:szCs w:val="16"/>
                <w:color w:val="auto"/>
              </w:rPr>
              <w:t>27</w:t>
            </w:r>
          </w:p>
        </w:tc>
        <w:tc>
          <w:tcPr>
            <w:tcW w:w="5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10"/>
        </w:trPr>
        <w:tc>
          <w:tcPr>
            <w:tcW w:w="6280" w:type="dxa"/>
            <w:vAlign w:val="bottom"/>
            <w:vMerge w:val="restart"/>
          </w:tcPr>
          <w:p>
            <w:pPr>
              <w:spacing w:after="0"/>
              <w:rPr>
                <w:sz w:val="20"/>
                <w:szCs w:val="20"/>
                <w:color w:val="auto"/>
              </w:rPr>
            </w:pPr>
            <w:r>
              <w:rPr>
                <w:rFonts w:ascii="Arial" w:cs="Arial" w:eastAsia="Arial" w:hAnsi="Arial"/>
                <w:sz w:val="16"/>
                <w:szCs w:val="16"/>
                <w:color w:val="auto"/>
              </w:rPr>
              <w:t>net of taxes of ($4) million</w:t>
            </w:r>
          </w:p>
        </w:tc>
        <w:tc>
          <w:tcPr>
            <w:tcW w:w="12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62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6280" w:type="dxa"/>
            <w:vAlign w:val="bottom"/>
            <w:tcBorders>
              <w:bottom w:val="single" w:sz="8" w:color="7F7F7F"/>
            </w:tcBorders>
          </w:tcPr>
          <w:p>
            <w:pPr>
              <w:spacing w:after="0"/>
              <w:rPr>
                <w:sz w:val="3"/>
                <w:szCs w:val="3"/>
                <w:color w:val="auto"/>
              </w:rPr>
            </w:pPr>
          </w:p>
        </w:tc>
        <w:tc>
          <w:tcPr>
            <w:tcW w:w="1200" w:type="dxa"/>
            <w:vAlign w:val="bottom"/>
            <w:tcBorders>
              <w:bottom w:val="single" w:sz="8" w:color="7F7F7F"/>
            </w:tcBorders>
          </w:tcPr>
          <w:p>
            <w:pPr>
              <w:spacing w:after="0"/>
              <w:rPr>
                <w:sz w:val="3"/>
                <w:szCs w:val="3"/>
                <w:color w:val="auto"/>
              </w:rPr>
            </w:pPr>
          </w:p>
        </w:tc>
        <w:tc>
          <w:tcPr>
            <w:tcW w:w="960" w:type="dxa"/>
            <w:vAlign w:val="bottom"/>
            <w:tcBorders>
              <w:bottom w:val="single" w:sz="8" w:color="7F7F7F"/>
            </w:tcBorders>
          </w:tcPr>
          <w:p>
            <w:pPr>
              <w:spacing w:after="0"/>
              <w:rPr>
                <w:sz w:val="3"/>
                <w:szCs w:val="3"/>
                <w:color w:val="auto"/>
              </w:rPr>
            </w:pPr>
          </w:p>
        </w:tc>
        <w:tc>
          <w:tcPr>
            <w:tcW w:w="40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540" w:type="dxa"/>
            <w:vAlign w:val="bottom"/>
            <w:tcBorders>
              <w:bottom w:val="single" w:sz="8" w:color="7F7F7F"/>
            </w:tcBorders>
          </w:tcPr>
          <w:p>
            <w:pPr>
              <w:spacing w:after="0"/>
              <w:rPr>
                <w:sz w:val="3"/>
                <w:szCs w:val="3"/>
                <w:color w:val="auto"/>
              </w:rPr>
            </w:pPr>
          </w:p>
        </w:tc>
        <w:tc>
          <w:tcPr>
            <w:tcW w:w="8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62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Balance at March 31, 2019</w:t>
            </w:r>
          </w:p>
        </w:tc>
        <w:tc>
          <w:tcPr>
            <w:tcW w:w="1200" w:type="dxa"/>
            <w:vAlign w:val="bottom"/>
            <w:tcBorders>
              <w:bottom w:val="single" w:sz="8" w:color="7F7F7F"/>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7F7F7F"/>
            </w:tcBorders>
            <w:shd w:val="clear" w:color="auto" w:fill="CCEEFF"/>
          </w:tcPr>
          <w:p>
            <w:pPr>
              <w:jc w:val="right"/>
              <w:ind w:right="61"/>
              <w:spacing w:after="0"/>
              <w:rPr>
                <w:sz w:val="20"/>
                <w:szCs w:val="20"/>
                <w:color w:val="auto"/>
              </w:rPr>
            </w:pPr>
            <w:r>
              <w:rPr>
                <w:rFonts w:ascii="Arial" w:cs="Arial" w:eastAsia="Arial" w:hAnsi="Arial"/>
                <w:sz w:val="16"/>
                <w:szCs w:val="16"/>
                <w:color w:val="auto"/>
              </w:rPr>
              <w:t>(1,182)</w:t>
            </w:r>
          </w:p>
        </w:tc>
        <w:tc>
          <w:tcPr>
            <w:tcW w:w="400" w:type="dxa"/>
            <w:vAlign w:val="bottom"/>
            <w:tcBorders>
              <w:bottom w:val="single" w:sz="8" w:color="7F7F7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color w:val="auto"/>
              </w:rPr>
              <w:t>(196)</w:t>
            </w:r>
          </w:p>
        </w:tc>
        <w:tc>
          <w:tcPr>
            <w:tcW w:w="540" w:type="dxa"/>
            <w:vAlign w:val="bottom"/>
            <w:tcBorders>
              <w:bottom w:val="single" w:sz="8" w:color="7F7F7F"/>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20" w:hanging="315"/>
        <w:spacing w:after="0" w:line="247" w:lineRule="auto"/>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The accumulated other comprehensive income/(loss) reclassification components are 1) prior service cost/(credit) and 2) net actuarial loss which are both included in the computation of net periodic pension cost. See Note 5 Retirement Plans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 w:name="page13"/>
    <w:bookmarkEnd w:id="12"/>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Accounts Receivable</w:t>
      </w:r>
    </w:p>
    <w:p>
      <w:pPr>
        <w:spacing w:after="0" w:line="19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Accounts receivable includes freight and other receivables reduced by an allowance for doubtful accounts. The allowance is based upon historical losses, creditworthiness of customers, and current economic conditions. At March 31, 2020, and December 31, 2019, our accounts receivable were reduced by $22 million and $4 million, respectively. Receivables not expected to be collected in one year and the associated allowances are classified as other assets in our Condensed Consolidated Statements of Financial Position. At March 31, 2020, and December 31, 2019, receivables classified as other assets were reduced by allowances of $38 million and $35 million, respectively.</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Receivables Securitization Facility </w:t>
      </w:r>
      <w:r>
        <w:rPr>
          <w:rFonts w:ascii="Arial" w:cs="Arial" w:eastAsia="Arial" w:hAnsi="Arial"/>
          <w:sz w:val="17"/>
          <w:szCs w:val="17"/>
          <w:color w:val="auto"/>
        </w:rPr>
        <w:t>– The Railroad maintains an $800 million, 3-year receivables securitization facility (the Receivables Facility)</w:t>
      </w:r>
      <w:r>
        <w:rPr>
          <w:rFonts w:ascii="Arial" w:cs="Arial" w:eastAsia="Arial" w:hAnsi="Arial"/>
          <w:sz w:val="17"/>
          <w:szCs w:val="17"/>
          <w:b w:val="1"/>
          <w:bCs w:val="1"/>
          <w:color w:val="auto"/>
        </w:rPr>
        <w:t xml:space="preserve"> </w:t>
      </w:r>
      <w:r>
        <w:rPr>
          <w:rFonts w:ascii="Arial" w:cs="Arial" w:eastAsia="Arial" w:hAnsi="Arial"/>
          <w:sz w:val="17"/>
          <w:szCs w:val="17"/>
          <w:color w:val="auto"/>
        </w:rPr>
        <w:t>maturing in July 2022. Under the Receivables Facility, the Railroad sells most of its eligible third-party receivables to Union Pacific Receivables, Inc. (UPRI), a consolidated, wholly-owned, bankruptcy-remote subsidiary that may subsequently transfer, without recourse, an undivided interest in accounts receivable to investors. The investors have no recourse to the Railroad’s other assets except for customary warranty and indemnity claims. Creditors of the Railroad do not have recourse to the assets of UPRI.</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The amount recorded under the Receivables Facility was $400 million at both March 31, 2020, and December 31, 2019. The Receivables Facility was supported by $1.4 billion and $1.3 billion of accounts receivable as collateral at March 31, 2020, and December 31, 2019, respectively, which, as a retained interest, is included in accounts receivable, net in our Condensed Consolidated Statements of Financial Position.</w:t>
      </w:r>
    </w:p>
    <w:p>
      <w:pPr>
        <w:spacing w:after="0" w:line="15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outstanding amount the Railroad is allowed to maintain under the Receivables Facility, with a maximum of $800 million, may fluctuate based on the availability of eligible receivables and is directly affected by business volumes and credit risks, including receivables payment quality measures such as default and dilution ratios. If default or dilution ratios increase one percent, the allowable outstanding amount under the Receivables Facility would not materially change.</w:t>
      </w:r>
    </w:p>
    <w:p>
      <w:pPr>
        <w:spacing w:after="0" w:line="15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costs of the Receivables Facility include interest, which will vary based on prevailing benchmark and commercial paper rates, program fees paid to participating banks, commercial paper issuance costs, and fees of participating banks for unused commitment availability. The costs of the Receivables Facility are included in interest expense and were $3 million and $4 million for the three months ended March 31, 2020, and 2019,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 w:name="page14"/>
    <w:bookmarkEnd w:id="13"/>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Properties</w:t>
      </w:r>
    </w:p>
    <w:p>
      <w:pPr>
        <w:spacing w:after="0" w:line="19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following tables list the major categories of property and equipment, as well as the weighted-average estimated useful life for each category (in years):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0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 Except Estimated Useful Life</w:t>
            </w:r>
          </w:p>
        </w:tc>
        <w:tc>
          <w:tcPr>
            <w:tcW w:w="1320" w:type="dxa"/>
            <w:vAlign w:val="bottom"/>
            <w:tcBorders>
              <w:top w:val="single" w:sz="8" w:color="7F7F7F"/>
            </w:tcBorders>
          </w:tcPr>
          <w:p>
            <w:pPr>
              <w:spacing w:after="0"/>
              <w:rPr>
                <w:sz w:val="20"/>
                <w:szCs w:val="20"/>
                <w:color w:val="auto"/>
              </w:rPr>
            </w:pPr>
          </w:p>
        </w:tc>
        <w:tc>
          <w:tcPr>
            <w:tcW w:w="220" w:type="dxa"/>
            <w:vAlign w:val="bottom"/>
            <w:tcBorders>
              <w:top w:val="single" w:sz="8" w:color="7F7F7F"/>
            </w:tcBorders>
          </w:tcPr>
          <w:p>
            <w:pPr>
              <w:spacing w:after="0"/>
              <w:rPr>
                <w:sz w:val="20"/>
                <w:szCs w:val="20"/>
                <w:color w:val="auto"/>
              </w:rPr>
            </w:pPr>
          </w:p>
        </w:tc>
        <w:tc>
          <w:tcPr>
            <w:tcW w:w="1100" w:type="dxa"/>
            <w:vAlign w:val="bottom"/>
            <w:tcBorders>
              <w:top w:val="single" w:sz="8" w:color="7F7F7F"/>
            </w:tcBorders>
          </w:tcPr>
          <w:p>
            <w:pPr>
              <w:spacing w:after="0"/>
              <w:rPr>
                <w:sz w:val="20"/>
                <w:szCs w:val="20"/>
                <w:color w:val="auto"/>
              </w:rPr>
            </w:pPr>
          </w:p>
        </w:tc>
        <w:tc>
          <w:tcPr>
            <w:tcW w:w="520" w:type="dxa"/>
            <w:vAlign w:val="bottom"/>
            <w:tcBorders>
              <w:top w:val="single" w:sz="8" w:color="7F7F7F"/>
            </w:tcBorders>
          </w:tcPr>
          <w:p>
            <w:pPr>
              <w:spacing w:after="0"/>
              <w:rPr>
                <w:sz w:val="20"/>
                <w:szCs w:val="20"/>
                <w:color w:val="auto"/>
              </w:rPr>
            </w:pPr>
          </w:p>
        </w:tc>
        <w:tc>
          <w:tcPr>
            <w:tcW w:w="1260" w:type="dxa"/>
            <w:vAlign w:val="bottom"/>
            <w:tcBorders>
              <w:top w:val="single" w:sz="8" w:color="7F7F7F"/>
            </w:tcBorders>
            <w:gridSpan w:val="2"/>
          </w:tcPr>
          <w:p>
            <w:pPr>
              <w:jc w:val="right"/>
              <w:ind w:right="260"/>
              <w:spacing w:after="0"/>
              <w:rPr>
                <w:sz w:val="20"/>
                <w:szCs w:val="20"/>
                <w:color w:val="auto"/>
              </w:rPr>
            </w:pPr>
            <w:r>
              <w:rPr>
                <w:rFonts w:ascii="Arial" w:cs="Arial" w:eastAsia="Arial" w:hAnsi="Arial"/>
                <w:sz w:val="16"/>
                <w:szCs w:val="16"/>
                <w:i w:val="1"/>
                <w:iCs w:val="1"/>
                <w:color w:val="auto"/>
              </w:rPr>
              <w:t>Accumulated</w:t>
            </w:r>
          </w:p>
        </w:tc>
        <w:tc>
          <w:tcPr>
            <w:tcW w:w="360" w:type="dxa"/>
            <w:vAlign w:val="bottom"/>
            <w:tcBorders>
              <w:top w:val="single" w:sz="8" w:color="7F7F7F"/>
            </w:tcBorders>
          </w:tcPr>
          <w:p>
            <w:pPr>
              <w:spacing w:after="0"/>
              <w:rPr>
                <w:sz w:val="20"/>
                <w:szCs w:val="20"/>
                <w:color w:val="auto"/>
              </w:rPr>
            </w:pPr>
          </w:p>
        </w:tc>
        <w:tc>
          <w:tcPr>
            <w:tcW w:w="1400" w:type="dxa"/>
            <w:vAlign w:val="bottom"/>
            <w:tcBorders>
              <w:top w:val="single" w:sz="8" w:color="7F7F7F"/>
            </w:tcBorders>
            <w:gridSpan w:val="2"/>
          </w:tcPr>
          <w:p>
            <w:pPr>
              <w:jc w:val="right"/>
              <w:ind w:right="420"/>
              <w:spacing w:after="0"/>
              <w:rPr>
                <w:sz w:val="20"/>
                <w:szCs w:val="20"/>
                <w:color w:val="auto"/>
              </w:rPr>
            </w:pPr>
            <w:r>
              <w:rPr>
                <w:rFonts w:ascii="Arial" w:cs="Arial" w:eastAsia="Arial" w:hAnsi="Arial"/>
                <w:sz w:val="16"/>
                <w:szCs w:val="16"/>
                <w:i w:val="1"/>
                <w:iCs w:val="1"/>
                <w:color w:val="auto"/>
              </w:rPr>
              <w:t>Net Book</w:t>
            </w:r>
          </w:p>
        </w:tc>
        <w:tc>
          <w:tcPr>
            <w:tcW w:w="1180" w:type="dxa"/>
            <w:vAlign w:val="bottom"/>
            <w:tcBorders>
              <w:top w:val="single" w:sz="8" w:color="7F7F7F"/>
            </w:tcBorders>
            <w:gridSpan w:val="2"/>
          </w:tcPr>
          <w:p>
            <w:pPr>
              <w:jc w:val="right"/>
              <w:ind w:right="20"/>
              <w:spacing w:after="0"/>
              <w:rPr>
                <w:sz w:val="20"/>
                <w:szCs w:val="20"/>
                <w:color w:val="auto"/>
              </w:rPr>
            </w:pPr>
            <w:r>
              <w:rPr>
                <w:rFonts w:ascii="Arial" w:cs="Arial" w:eastAsia="Arial" w:hAnsi="Arial"/>
                <w:sz w:val="16"/>
                <w:szCs w:val="16"/>
                <w:i w:val="1"/>
                <w:iCs w:val="1"/>
                <w:color w:val="auto"/>
              </w:rPr>
              <w:t>Estimated</w:t>
            </w:r>
          </w:p>
        </w:tc>
      </w:tr>
      <w:tr>
        <w:trPr>
          <w:trHeight w:val="191"/>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As of March 31, 2020</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61"/>
              <w:spacing w:after="0"/>
              <w:rPr>
                <w:sz w:val="20"/>
                <w:szCs w:val="20"/>
                <w:color w:val="auto"/>
              </w:rPr>
            </w:pPr>
            <w:r>
              <w:rPr>
                <w:rFonts w:ascii="Arial" w:cs="Arial" w:eastAsia="Arial" w:hAnsi="Arial"/>
                <w:sz w:val="16"/>
                <w:szCs w:val="16"/>
                <w:i w:val="1"/>
                <w:iCs w:val="1"/>
                <w:color w:val="auto"/>
              </w:rPr>
              <w:t>Cost</w:t>
            </w:r>
          </w:p>
        </w:tc>
        <w:tc>
          <w:tcPr>
            <w:tcW w:w="5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i w:val="1"/>
                <w:iCs w:val="1"/>
                <w:color w:val="auto"/>
              </w:rPr>
              <w:t>Depreciation</w:t>
            </w:r>
          </w:p>
        </w:tc>
        <w:tc>
          <w:tcPr>
            <w:tcW w:w="360" w:type="dxa"/>
            <w:vAlign w:val="bottom"/>
          </w:tcPr>
          <w:p>
            <w:pPr>
              <w:spacing w:after="0"/>
              <w:rPr>
                <w:sz w:val="16"/>
                <w:szCs w:val="16"/>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6"/>
                <w:szCs w:val="16"/>
                <w:i w:val="1"/>
                <w:iCs w:val="1"/>
                <w:color w:val="auto"/>
              </w:rPr>
              <w:t>Value</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Useful Life</w:t>
            </w:r>
          </w:p>
        </w:tc>
      </w:tr>
      <w:tr>
        <w:trPr>
          <w:trHeight w:val="300"/>
        </w:trPr>
        <w:tc>
          <w:tcPr>
            <w:tcW w:w="3900" w:type="dxa"/>
            <w:vAlign w:val="bottom"/>
            <w:tcBorders>
              <w:top w:val="single" w:sz="8" w:color="7F7F7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1540" w:type="dxa"/>
            <w:vAlign w:val="bottom"/>
            <w:tcBorders>
              <w:top w:val="single" w:sz="8" w:color="7F7F7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7F7F7F"/>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rPr>
              <w:t>5,275</w:t>
            </w:r>
          </w:p>
        </w:tc>
        <w:tc>
          <w:tcPr>
            <w:tcW w:w="520" w:type="dxa"/>
            <w:vAlign w:val="bottom"/>
            <w:tcBorders>
              <w:top w:val="single" w:sz="8" w:color="7F7F7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7F7F7F"/>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N/A</w:t>
            </w:r>
          </w:p>
        </w:tc>
        <w:tc>
          <w:tcPr>
            <w:tcW w:w="36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5,275</w:t>
            </w:r>
          </w:p>
        </w:tc>
        <w:tc>
          <w:tcPr>
            <w:tcW w:w="420" w:type="dxa"/>
            <w:vAlign w:val="bottom"/>
            <w:tcBorders>
              <w:top w:val="single" w:sz="8" w:color="7F7F7F"/>
              <w:bottom w:val="single" w:sz="8" w:color="CCEEFF"/>
            </w:tcBorders>
            <w:shd w:val="clear" w:color="auto" w:fill="CCEEFF"/>
          </w:tcPr>
          <w:p>
            <w:pPr>
              <w:spacing w:after="0"/>
              <w:rPr>
                <w:sz w:val="24"/>
                <w:szCs w:val="24"/>
                <w:color w:val="auto"/>
              </w:rPr>
            </w:pPr>
          </w:p>
        </w:tc>
        <w:tc>
          <w:tcPr>
            <w:tcW w:w="1160" w:type="dxa"/>
            <w:vAlign w:val="bottom"/>
            <w:tcBorders>
              <w:top w:val="single" w:sz="8" w:color="7F7F7F"/>
              <w:bottom w:val="single" w:sz="8" w:color="CCEEFF"/>
            </w:tcBorders>
            <w:shd w:val="clear" w:color="auto" w:fill="CCEEFF"/>
          </w:tcPr>
          <w:p>
            <w:pPr>
              <w:jc w:val="center"/>
              <w:ind w:left="821"/>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24"/>
                <w:szCs w:val="24"/>
                <w:color w:val="auto"/>
              </w:rPr>
            </w:pPr>
          </w:p>
        </w:tc>
      </w:tr>
      <w:tr>
        <w:trPr>
          <w:trHeight w:val="193"/>
        </w:trPr>
        <w:tc>
          <w:tcPr>
            <w:tcW w:w="3900" w:type="dxa"/>
            <w:vAlign w:val="bottom"/>
            <w:tcBorders>
              <w:top w:val="single" w:sz="8" w:color="7F7F7F"/>
            </w:tcBorders>
          </w:tcPr>
          <w:p>
            <w:pPr>
              <w:ind w:left="40"/>
              <w:spacing w:after="0"/>
              <w:rPr>
                <w:sz w:val="20"/>
                <w:szCs w:val="20"/>
                <w:color w:val="auto"/>
              </w:rPr>
            </w:pPr>
            <w:r>
              <w:rPr>
                <w:rFonts w:ascii="Arial" w:cs="Arial" w:eastAsia="Arial" w:hAnsi="Arial"/>
                <w:sz w:val="16"/>
                <w:szCs w:val="16"/>
                <w:color w:val="auto"/>
              </w:rPr>
              <w:t>Road:</w:t>
            </w:r>
          </w:p>
        </w:tc>
        <w:tc>
          <w:tcPr>
            <w:tcW w:w="1320" w:type="dxa"/>
            <w:vAlign w:val="bottom"/>
            <w:tcBorders>
              <w:top w:val="single" w:sz="8" w:color="7F7F7F"/>
            </w:tcBorders>
          </w:tcPr>
          <w:p>
            <w:pPr>
              <w:spacing w:after="0"/>
              <w:rPr>
                <w:sz w:val="16"/>
                <w:szCs w:val="16"/>
                <w:color w:val="auto"/>
              </w:rPr>
            </w:pPr>
          </w:p>
        </w:tc>
        <w:tc>
          <w:tcPr>
            <w:tcW w:w="220" w:type="dxa"/>
            <w:vAlign w:val="bottom"/>
            <w:tcBorders>
              <w:top w:val="single" w:sz="8" w:color="7F7F7F"/>
            </w:tcBorders>
          </w:tcPr>
          <w:p>
            <w:pPr>
              <w:spacing w:after="0"/>
              <w:rPr>
                <w:sz w:val="16"/>
                <w:szCs w:val="16"/>
                <w:color w:val="auto"/>
              </w:rPr>
            </w:pPr>
          </w:p>
        </w:tc>
        <w:tc>
          <w:tcPr>
            <w:tcW w:w="1100" w:type="dxa"/>
            <w:vAlign w:val="bottom"/>
            <w:tcBorders>
              <w:top w:val="single" w:sz="8" w:color="7F7F7F"/>
            </w:tcBorders>
          </w:tcPr>
          <w:p>
            <w:pPr>
              <w:spacing w:after="0"/>
              <w:rPr>
                <w:sz w:val="16"/>
                <w:szCs w:val="16"/>
                <w:color w:val="auto"/>
              </w:rPr>
            </w:pPr>
          </w:p>
        </w:tc>
        <w:tc>
          <w:tcPr>
            <w:tcW w:w="520" w:type="dxa"/>
            <w:vAlign w:val="bottom"/>
            <w:tcBorders>
              <w:top w:val="single" w:sz="8" w:color="7F7F7F"/>
            </w:tcBorders>
          </w:tcPr>
          <w:p>
            <w:pPr>
              <w:spacing w:after="0"/>
              <w:rPr>
                <w:sz w:val="16"/>
                <w:szCs w:val="16"/>
                <w:color w:val="auto"/>
              </w:rPr>
            </w:pPr>
          </w:p>
        </w:tc>
        <w:tc>
          <w:tcPr>
            <w:tcW w:w="1000" w:type="dxa"/>
            <w:vAlign w:val="bottom"/>
            <w:tcBorders>
              <w:top w:val="single" w:sz="8" w:color="7F7F7F"/>
            </w:tcBorders>
          </w:tcPr>
          <w:p>
            <w:pPr>
              <w:spacing w:after="0"/>
              <w:rPr>
                <w:sz w:val="16"/>
                <w:szCs w:val="16"/>
                <w:color w:val="auto"/>
              </w:rPr>
            </w:pPr>
          </w:p>
        </w:tc>
        <w:tc>
          <w:tcPr>
            <w:tcW w:w="260" w:type="dxa"/>
            <w:vAlign w:val="bottom"/>
            <w:tcBorders>
              <w:top w:val="single" w:sz="8" w:color="7F7F7F"/>
            </w:tcBorders>
          </w:tcPr>
          <w:p>
            <w:pPr>
              <w:spacing w:after="0"/>
              <w:rPr>
                <w:sz w:val="16"/>
                <w:szCs w:val="16"/>
                <w:color w:val="auto"/>
              </w:rPr>
            </w:pPr>
          </w:p>
        </w:tc>
        <w:tc>
          <w:tcPr>
            <w:tcW w:w="360" w:type="dxa"/>
            <w:vAlign w:val="bottom"/>
            <w:tcBorders>
              <w:top w:val="single" w:sz="8" w:color="7F7F7F"/>
            </w:tcBorders>
          </w:tcPr>
          <w:p>
            <w:pPr>
              <w:spacing w:after="0"/>
              <w:rPr>
                <w:sz w:val="16"/>
                <w:szCs w:val="16"/>
                <w:color w:val="auto"/>
              </w:rPr>
            </w:pPr>
          </w:p>
        </w:tc>
        <w:tc>
          <w:tcPr>
            <w:tcW w:w="980" w:type="dxa"/>
            <w:vAlign w:val="bottom"/>
            <w:tcBorders>
              <w:top w:val="single" w:sz="8" w:color="7F7F7F"/>
            </w:tcBorders>
          </w:tcPr>
          <w:p>
            <w:pPr>
              <w:spacing w:after="0"/>
              <w:rPr>
                <w:sz w:val="16"/>
                <w:szCs w:val="16"/>
                <w:color w:val="auto"/>
              </w:rPr>
            </w:pPr>
          </w:p>
        </w:tc>
        <w:tc>
          <w:tcPr>
            <w:tcW w:w="420" w:type="dxa"/>
            <w:vAlign w:val="bottom"/>
            <w:tcBorders>
              <w:top w:val="single" w:sz="8" w:color="7F7F7F"/>
            </w:tcBorders>
          </w:tcPr>
          <w:p>
            <w:pPr>
              <w:spacing w:after="0"/>
              <w:rPr>
                <w:sz w:val="16"/>
                <w:szCs w:val="16"/>
                <w:color w:val="auto"/>
              </w:rPr>
            </w:pPr>
          </w:p>
        </w:tc>
        <w:tc>
          <w:tcPr>
            <w:tcW w:w="1160" w:type="dxa"/>
            <w:vAlign w:val="bottom"/>
            <w:tcBorders>
              <w:top w:val="single" w:sz="8" w:color="7F7F7F"/>
            </w:tcBorders>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Rail and other track material</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17,288</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10,848</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821"/>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8"/>
                <w:szCs w:val="18"/>
                <w:color w:val="auto"/>
              </w:rPr>
            </w:pPr>
          </w:p>
        </w:tc>
      </w:tr>
      <w:tr>
        <w:trPr>
          <w:trHeight w:val="207"/>
        </w:trPr>
        <w:tc>
          <w:tcPr>
            <w:tcW w:w="3900" w:type="dxa"/>
            <w:vAlign w:val="bottom"/>
          </w:tcPr>
          <w:p>
            <w:pPr>
              <w:ind w:left="140"/>
              <w:spacing w:after="0"/>
              <w:rPr>
                <w:sz w:val="20"/>
                <w:szCs w:val="20"/>
                <w:color w:val="auto"/>
              </w:rPr>
            </w:pPr>
            <w:r>
              <w:rPr>
                <w:rFonts w:ascii="Arial" w:cs="Arial" w:eastAsia="Arial" w:hAnsi="Arial"/>
                <w:sz w:val="16"/>
                <w:szCs w:val="16"/>
                <w:color w:val="auto"/>
              </w:rPr>
              <w:t>Ties</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01"/>
              <w:spacing w:after="0"/>
              <w:rPr>
                <w:sz w:val="20"/>
                <w:szCs w:val="20"/>
                <w:color w:val="auto"/>
              </w:rPr>
            </w:pPr>
            <w:r>
              <w:rPr>
                <w:rFonts w:ascii="Arial" w:cs="Arial" w:eastAsia="Arial" w:hAnsi="Arial"/>
                <w:sz w:val="16"/>
                <w:szCs w:val="16"/>
                <w:color w:val="auto"/>
              </w:rPr>
              <w:t>10,793</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3,230</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7,563</w:t>
            </w:r>
          </w:p>
        </w:tc>
        <w:tc>
          <w:tcPr>
            <w:tcW w:w="420" w:type="dxa"/>
            <w:vAlign w:val="bottom"/>
          </w:tcPr>
          <w:p>
            <w:pPr>
              <w:spacing w:after="0"/>
              <w:rPr>
                <w:sz w:val="17"/>
                <w:szCs w:val="17"/>
                <w:color w:val="auto"/>
              </w:rPr>
            </w:pPr>
          </w:p>
        </w:tc>
        <w:tc>
          <w:tcPr>
            <w:tcW w:w="1160" w:type="dxa"/>
            <w:vAlign w:val="bottom"/>
          </w:tcPr>
          <w:p>
            <w:pPr>
              <w:jc w:val="center"/>
              <w:ind w:left="821"/>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7"/>
                <w:szCs w:val="17"/>
                <w:color w:val="auto"/>
              </w:rPr>
            </w:pPr>
          </w:p>
        </w:tc>
      </w:tr>
      <w:tr>
        <w:trPr>
          <w:trHeight w:val="213"/>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Ballast</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5,798</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4,111</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821"/>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8"/>
                <w:szCs w:val="18"/>
                <w:color w:val="auto"/>
              </w:rPr>
            </w:pPr>
          </w:p>
        </w:tc>
      </w:tr>
      <w:tr>
        <w:trPr>
          <w:trHeight w:val="203"/>
        </w:trPr>
        <w:tc>
          <w:tcPr>
            <w:tcW w:w="390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Other roadway [a]</w:t>
            </w:r>
          </w:p>
        </w:tc>
        <w:tc>
          <w:tcPr>
            <w:tcW w:w="1320" w:type="dxa"/>
            <w:vAlign w:val="bottom"/>
            <w:tcBorders>
              <w:bottom w:val="single" w:sz="8" w:color="7F7F7F"/>
            </w:tcBorders>
          </w:tcPr>
          <w:p>
            <w:pPr>
              <w:spacing w:after="0"/>
              <w:rPr>
                <w:sz w:val="17"/>
                <w:szCs w:val="17"/>
                <w:color w:val="auto"/>
              </w:rPr>
            </w:pPr>
          </w:p>
        </w:tc>
        <w:tc>
          <w:tcPr>
            <w:tcW w:w="220" w:type="dxa"/>
            <w:vAlign w:val="bottom"/>
            <w:tcBorders>
              <w:bottom w:val="single" w:sz="8" w:color="7F7F7F"/>
            </w:tcBorders>
          </w:tcPr>
          <w:p>
            <w:pPr>
              <w:spacing w:after="0"/>
              <w:rPr>
                <w:sz w:val="17"/>
                <w:szCs w:val="17"/>
                <w:color w:val="auto"/>
              </w:rPr>
            </w:pPr>
          </w:p>
        </w:tc>
        <w:tc>
          <w:tcPr>
            <w:tcW w:w="1100" w:type="dxa"/>
            <w:vAlign w:val="bottom"/>
            <w:tcBorders>
              <w:bottom w:val="single" w:sz="8" w:color="7F7F7F"/>
            </w:tcBorders>
          </w:tcPr>
          <w:p>
            <w:pPr>
              <w:jc w:val="right"/>
              <w:ind w:right="301"/>
              <w:spacing w:after="0"/>
              <w:rPr>
                <w:sz w:val="20"/>
                <w:szCs w:val="20"/>
                <w:color w:val="auto"/>
              </w:rPr>
            </w:pPr>
            <w:r>
              <w:rPr>
                <w:rFonts w:ascii="Arial" w:cs="Arial" w:eastAsia="Arial" w:hAnsi="Arial"/>
                <w:sz w:val="16"/>
                <w:szCs w:val="16"/>
                <w:color w:val="auto"/>
              </w:rPr>
              <w:t>20,486</w:t>
            </w:r>
          </w:p>
        </w:tc>
        <w:tc>
          <w:tcPr>
            <w:tcW w:w="520" w:type="dxa"/>
            <w:vAlign w:val="bottom"/>
            <w:tcBorders>
              <w:bottom w:val="single" w:sz="8" w:color="7F7F7F"/>
            </w:tcBorders>
          </w:tcPr>
          <w:p>
            <w:pPr>
              <w:spacing w:after="0"/>
              <w:rPr>
                <w:sz w:val="17"/>
                <w:szCs w:val="17"/>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4,124</w:t>
            </w:r>
          </w:p>
        </w:tc>
        <w:tc>
          <w:tcPr>
            <w:tcW w:w="260" w:type="dxa"/>
            <w:vAlign w:val="bottom"/>
            <w:tcBorders>
              <w:bottom w:val="single" w:sz="8" w:color="7F7F7F"/>
            </w:tcBorders>
          </w:tcPr>
          <w:p>
            <w:pPr>
              <w:spacing w:after="0"/>
              <w:rPr>
                <w:sz w:val="17"/>
                <w:szCs w:val="17"/>
                <w:color w:val="auto"/>
              </w:rPr>
            </w:pPr>
          </w:p>
        </w:tc>
        <w:tc>
          <w:tcPr>
            <w:tcW w:w="360" w:type="dxa"/>
            <w:vAlign w:val="bottom"/>
            <w:tcBorders>
              <w:bottom w:val="single" w:sz="8" w:color="7F7F7F"/>
            </w:tcBorders>
          </w:tcPr>
          <w:p>
            <w:pPr>
              <w:spacing w:after="0"/>
              <w:rPr>
                <w:sz w:val="17"/>
                <w:szCs w:val="17"/>
                <w:color w:val="auto"/>
              </w:rPr>
            </w:pPr>
          </w:p>
        </w:tc>
        <w:tc>
          <w:tcPr>
            <w:tcW w:w="9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16,362</w:t>
            </w:r>
          </w:p>
        </w:tc>
        <w:tc>
          <w:tcPr>
            <w:tcW w:w="420" w:type="dxa"/>
            <w:vAlign w:val="bottom"/>
            <w:tcBorders>
              <w:bottom w:val="single" w:sz="8" w:color="7F7F7F"/>
            </w:tcBorders>
          </w:tcPr>
          <w:p>
            <w:pPr>
              <w:spacing w:after="0"/>
              <w:rPr>
                <w:sz w:val="17"/>
                <w:szCs w:val="17"/>
                <w:color w:val="auto"/>
              </w:rPr>
            </w:pPr>
          </w:p>
        </w:tc>
        <w:tc>
          <w:tcPr>
            <w:tcW w:w="1160" w:type="dxa"/>
            <w:vAlign w:val="bottom"/>
            <w:tcBorders>
              <w:bottom w:val="single" w:sz="8" w:color="7F7F7F"/>
            </w:tcBorders>
          </w:tcPr>
          <w:p>
            <w:pPr>
              <w:jc w:val="center"/>
              <w:ind w:left="821"/>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7"/>
                <w:szCs w:val="17"/>
                <w:color w:val="auto"/>
              </w:rPr>
            </w:pPr>
          </w:p>
        </w:tc>
      </w:tr>
      <w:tr>
        <w:trPr>
          <w:trHeight w:val="30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road</w:t>
            </w:r>
          </w:p>
        </w:tc>
        <w:tc>
          <w:tcPr>
            <w:tcW w:w="1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rPr>
              <w:t>54,365</w:t>
            </w:r>
          </w:p>
        </w:tc>
        <w:tc>
          <w:tcPr>
            <w:tcW w:w="5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15,481</w:t>
            </w:r>
          </w:p>
        </w:tc>
        <w:tc>
          <w:tcPr>
            <w:tcW w:w="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38,884</w:t>
            </w:r>
          </w:p>
        </w:tc>
        <w:tc>
          <w:tcPr>
            <w:tcW w:w="4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ind w:left="821"/>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24"/>
                <w:szCs w:val="24"/>
                <w:color w:val="auto"/>
              </w:rPr>
            </w:pPr>
          </w:p>
        </w:tc>
      </w:tr>
      <w:tr>
        <w:trPr>
          <w:trHeight w:val="193"/>
        </w:trPr>
        <w:tc>
          <w:tcPr>
            <w:tcW w:w="3900" w:type="dxa"/>
            <w:vAlign w:val="bottom"/>
            <w:tcBorders>
              <w:top w:val="single" w:sz="8" w:color="7F7F7F"/>
            </w:tcBorders>
          </w:tcPr>
          <w:p>
            <w:pPr>
              <w:ind w:left="40"/>
              <w:spacing w:after="0"/>
              <w:rPr>
                <w:sz w:val="20"/>
                <w:szCs w:val="20"/>
                <w:color w:val="auto"/>
              </w:rPr>
            </w:pPr>
            <w:r>
              <w:rPr>
                <w:rFonts w:ascii="Arial" w:cs="Arial" w:eastAsia="Arial" w:hAnsi="Arial"/>
                <w:sz w:val="16"/>
                <w:szCs w:val="16"/>
                <w:color w:val="auto"/>
              </w:rPr>
              <w:t>Equipment:</w:t>
            </w:r>
          </w:p>
        </w:tc>
        <w:tc>
          <w:tcPr>
            <w:tcW w:w="1320" w:type="dxa"/>
            <w:vAlign w:val="bottom"/>
            <w:tcBorders>
              <w:top w:val="single" w:sz="8" w:color="7F7F7F"/>
            </w:tcBorders>
          </w:tcPr>
          <w:p>
            <w:pPr>
              <w:spacing w:after="0"/>
              <w:rPr>
                <w:sz w:val="16"/>
                <w:szCs w:val="16"/>
                <w:color w:val="auto"/>
              </w:rPr>
            </w:pPr>
          </w:p>
        </w:tc>
        <w:tc>
          <w:tcPr>
            <w:tcW w:w="220" w:type="dxa"/>
            <w:vAlign w:val="bottom"/>
            <w:tcBorders>
              <w:top w:val="single" w:sz="8" w:color="7F7F7F"/>
            </w:tcBorders>
          </w:tcPr>
          <w:p>
            <w:pPr>
              <w:spacing w:after="0"/>
              <w:rPr>
                <w:sz w:val="16"/>
                <w:szCs w:val="16"/>
                <w:color w:val="auto"/>
              </w:rPr>
            </w:pPr>
          </w:p>
        </w:tc>
        <w:tc>
          <w:tcPr>
            <w:tcW w:w="1100" w:type="dxa"/>
            <w:vAlign w:val="bottom"/>
            <w:tcBorders>
              <w:top w:val="single" w:sz="8" w:color="7F7F7F"/>
            </w:tcBorders>
          </w:tcPr>
          <w:p>
            <w:pPr>
              <w:spacing w:after="0"/>
              <w:rPr>
                <w:sz w:val="16"/>
                <w:szCs w:val="16"/>
                <w:color w:val="auto"/>
              </w:rPr>
            </w:pPr>
          </w:p>
        </w:tc>
        <w:tc>
          <w:tcPr>
            <w:tcW w:w="520" w:type="dxa"/>
            <w:vAlign w:val="bottom"/>
            <w:tcBorders>
              <w:top w:val="single" w:sz="8" w:color="7F7F7F"/>
            </w:tcBorders>
          </w:tcPr>
          <w:p>
            <w:pPr>
              <w:spacing w:after="0"/>
              <w:rPr>
                <w:sz w:val="16"/>
                <w:szCs w:val="16"/>
                <w:color w:val="auto"/>
              </w:rPr>
            </w:pPr>
          </w:p>
        </w:tc>
        <w:tc>
          <w:tcPr>
            <w:tcW w:w="1000" w:type="dxa"/>
            <w:vAlign w:val="bottom"/>
            <w:tcBorders>
              <w:top w:val="single" w:sz="8" w:color="7F7F7F"/>
            </w:tcBorders>
          </w:tcPr>
          <w:p>
            <w:pPr>
              <w:spacing w:after="0"/>
              <w:rPr>
                <w:sz w:val="16"/>
                <w:szCs w:val="16"/>
                <w:color w:val="auto"/>
              </w:rPr>
            </w:pPr>
          </w:p>
        </w:tc>
        <w:tc>
          <w:tcPr>
            <w:tcW w:w="260" w:type="dxa"/>
            <w:vAlign w:val="bottom"/>
            <w:tcBorders>
              <w:top w:val="single" w:sz="8" w:color="7F7F7F"/>
            </w:tcBorders>
          </w:tcPr>
          <w:p>
            <w:pPr>
              <w:spacing w:after="0"/>
              <w:rPr>
                <w:sz w:val="16"/>
                <w:szCs w:val="16"/>
                <w:color w:val="auto"/>
              </w:rPr>
            </w:pPr>
          </w:p>
        </w:tc>
        <w:tc>
          <w:tcPr>
            <w:tcW w:w="360" w:type="dxa"/>
            <w:vAlign w:val="bottom"/>
            <w:tcBorders>
              <w:top w:val="single" w:sz="8" w:color="7F7F7F"/>
            </w:tcBorders>
          </w:tcPr>
          <w:p>
            <w:pPr>
              <w:spacing w:after="0"/>
              <w:rPr>
                <w:sz w:val="16"/>
                <w:szCs w:val="16"/>
                <w:color w:val="auto"/>
              </w:rPr>
            </w:pPr>
          </w:p>
        </w:tc>
        <w:tc>
          <w:tcPr>
            <w:tcW w:w="980" w:type="dxa"/>
            <w:vAlign w:val="bottom"/>
            <w:tcBorders>
              <w:top w:val="single" w:sz="8" w:color="7F7F7F"/>
            </w:tcBorders>
          </w:tcPr>
          <w:p>
            <w:pPr>
              <w:spacing w:after="0"/>
              <w:rPr>
                <w:sz w:val="16"/>
                <w:szCs w:val="16"/>
                <w:color w:val="auto"/>
              </w:rPr>
            </w:pPr>
          </w:p>
        </w:tc>
        <w:tc>
          <w:tcPr>
            <w:tcW w:w="420" w:type="dxa"/>
            <w:vAlign w:val="bottom"/>
            <w:tcBorders>
              <w:top w:val="single" w:sz="8" w:color="7F7F7F"/>
            </w:tcBorders>
          </w:tcPr>
          <w:p>
            <w:pPr>
              <w:spacing w:after="0"/>
              <w:rPr>
                <w:sz w:val="16"/>
                <w:szCs w:val="16"/>
                <w:color w:val="auto"/>
              </w:rPr>
            </w:pPr>
          </w:p>
        </w:tc>
        <w:tc>
          <w:tcPr>
            <w:tcW w:w="1160" w:type="dxa"/>
            <w:vAlign w:val="bottom"/>
            <w:tcBorders>
              <w:top w:val="single" w:sz="8" w:color="7F7F7F"/>
            </w:tcBorders>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Locomotives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9,456</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6,003</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821"/>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r>
      <w:tr>
        <w:trPr>
          <w:trHeight w:val="207"/>
        </w:trPr>
        <w:tc>
          <w:tcPr>
            <w:tcW w:w="3900" w:type="dxa"/>
            <w:vAlign w:val="bottom"/>
          </w:tcPr>
          <w:p>
            <w:pPr>
              <w:ind w:left="140"/>
              <w:spacing w:after="0"/>
              <w:rPr>
                <w:sz w:val="20"/>
                <w:szCs w:val="20"/>
                <w:color w:val="auto"/>
              </w:rPr>
            </w:pPr>
            <w:r>
              <w:rPr>
                <w:rFonts w:ascii="Arial" w:cs="Arial" w:eastAsia="Arial" w:hAnsi="Arial"/>
                <w:sz w:val="16"/>
                <w:szCs w:val="16"/>
                <w:color w:val="auto"/>
              </w:rPr>
              <w:t>Freight cars</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01"/>
              <w:spacing w:after="0"/>
              <w:rPr>
                <w:sz w:val="20"/>
                <w:szCs w:val="20"/>
                <w:color w:val="auto"/>
              </w:rPr>
            </w:pPr>
            <w:r>
              <w:rPr>
                <w:rFonts w:ascii="Arial" w:cs="Arial" w:eastAsia="Arial" w:hAnsi="Arial"/>
                <w:sz w:val="16"/>
                <w:szCs w:val="16"/>
                <w:color w:val="auto"/>
              </w:rPr>
              <w:t>2,089</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1,306</w:t>
            </w:r>
          </w:p>
        </w:tc>
        <w:tc>
          <w:tcPr>
            <w:tcW w:w="420" w:type="dxa"/>
            <w:vAlign w:val="bottom"/>
          </w:tcPr>
          <w:p>
            <w:pPr>
              <w:spacing w:after="0"/>
              <w:rPr>
                <w:sz w:val="17"/>
                <w:szCs w:val="17"/>
                <w:color w:val="auto"/>
              </w:rPr>
            </w:pPr>
          </w:p>
        </w:tc>
        <w:tc>
          <w:tcPr>
            <w:tcW w:w="1160" w:type="dxa"/>
            <w:vAlign w:val="bottom"/>
          </w:tcPr>
          <w:p>
            <w:pPr>
              <w:jc w:val="center"/>
              <w:ind w:left="821"/>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r>
      <w:tr>
        <w:trPr>
          <w:trHeight w:val="206"/>
        </w:trPr>
        <w:tc>
          <w:tcPr>
            <w:tcW w:w="3900" w:type="dxa"/>
            <w:vAlign w:val="bottom"/>
            <w:tcBorders>
              <w:bottom w:val="single" w:sz="8" w:color="7F7F7F"/>
            </w:tcBorders>
            <w:shd w:val="clear" w:color="auto" w:fill="CCEEFF"/>
          </w:tcPr>
          <w:p>
            <w:pPr>
              <w:ind w:left="140"/>
              <w:spacing w:after="0"/>
              <w:rPr>
                <w:sz w:val="20"/>
                <w:szCs w:val="20"/>
                <w:color w:val="auto"/>
              </w:rPr>
            </w:pPr>
            <w:r>
              <w:rPr>
                <w:rFonts w:ascii="Arial" w:cs="Arial" w:eastAsia="Arial" w:hAnsi="Arial"/>
                <w:sz w:val="16"/>
                <w:szCs w:val="16"/>
                <w:color w:val="auto"/>
              </w:rPr>
              <w:t>Work equipment and other</w:t>
            </w:r>
          </w:p>
        </w:tc>
        <w:tc>
          <w:tcPr>
            <w:tcW w:w="1320" w:type="dxa"/>
            <w:vAlign w:val="bottom"/>
            <w:tcBorders>
              <w:bottom w:val="single" w:sz="8" w:color="7F7F7F"/>
            </w:tcBorders>
            <w:shd w:val="clear" w:color="auto" w:fill="CCEEFF"/>
          </w:tcPr>
          <w:p>
            <w:pPr>
              <w:spacing w:after="0"/>
              <w:rPr>
                <w:sz w:val="17"/>
                <w:szCs w:val="17"/>
                <w:color w:val="auto"/>
              </w:rPr>
            </w:pPr>
          </w:p>
        </w:tc>
        <w:tc>
          <w:tcPr>
            <w:tcW w:w="220" w:type="dxa"/>
            <w:vAlign w:val="bottom"/>
            <w:tcBorders>
              <w:bottom w:val="single" w:sz="8" w:color="7F7F7F"/>
            </w:tcBorders>
            <w:shd w:val="clear" w:color="auto" w:fill="CCEEFF"/>
          </w:tcPr>
          <w:p>
            <w:pPr>
              <w:spacing w:after="0"/>
              <w:rPr>
                <w:sz w:val="17"/>
                <w:szCs w:val="17"/>
                <w:color w:val="auto"/>
              </w:rPr>
            </w:pPr>
          </w:p>
        </w:tc>
        <w:tc>
          <w:tcPr>
            <w:tcW w:w="1100" w:type="dxa"/>
            <w:vAlign w:val="bottom"/>
            <w:tcBorders>
              <w:bottom w:val="single" w:sz="8" w:color="7F7F7F"/>
            </w:tcBorders>
            <w:shd w:val="clear" w:color="auto" w:fill="CCEEFF"/>
          </w:tcPr>
          <w:p>
            <w:pPr>
              <w:jc w:val="right"/>
              <w:ind w:right="301"/>
              <w:spacing w:after="0"/>
              <w:rPr>
                <w:sz w:val="20"/>
                <w:szCs w:val="20"/>
                <w:color w:val="auto"/>
              </w:rPr>
            </w:pPr>
            <w:r>
              <w:rPr>
                <w:rFonts w:ascii="Arial" w:cs="Arial" w:eastAsia="Arial" w:hAnsi="Arial"/>
                <w:sz w:val="16"/>
                <w:szCs w:val="16"/>
                <w:color w:val="auto"/>
              </w:rPr>
              <w:t>1,094</w:t>
            </w:r>
          </w:p>
        </w:tc>
        <w:tc>
          <w:tcPr>
            <w:tcW w:w="520" w:type="dxa"/>
            <w:vAlign w:val="bottom"/>
            <w:tcBorders>
              <w:bottom w:val="single" w:sz="8" w:color="7F7F7F"/>
            </w:tcBorders>
            <w:shd w:val="clear" w:color="auto" w:fill="CCEEFF"/>
          </w:tcPr>
          <w:p>
            <w:pPr>
              <w:spacing w:after="0"/>
              <w:rPr>
                <w:sz w:val="17"/>
                <w:szCs w:val="17"/>
                <w:color w:val="auto"/>
              </w:rPr>
            </w:pPr>
          </w:p>
        </w:tc>
        <w:tc>
          <w:tcPr>
            <w:tcW w:w="10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260" w:type="dxa"/>
            <w:vAlign w:val="bottom"/>
            <w:tcBorders>
              <w:bottom w:val="single" w:sz="8" w:color="7F7F7F"/>
            </w:tcBorders>
            <w:shd w:val="clear" w:color="auto" w:fill="CCEEFF"/>
          </w:tcPr>
          <w:p>
            <w:pPr>
              <w:spacing w:after="0"/>
              <w:rPr>
                <w:sz w:val="17"/>
                <w:szCs w:val="17"/>
                <w:color w:val="auto"/>
              </w:rPr>
            </w:pPr>
          </w:p>
        </w:tc>
        <w:tc>
          <w:tcPr>
            <w:tcW w:w="360" w:type="dxa"/>
            <w:vAlign w:val="bottom"/>
            <w:tcBorders>
              <w:bottom w:val="single" w:sz="8" w:color="7F7F7F"/>
            </w:tcBorders>
            <w:shd w:val="clear" w:color="auto" w:fill="CCEEFF"/>
          </w:tcPr>
          <w:p>
            <w:pPr>
              <w:spacing w:after="0"/>
              <w:rPr>
                <w:sz w:val="17"/>
                <w:szCs w:val="17"/>
                <w:color w:val="auto"/>
              </w:rPr>
            </w:pPr>
          </w:p>
        </w:tc>
        <w:tc>
          <w:tcPr>
            <w:tcW w:w="9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764</w:t>
            </w:r>
          </w:p>
        </w:tc>
        <w:tc>
          <w:tcPr>
            <w:tcW w:w="420" w:type="dxa"/>
            <w:vAlign w:val="bottom"/>
            <w:tcBorders>
              <w:bottom w:val="single" w:sz="8" w:color="7F7F7F"/>
            </w:tcBorders>
            <w:shd w:val="clear" w:color="auto" w:fill="CCEEFF"/>
          </w:tcPr>
          <w:p>
            <w:pPr>
              <w:spacing w:after="0"/>
              <w:rPr>
                <w:sz w:val="17"/>
                <w:szCs w:val="17"/>
                <w:color w:val="auto"/>
              </w:rPr>
            </w:pPr>
          </w:p>
        </w:tc>
        <w:tc>
          <w:tcPr>
            <w:tcW w:w="1160" w:type="dxa"/>
            <w:vAlign w:val="bottom"/>
            <w:tcBorders>
              <w:bottom w:val="single" w:sz="8" w:color="7F7F7F"/>
            </w:tcBorders>
            <w:shd w:val="clear" w:color="auto" w:fill="CCEEFF"/>
          </w:tcPr>
          <w:p>
            <w:pPr>
              <w:jc w:val="center"/>
              <w:ind w:left="821"/>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7"/>
                <w:szCs w:val="17"/>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6"/>
                <w:szCs w:val="16"/>
                <w:color w:val="auto"/>
              </w:rPr>
              <w:t>Total equipment</w:t>
            </w: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1"/>
              <w:spacing w:after="0"/>
              <w:rPr>
                <w:sz w:val="20"/>
                <w:szCs w:val="20"/>
                <w:color w:val="auto"/>
              </w:rPr>
            </w:pPr>
            <w:r>
              <w:rPr>
                <w:rFonts w:ascii="Arial" w:cs="Arial" w:eastAsia="Arial" w:hAnsi="Arial"/>
                <w:sz w:val="16"/>
                <w:szCs w:val="16"/>
                <w:color w:val="auto"/>
              </w:rPr>
              <w:t>12,639</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4,566</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8,073</w:t>
            </w:r>
          </w:p>
        </w:tc>
        <w:tc>
          <w:tcPr>
            <w:tcW w:w="420" w:type="dxa"/>
            <w:vAlign w:val="bottom"/>
          </w:tcPr>
          <w:p>
            <w:pPr>
              <w:spacing w:after="0"/>
              <w:rPr>
                <w:sz w:val="21"/>
                <w:szCs w:val="21"/>
                <w:color w:val="auto"/>
              </w:rPr>
            </w:pPr>
          </w:p>
        </w:tc>
        <w:tc>
          <w:tcPr>
            <w:tcW w:w="1180" w:type="dxa"/>
            <w:vAlign w:val="bottom"/>
            <w:gridSpan w:val="2"/>
          </w:tcPr>
          <w:p>
            <w:pPr>
              <w:jc w:val="center"/>
              <w:ind w:left="801"/>
              <w:spacing w:after="0"/>
              <w:rPr>
                <w:sz w:val="20"/>
                <w:szCs w:val="20"/>
                <w:color w:val="auto"/>
              </w:rPr>
            </w:pPr>
            <w:r>
              <w:rPr>
                <w:rFonts w:ascii="Arial" w:cs="Arial" w:eastAsia="Arial" w:hAnsi="Arial"/>
                <w:sz w:val="16"/>
                <w:szCs w:val="16"/>
                <w:color w:val="auto"/>
                <w:w w:val="97"/>
              </w:rPr>
              <w:t>N/A</w:t>
            </w:r>
          </w:p>
        </w:tc>
      </w:tr>
      <w:tr>
        <w:trPr>
          <w:trHeight w:val="52"/>
        </w:trPr>
        <w:tc>
          <w:tcPr>
            <w:tcW w:w="3900" w:type="dxa"/>
            <w:vAlign w:val="bottom"/>
            <w:tcBorders>
              <w:bottom w:val="single" w:sz="8" w:color="7F7F7F"/>
            </w:tcBorders>
          </w:tcPr>
          <w:p>
            <w:pPr>
              <w:spacing w:after="0"/>
              <w:rPr>
                <w:sz w:val="4"/>
                <w:szCs w:val="4"/>
                <w:color w:val="auto"/>
              </w:rPr>
            </w:pPr>
          </w:p>
        </w:tc>
        <w:tc>
          <w:tcPr>
            <w:tcW w:w="13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c>
          <w:tcPr>
            <w:tcW w:w="20" w:type="dxa"/>
            <w:vAlign w:val="bottom"/>
          </w:tcPr>
          <w:p>
            <w:pPr>
              <w:spacing w:after="0"/>
              <w:rPr>
                <w:sz w:val="4"/>
                <w:szCs w:val="4"/>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and other</w:t>
            </w: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1,193</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821"/>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r>
      <w:tr>
        <w:trPr>
          <w:trHeight w:val="203"/>
        </w:trPr>
        <w:tc>
          <w:tcPr>
            <w:tcW w:w="390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01"/>
              <w:spacing w:after="0"/>
              <w:rPr>
                <w:sz w:val="20"/>
                <w:szCs w:val="20"/>
                <w:color w:val="auto"/>
              </w:rPr>
            </w:pPr>
            <w:r>
              <w:rPr>
                <w:rFonts w:ascii="Arial" w:cs="Arial" w:eastAsia="Arial" w:hAnsi="Arial"/>
                <w:sz w:val="16"/>
                <w:szCs w:val="16"/>
                <w:color w:val="auto"/>
              </w:rPr>
              <w:t>1,186</w:t>
            </w:r>
          </w:p>
        </w:tc>
        <w:tc>
          <w:tcPr>
            <w:tcW w:w="5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1,186</w:t>
            </w:r>
          </w:p>
        </w:tc>
        <w:tc>
          <w:tcPr>
            <w:tcW w:w="420" w:type="dxa"/>
            <w:vAlign w:val="bottom"/>
          </w:tcPr>
          <w:p>
            <w:pPr>
              <w:spacing w:after="0"/>
              <w:rPr>
                <w:sz w:val="17"/>
                <w:szCs w:val="17"/>
                <w:color w:val="auto"/>
              </w:rPr>
            </w:pPr>
          </w:p>
        </w:tc>
        <w:tc>
          <w:tcPr>
            <w:tcW w:w="1180" w:type="dxa"/>
            <w:vAlign w:val="bottom"/>
            <w:gridSpan w:val="2"/>
          </w:tcPr>
          <w:p>
            <w:pPr>
              <w:jc w:val="center"/>
              <w:ind w:left="801"/>
              <w:spacing w:after="0"/>
              <w:rPr>
                <w:sz w:val="20"/>
                <w:szCs w:val="20"/>
                <w:color w:val="auto"/>
              </w:rPr>
            </w:pPr>
            <w:r>
              <w:rPr>
                <w:rFonts w:ascii="Arial" w:cs="Arial" w:eastAsia="Arial" w:hAnsi="Arial"/>
                <w:sz w:val="16"/>
                <w:szCs w:val="16"/>
                <w:color w:val="auto"/>
                <w:w w:val="97"/>
              </w:rPr>
              <w:t>N/A</w:t>
            </w:r>
          </w:p>
        </w:tc>
      </w:tr>
      <w:tr>
        <w:trPr>
          <w:trHeight w:val="313"/>
        </w:trPr>
        <w:tc>
          <w:tcPr>
            <w:tcW w:w="3900" w:type="dxa"/>
            <w:vAlign w:val="bottom"/>
            <w:tcBorders>
              <w:top w:val="single" w:sz="8" w:color="7F7F7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540" w:type="dxa"/>
            <w:vAlign w:val="bottom"/>
            <w:tcBorders>
              <w:top w:val="single" w:sz="8" w:color="7F7F7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7F7F7F"/>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rPr>
              <w:t>74,658</w:t>
            </w:r>
          </w:p>
        </w:tc>
        <w:tc>
          <w:tcPr>
            <w:tcW w:w="520" w:type="dxa"/>
            <w:vAlign w:val="bottom"/>
            <w:tcBorders>
              <w:top w:val="single" w:sz="8" w:color="7F7F7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20,537</w:t>
            </w:r>
          </w:p>
        </w:tc>
        <w:tc>
          <w:tcPr>
            <w:tcW w:w="260" w:type="dxa"/>
            <w:vAlign w:val="bottom"/>
            <w:tcBorders>
              <w:top w:val="single" w:sz="8" w:color="7F7F7F"/>
              <w:bottom w:val="single" w:sz="8" w:color="CCEEFF"/>
            </w:tcBorders>
            <w:shd w:val="clear" w:color="auto" w:fill="CCEEFF"/>
          </w:tcPr>
          <w:p>
            <w:pPr>
              <w:spacing w:after="0"/>
              <w:rPr>
                <w:sz w:val="24"/>
                <w:szCs w:val="24"/>
                <w:color w:val="auto"/>
              </w:rPr>
            </w:pPr>
          </w:p>
        </w:tc>
        <w:tc>
          <w:tcPr>
            <w:tcW w:w="36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54,121</w:t>
            </w:r>
          </w:p>
        </w:tc>
        <w:tc>
          <w:tcPr>
            <w:tcW w:w="420" w:type="dxa"/>
            <w:vAlign w:val="bottom"/>
            <w:tcBorders>
              <w:top w:val="single" w:sz="8" w:color="7F7F7F"/>
              <w:bottom w:val="single" w:sz="8" w:color="CCEEFF"/>
            </w:tcBorders>
            <w:shd w:val="clear" w:color="auto" w:fill="CCEEFF"/>
          </w:tcPr>
          <w:p>
            <w:pPr>
              <w:spacing w:after="0"/>
              <w:rPr>
                <w:sz w:val="24"/>
                <w:szCs w:val="24"/>
                <w:color w:val="auto"/>
              </w:rPr>
            </w:pPr>
          </w:p>
        </w:tc>
        <w:tc>
          <w:tcPr>
            <w:tcW w:w="1160" w:type="dxa"/>
            <w:vAlign w:val="bottom"/>
            <w:tcBorders>
              <w:top w:val="single" w:sz="8" w:color="7F7F7F"/>
              <w:bottom w:val="single" w:sz="8" w:color="CCEEFF"/>
            </w:tcBorders>
            <w:shd w:val="clear" w:color="auto" w:fill="CCEEFF"/>
          </w:tcPr>
          <w:p>
            <w:pPr>
              <w:jc w:val="center"/>
              <w:ind w:left="821"/>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24"/>
                <w:szCs w:val="24"/>
                <w:color w:val="auto"/>
              </w:rPr>
            </w:pPr>
          </w:p>
        </w:tc>
      </w:tr>
      <w:tr>
        <w:trPr>
          <w:trHeight w:val="426"/>
        </w:trPr>
        <w:tc>
          <w:tcPr>
            <w:tcW w:w="3900" w:type="dxa"/>
            <w:vAlign w:val="bottom"/>
            <w:tcBorders>
              <w:top w:val="single" w:sz="8" w:color="7F7F7F"/>
              <w:bottom w:val="single" w:sz="8" w:color="7F7F7F"/>
            </w:tcBorders>
          </w:tcPr>
          <w:p>
            <w:pPr>
              <w:spacing w:after="0"/>
              <w:rPr>
                <w:sz w:val="24"/>
                <w:szCs w:val="24"/>
                <w:color w:val="auto"/>
              </w:rPr>
            </w:pPr>
          </w:p>
        </w:tc>
        <w:tc>
          <w:tcPr>
            <w:tcW w:w="1320" w:type="dxa"/>
            <w:vAlign w:val="bottom"/>
            <w:tcBorders>
              <w:top w:val="single" w:sz="8" w:color="7F7F7F"/>
              <w:bottom w:val="single" w:sz="8" w:color="7F7F7F"/>
            </w:tcBorders>
          </w:tcPr>
          <w:p>
            <w:pPr>
              <w:spacing w:after="0"/>
              <w:rPr>
                <w:sz w:val="24"/>
                <w:szCs w:val="24"/>
                <w:color w:val="auto"/>
              </w:rPr>
            </w:pPr>
          </w:p>
        </w:tc>
        <w:tc>
          <w:tcPr>
            <w:tcW w:w="220" w:type="dxa"/>
            <w:vAlign w:val="bottom"/>
            <w:tcBorders>
              <w:top w:val="single" w:sz="8" w:color="7F7F7F"/>
              <w:bottom w:val="single" w:sz="8" w:color="7F7F7F"/>
            </w:tcBorders>
          </w:tcPr>
          <w:p>
            <w:pPr>
              <w:spacing w:after="0"/>
              <w:rPr>
                <w:sz w:val="24"/>
                <w:szCs w:val="24"/>
                <w:color w:val="auto"/>
              </w:rPr>
            </w:pPr>
          </w:p>
        </w:tc>
        <w:tc>
          <w:tcPr>
            <w:tcW w:w="1100" w:type="dxa"/>
            <w:vAlign w:val="bottom"/>
            <w:tcBorders>
              <w:top w:val="single" w:sz="8" w:color="7F7F7F"/>
              <w:bottom w:val="single" w:sz="8" w:color="7F7F7F"/>
            </w:tcBorders>
          </w:tcPr>
          <w:p>
            <w:pPr>
              <w:spacing w:after="0"/>
              <w:rPr>
                <w:sz w:val="24"/>
                <w:szCs w:val="24"/>
                <w:color w:val="auto"/>
              </w:rPr>
            </w:pPr>
          </w:p>
        </w:tc>
        <w:tc>
          <w:tcPr>
            <w:tcW w:w="520" w:type="dxa"/>
            <w:vAlign w:val="bottom"/>
            <w:tcBorders>
              <w:top w:val="single" w:sz="8" w:color="7F7F7F"/>
              <w:bottom w:val="single" w:sz="8" w:color="7F7F7F"/>
            </w:tcBorders>
          </w:tcPr>
          <w:p>
            <w:pPr>
              <w:spacing w:after="0"/>
              <w:rPr>
                <w:sz w:val="24"/>
                <w:szCs w:val="24"/>
                <w:color w:val="auto"/>
              </w:rPr>
            </w:pPr>
          </w:p>
        </w:tc>
        <w:tc>
          <w:tcPr>
            <w:tcW w:w="1260" w:type="dxa"/>
            <w:vAlign w:val="bottom"/>
            <w:tcBorders>
              <w:top w:val="single" w:sz="8" w:color="7F7F7F"/>
              <w:bottom w:val="single" w:sz="8" w:color="7F7F7F"/>
            </w:tcBorders>
            <w:gridSpan w:val="2"/>
          </w:tcPr>
          <w:p>
            <w:pPr>
              <w:spacing w:after="0"/>
              <w:rPr>
                <w:sz w:val="24"/>
                <w:szCs w:val="24"/>
                <w:color w:val="auto"/>
              </w:rPr>
            </w:pPr>
          </w:p>
        </w:tc>
        <w:tc>
          <w:tcPr>
            <w:tcW w:w="360" w:type="dxa"/>
            <w:vAlign w:val="bottom"/>
            <w:tcBorders>
              <w:top w:val="single" w:sz="8" w:color="7F7F7F"/>
              <w:bottom w:val="single" w:sz="8" w:color="7F7F7F"/>
            </w:tcBorders>
          </w:tcPr>
          <w:p>
            <w:pPr>
              <w:spacing w:after="0"/>
              <w:rPr>
                <w:sz w:val="24"/>
                <w:szCs w:val="24"/>
                <w:color w:val="auto"/>
              </w:rPr>
            </w:pPr>
          </w:p>
        </w:tc>
        <w:tc>
          <w:tcPr>
            <w:tcW w:w="1400" w:type="dxa"/>
            <w:vAlign w:val="bottom"/>
            <w:tcBorders>
              <w:top w:val="single" w:sz="8" w:color="7F7F7F"/>
              <w:bottom w:val="single" w:sz="8" w:color="7F7F7F"/>
            </w:tcBorders>
            <w:gridSpan w:val="2"/>
          </w:tcPr>
          <w:p>
            <w:pPr>
              <w:spacing w:after="0"/>
              <w:rPr>
                <w:sz w:val="24"/>
                <w:szCs w:val="24"/>
                <w:color w:val="auto"/>
              </w:rPr>
            </w:pPr>
          </w:p>
        </w:tc>
        <w:tc>
          <w:tcPr>
            <w:tcW w:w="1160" w:type="dxa"/>
            <w:vAlign w:val="bottom"/>
            <w:tcBorders>
              <w:top w:val="single" w:sz="8" w:color="7F7F7F"/>
              <w:bottom w:val="single" w:sz="8" w:color="7F7F7F"/>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Millions, Except Estimated Useful Life</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i w:val="1"/>
                <w:iCs w:val="1"/>
                <w:color w:val="auto"/>
              </w:rPr>
              <w:t>Accumulated</w:t>
            </w:r>
          </w:p>
        </w:tc>
        <w:tc>
          <w:tcPr>
            <w:tcW w:w="360" w:type="dxa"/>
            <w:vAlign w:val="bottom"/>
          </w:tcPr>
          <w:p>
            <w:pPr>
              <w:spacing w:after="0"/>
              <w:rPr>
                <w:sz w:val="17"/>
                <w:szCs w:val="17"/>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6"/>
                <w:szCs w:val="16"/>
                <w:i w:val="1"/>
                <w:iCs w:val="1"/>
                <w:color w:val="auto"/>
              </w:rPr>
              <w:t>Net Book</w:t>
            </w: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Estimated</w:t>
            </w:r>
          </w:p>
        </w:tc>
        <w:tc>
          <w:tcPr>
            <w:tcW w:w="20" w:type="dxa"/>
            <w:vAlign w:val="bottom"/>
          </w:tcPr>
          <w:p>
            <w:pPr>
              <w:spacing w:after="0"/>
              <w:rPr>
                <w:sz w:val="17"/>
                <w:szCs w:val="17"/>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6"/>
                <w:szCs w:val="16"/>
                <w:i w:val="1"/>
                <w:iCs w:val="1"/>
                <w:color w:val="auto"/>
              </w:rPr>
              <w:t>As of December 31, 2019</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ind w:right="261"/>
              <w:spacing w:after="0"/>
              <w:rPr>
                <w:sz w:val="20"/>
                <w:szCs w:val="20"/>
                <w:color w:val="auto"/>
              </w:rPr>
            </w:pPr>
            <w:r>
              <w:rPr>
                <w:rFonts w:ascii="Arial" w:cs="Arial" w:eastAsia="Arial" w:hAnsi="Arial"/>
                <w:sz w:val="16"/>
                <w:szCs w:val="16"/>
                <w:i w:val="1"/>
                <w:iCs w:val="1"/>
                <w:color w:val="auto"/>
              </w:rPr>
              <w:t>Cost</w:t>
            </w:r>
          </w:p>
        </w:tc>
        <w:tc>
          <w:tcPr>
            <w:tcW w:w="52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i w:val="1"/>
                <w:iCs w:val="1"/>
                <w:color w:val="auto"/>
              </w:rPr>
              <w:t>Depreciation</w:t>
            </w:r>
          </w:p>
        </w:tc>
        <w:tc>
          <w:tcPr>
            <w:tcW w:w="360" w:type="dxa"/>
            <w:vAlign w:val="bottom"/>
          </w:tcPr>
          <w:p>
            <w:pPr>
              <w:spacing w:after="0"/>
              <w:rPr>
                <w:sz w:val="16"/>
                <w:szCs w:val="16"/>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6"/>
                <w:szCs w:val="16"/>
                <w:i w:val="1"/>
                <w:iCs w:val="1"/>
                <w:color w:val="auto"/>
              </w:rPr>
              <w:t>Value</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Useful Life</w:t>
            </w:r>
          </w:p>
        </w:tc>
      </w:tr>
      <w:tr>
        <w:trPr>
          <w:trHeight w:val="300"/>
        </w:trPr>
        <w:tc>
          <w:tcPr>
            <w:tcW w:w="3900" w:type="dxa"/>
            <w:vAlign w:val="bottom"/>
            <w:tcBorders>
              <w:top w:val="single" w:sz="8" w:color="7F7F7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1540" w:type="dxa"/>
            <w:vAlign w:val="bottom"/>
            <w:tcBorders>
              <w:top w:val="single" w:sz="8" w:color="7F7F7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7F7F7F"/>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rPr>
              <w:t>5,276</w:t>
            </w:r>
          </w:p>
        </w:tc>
        <w:tc>
          <w:tcPr>
            <w:tcW w:w="520" w:type="dxa"/>
            <w:vAlign w:val="bottom"/>
            <w:tcBorders>
              <w:top w:val="single" w:sz="8" w:color="7F7F7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7F7F7F"/>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N/A</w:t>
            </w:r>
          </w:p>
        </w:tc>
        <w:tc>
          <w:tcPr>
            <w:tcW w:w="36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5,276</w:t>
            </w:r>
          </w:p>
        </w:tc>
        <w:tc>
          <w:tcPr>
            <w:tcW w:w="420" w:type="dxa"/>
            <w:vAlign w:val="bottom"/>
            <w:tcBorders>
              <w:top w:val="single" w:sz="8" w:color="7F7F7F"/>
              <w:bottom w:val="single" w:sz="8" w:color="CCEEFF"/>
            </w:tcBorders>
            <w:shd w:val="clear" w:color="auto" w:fill="CCEEFF"/>
          </w:tcPr>
          <w:p>
            <w:pPr>
              <w:spacing w:after="0"/>
              <w:rPr>
                <w:sz w:val="24"/>
                <w:szCs w:val="24"/>
                <w:color w:val="auto"/>
              </w:rPr>
            </w:pPr>
          </w:p>
        </w:tc>
        <w:tc>
          <w:tcPr>
            <w:tcW w:w="1160" w:type="dxa"/>
            <w:vAlign w:val="bottom"/>
            <w:tcBorders>
              <w:top w:val="single" w:sz="8" w:color="7F7F7F"/>
              <w:bottom w:val="single" w:sz="8" w:color="CCEEFF"/>
            </w:tcBorders>
            <w:shd w:val="clear" w:color="auto" w:fill="CCEEFF"/>
          </w:tcPr>
          <w:p>
            <w:pPr>
              <w:jc w:val="center"/>
              <w:ind w:left="821"/>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24"/>
                <w:szCs w:val="24"/>
                <w:color w:val="auto"/>
              </w:rPr>
            </w:pPr>
          </w:p>
        </w:tc>
      </w:tr>
      <w:tr>
        <w:trPr>
          <w:trHeight w:val="193"/>
        </w:trPr>
        <w:tc>
          <w:tcPr>
            <w:tcW w:w="3900" w:type="dxa"/>
            <w:vAlign w:val="bottom"/>
            <w:tcBorders>
              <w:top w:val="single" w:sz="8" w:color="7F7F7F"/>
            </w:tcBorders>
          </w:tcPr>
          <w:p>
            <w:pPr>
              <w:ind w:left="40"/>
              <w:spacing w:after="0"/>
              <w:rPr>
                <w:sz w:val="20"/>
                <w:szCs w:val="20"/>
                <w:color w:val="auto"/>
              </w:rPr>
            </w:pPr>
            <w:r>
              <w:rPr>
                <w:rFonts w:ascii="Arial" w:cs="Arial" w:eastAsia="Arial" w:hAnsi="Arial"/>
                <w:sz w:val="16"/>
                <w:szCs w:val="16"/>
                <w:color w:val="auto"/>
              </w:rPr>
              <w:t>Road:</w:t>
            </w:r>
          </w:p>
        </w:tc>
        <w:tc>
          <w:tcPr>
            <w:tcW w:w="1320" w:type="dxa"/>
            <w:vAlign w:val="bottom"/>
            <w:tcBorders>
              <w:top w:val="single" w:sz="8" w:color="7F7F7F"/>
            </w:tcBorders>
          </w:tcPr>
          <w:p>
            <w:pPr>
              <w:spacing w:after="0"/>
              <w:rPr>
                <w:sz w:val="16"/>
                <w:szCs w:val="16"/>
                <w:color w:val="auto"/>
              </w:rPr>
            </w:pPr>
          </w:p>
        </w:tc>
        <w:tc>
          <w:tcPr>
            <w:tcW w:w="220" w:type="dxa"/>
            <w:vAlign w:val="bottom"/>
            <w:tcBorders>
              <w:top w:val="single" w:sz="8" w:color="7F7F7F"/>
            </w:tcBorders>
          </w:tcPr>
          <w:p>
            <w:pPr>
              <w:spacing w:after="0"/>
              <w:rPr>
                <w:sz w:val="16"/>
                <w:szCs w:val="16"/>
                <w:color w:val="auto"/>
              </w:rPr>
            </w:pPr>
          </w:p>
        </w:tc>
        <w:tc>
          <w:tcPr>
            <w:tcW w:w="1100" w:type="dxa"/>
            <w:vAlign w:val="bottom"/>
            <w:tcBorders>
              <w:top w:val="single" w:sz="8" w:color="7F7F7F"/>
            </w:tcBorders>
          </w:tcPr>
          <w:p>
            <w:pPr>
              <w:spacing w:after="0"/>
              <w:rPr>
                <w:sz w:val="16"/>
                <w:szCs w:val="16"/>
                <w:color w:val="auto"/>
              </w:rPr>
            </w:pPr>
          </w:p>
        </w:tc>
        <w:tc>
          <w:tcPr>
            <w:tcW w:w="520" w:type="dxa"/>
            <w:vAlign w:val="bottom"/>
            <w:tcBorders>
              <w:top w:val="single" w:sz="8" w:color="7F7F7F"/>
            </w:tcBorders>
          </w:tcPr>
          <w:p>
            <w:pPr>
              <w:spacing w:after="0"/>
              <w:rPr>
                <w:sz w:val="16"/>
                <w:szCs w:val="16"/>
                <w:color w:val="auto"/>
              </w:rPr>
            </w:pPr>
          </w:p>
        </w:tc>
        <w:tc>
          <w:tcPr>
            <w:tcW w:w="1000" w:type="dxa"/>
            <w:vAlign w:val="bottom"/>
            <w:tcBorders>
              <w:top w:val="single" w:sz="8" w:color="7F7F7F"/>
            </w:tcBorders>
          </w:tcPr>
          <w:p>
            <w:pPr>
              <w:spacing w:after="0"/>
              <w:rPr>
                <w:sz w:val="16"/>
                <w:szCs w:val="16"/>
                <w:color w:val="auto"/>
              </w:rPr>
            </w:pPr>
          </w:p>
        </w:tc>
        <w:tc>
          <w:tcPr>
            <w:tcW w:w="260" w:type="dxa"/>
            <w:vAlign w:val="bottom"/>
            <w:tcBorders>
              <w:top w:val="single" w:sz="8" w:color="7F7F7F"/>
            </w:tcBorders>
          </w:tcPr>
          <w:p>
            <w:pPr>
              <w:spacing w:after="0"/>
              <w:rPr>
                <w:sz w:val="16"/>
                <w:szCs w:val="16"/>
                <w:color w:val="auto"/>
              </w:rPr>
            </w:pPr>
          </w:p>
        </w:tc>
        <w:tc>
          <w:tcPr>
            <w:tcW w:w="360" w:type="dxa"/>
            <w:vAlign w:val="bottom"/>
            <w:tcBorders>
              <w:top w:val="single" w:sz="8" w:color="7F7F7F"/>
            </w:tcBorders>
          </w:tcPr>
          <w:p>
            <w:pPr>
              <w:spacing w:after="0"/>
              <w:rPr>
                <w:sz w:val="16"/>
                <w:szCs w:val="16"/>
                <w:color w:val="auto"/>
              </w:rPr>
            </w:pPr>
          </w:p>
        </w:tc>
        <w:tc>
          <w:tcPr>
            <w:tcW w:w="980" w:type="dxa"/>
            <w:vAlign w:val="bottom"/>
            <w:tcBorders>
              <w:top w:val="single" w:sz="8" w:color="808080"/>
            </w:tcBorders>
          </w:tcPr>
          <w:p>
            <w:pPr>
              <w:spacing w:after="0"/>
              <w:rPr>
                <w:sz w:val="16"/>
                <w:szCs w:val="16"/>
                <w:color w:val="auto"/>
              </w:rPr>
            </w:pPr>
          </w:p>
        </w:tc>
        <w:tc>
          <w:tcPr>
            <w:tcW w:w="420" w:type="dxa"/>
            <w:vAlign w:val="bottom"/>
            <w:tcBorders>
              <w:top w:val="single" w:sz="8" w:color="7F7F7F"/>
            </w:tcBorders>
          </w:tcPr>
          <w:p>
            <w:pPr>
              <w:spacing w:after="0"/>
              <w:rPr>
                <w:sz w:val="16"/>
                <w:szCs w:val="16"/>
                <w:color w:val="auto"/>
              </w:rPr>
            </w:pPr>
          </w:p>
        </w:tc>
        <w:tc>
          <w:tcPr>
            <w:tcW w:w="1160" w:type="dxa"/>
            <w:vAlign w:val="bottom"/>
            <w:tcBorders>
              <w:top w:val="single" w:sz="8" w:color="7F7F7F"/>
            </w:tcBorders>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Rail and other track material</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17,178</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10,797</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821"/>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8"/>
                <w:szCs w:val="18"/>
                <w:color w:val="auto"/>
              </w:rPr>
            </w:pPr>
          </w:p>
        </w:tc>
      </w:tr>
      <w:tr>
        <w:trPr>
          <w:trHeight w:val="207"/>
        </w:trPr>
        <w:tc>
          <w:tcPr>
            <w:tcW w:w="3900" w:type="dxa"/>
            <w:vAlign w:val="bottom"/>
          </w:tcPr>
          <w:p>
            <w:pPr>
              <w:ind w:left="140"/>
              <w:spacing w:after="0"/>
              <w:rPr>
                <w:sz w:val="20"/>
                <w:szCs w:val="20"/>
                <w:color w:val="auto"/>
              </w:rPr>
            </w:pPr>
            <w:r>
              <w:rPr>
                <w:rFonts w:ascii="Arial" w:cs="Arial" w:eastAsia="Arial" w:hAnsi="Arial"/>
                <w:sz w:val="16"/>
                <w:szCs w:val="16"/>
                <w:color w:val="auto"/>
              </w:rPr>
              <w:t>Ties</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01"/>
              <w:spacing w:after="0"/>
              <w:rPr>
                <w:sz w:val="20"/>
                <w:szCs w:val="20"/>
                <w:color w:val="auto"/>
              </w:rPr>
            </w:pPr>
            <w:r>
              <w:rPr>
                <w:rFonts w:ascii="Arial" w:cs="Arial" w:eastAsia="Arial" w:hAnsi="Arial"/>
                <w:sz w:val="16"/>
                <w:szCs w:val="16"/>
                <w:color w:val="auto"/>
              </w:rPr>
              <w:t>10,693</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3,186</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7,507</w:t>
            </w:r>
          </w:p>
        </w:tc>
        <w:tc>
          <w:tcPr>
            <w:tcW w:w="420" w:type="dxa"/>
            <w:vAlign w:val="bottom"/>
          </w:tcPr>
          <w:p>
            <w:pPr>
              <w:spacing w:after="0"/>
              <w:rPr>
                <w:sz w:val="17"/>
                <w:szCs w:val="17"/>
                <w:color w:val="auto"/>
              </w:rPr>
            </w:pPr>
          </w:p>
        </w:tc>
        <w:tc>
          <w:tcPr>
            <w:tcW w:w="1160" w:type="dxa"/>
            <w:vAlign w:val="bottom"/>
          </w:tcPr>
          <w:p>
            <w:pPr>
              <w:jc w:val="center"/>
              <w:ind w:left="821"/>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7"/>
                <w:szCs w:val="17"/>
                <w:color w:val="auto"/>
              </w:rPr>
            </w:pPr>
          </w:p>
        </w:tc>
      </w:tr>
      <w:tr>
        <w:trPr>
          <w:trHeight w:val="213"/>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Ballast</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5,752</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821"/>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8"/>
                <w:szCs w:val="18"/>
                <w:color w:val="auto"/>
              </w:rPr>
            </w:pPr>
          </w:p>
        </w:tc>
      </w:tr>
      <w:tr>
        <w:trPr>
          <w:trHeight w:val="203"/>
        </w:trPr>
        <w:tc>
          <w:tcPr>
            <w:tcW w:w="390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Other roadway [a]</w:t>
            </w:r>
          </w:p>
        </w:tc>
        <w:tc>
          <w:tcPr>
            <w:tcW w:w="1320" w:type="dxa"/>
            <w:vAlign w:val="bottom"/>
            <w:tcBorders>
              <w:bottom w:val="single" w:sz="8" w:color="7F7F7F"/>
            </w:tcBorders>
          </w:tcPr>
          <w:p>
            <w:pPr>
              <w:spacing w:after="0"/>
              <w:rPr>
                <w:sz w:val="17"/>
                <w:szCs w:val="17"/>
                <w:color w:val="auto"/>
              </w:rPr>
            </w:pPr>
          </w:p>
        </w:tc>
        <w:tc>
          <w:tcPr>
            <w:tcW w:w="220" w:type="dxa"/>
            <w:vAlign w:val="bottom"/>
            <w:tcBorders>
              <w:bottom w:val="single" w:sz="8" w:color="7F7F7F"/>
            </w:tcBorders>
          </w:tcPr>
          <w:p>
            <w:pPr>
              <w:spacing w:after="0"/>
              <w:rPr>
                <w:sz w:val="17"/>
                <w:szCs w:val="17"/>
                <w:color w:val="auto"/>
              </w:rPr>
            </w:pPr>
          </w:p>
        </w:tc>
        <w:tc>
          <w:tcPr>
            <w:tcW w:w="1100" w:type="dxa"/>
            <w:vAlign w:val="bottom"/>
            <w:tcBorders>
              <w:bottom w:val="single" w:sz="8" w:color="7F7F7F"/>
            </w:tcBorders>
          </w:tcPr>
          <w:p>
            <w:pPr>
              <w:jc w:val="right"/>
              <w:ind w:right="301"/>
              <w:spacing w:after="0"/>
              <w:rPr>
                <w:sz w:val="20"/>
                <w:szCs w:val="20"/>
                <w:color w:val="auto"/>
              </w:rPr>
            </w:pPr>
            <w:r>
              <w:rPr>
                <w:rFonts w:ascii="Arial" w:cs="Arial" w:eastAsia="Arial" w:hAnsi="Arial"/>
                <w:sz w:val="16"/>
                <w:szCs w:val="16"/>
                <w:color w:val="auto"/>
              </w:rPr>
              <w:t>20,331</w:t>
            </w:r>
          </w:p>
        </w:tc>
        <w:tc>
          <w:tcPr>
            <w:tcW w:w="520" w:type="dxa"/>
            <w:vAlign w:val="bottom"/>
            <w:tcBorders>
              <w:bottom w:val="single" w:sz="8" w:color="7F7F7F"/>
            </w:tcBorders>
          </w:tcPr>
          <w:p>
            <w:pPr>
              <w:spacing w:after="0"/>
              <w:rPr>
                <w:sz w:val="17"/>
                <w:szCs w:val="17"/>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4,056</w:t>
            </w:r>
          </w:p>
        </w:tc>
        <w:tc>
          <w:tcPr>
            <w:tcW w:w="260" w:type="dxa"/>
            <w:vAlign w:val="bottom"/>
            <w:tcBorders>
              <w:bottom w:val="single" w:sz="8" w:color="7F7F7F"/>
            </w:tcBorders>
          </w:tcPr>
          <w:p>
            <w:pPr>
              <w:spacing w:after="0"/>
              <w:rPr>
                <w:sz w:val="17"/>
                <w:szCs w:val="17"/>
                <w:color w:val="auto"/>
              </w:rPr>
            </w:pPr>
          </w:p>
        </w:tc>
        <w:tc>
          <w:tcPr>
            <w:tcW w:w="360" w:type="dxa"/>
            <w:vAlign w:val="bottom"/>
            <w:tcBorders>
              <w:bottom w:val="single" w:sz="8" w:color="7F7F7F"/>
            </w:tcBorders>
          </w:tcPr>
          <w:p>
            <w:pPr>
              <w:spacing w:after="0"/>
              <w:rPr>
                <w:sz w:val="17"/>
                <w:szCs w:val="17"/>
                <w:color w:val="auto"/>
              </w:rPr>
            </w:pPr>
          </w:p>
        </w:tc>
        <w:tc>
          <w:tcPr>
            <w:tcW w:w="98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16,275</w:t>
            </w:r>
          </w:p>
        </w:tc>
        <w:tc>
          <w:tcPr>
            <w:tcW w:w="420" w:type="dxa"/>
            <w:vAlign w:val="bottom"/>
            <w:tcBorders>
              <w:bottom w:val="single" w:sz="8" w:color="7F7F7F"/>
            </w:tcBorders>
          </w:tcPr>
          <w:p>
            <w:pPr>
              <w:spacing w:after="0"/>
              <w:rPr>
                <w:sz w:val="17"/>
                <w:szCs w:val="17"/>
                <w:color w:val="auto"/>
              </w:rPr>
            </w:pPr>
          </w:p>
        </w:tc>
        <w:tc>
          <w:tcPr>
            <w:tcW w:w="1160" w:type="dxa"/>
            <w:vAlign w:val="bottom"/>
            <w:tcBorders>
              <w:bottom w:val="single" w:sz="8" w:color="7F7F7F"/>
            </w:tcBorders>
          </w:tcPr>
          <w:p>
            <w:pPr>
              <w:jc w:val="center"/>
              <w:ind w:left="821"/>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7"/>
                <w:szCs w:val="17"/>
                <w:color w:val="auto"/>
              </w:rPr>
            </w:pPr>
          </w:p>
        </w:tc>
      </w:tr>
      <w:tr>
        <w:trPr>
          <w:trHeight w:val="30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road</w:t>
            </w:r>
          </w:p>
        </w:tc>
        <w:tc>
          <w:tcPr>
            <w:tcW w:w="1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rPr>
              <w:t>53,954</w:t>
            </w:r>
          </w:p>
        </w:tc>
        <w:tc>
          <w:tcPr>
            <w:tcW w:w="5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15,292</w:t>
            </w:r>
          </w:p>
        </w:tc>
        <w:tc>
          <w:tcPr>
            <w:tcW w:w="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38,662</w:t>
            </w:r>
          </w:p>
        </w:tc>
        <w:tc>
          <w:tcPr>
            <w:tcW w:w="4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ind w:left="821"/>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24"/>
                <w:szCs w:val="24"/>
                <w:color w:val="auto"/>
              </w:rPr>
            </w:pPr>
          </w:p>
        </w:tc>
      </w:tr>
      <w:tr>
        <w:trPr>
          <w:trHeight w:val="193"/>
        </w:trPr>
        <w:tc>
          <w:tcPr>
            <w:tcW w:w="3900" w:type="dxa"/>
            <w:vAlign w:val="bottom"/>
            <w:tcBorders>
              <w:top w:val="single" w:sz="8" w:color="7F7F7F"/>
            </w:tcBorders>
          </w:tcPr>
          <w:p>
            <w:pPr>
              <w:ind w:left="40"/>
              <w:spacing w:after="0"/>
              <w:rPr>
                <w:sz w:val="20"/>
                <w:szCs w:val="20"/>
                <w:color w:val="auto"/>
              </w:rPr>
            </w:pPr>
            <w:r>
              <w:rPr>
                <w:rFonts w:ascii="Arial" w:cs="Arial" w:eastAsia="Arial" w:hAnsi="Arial"/>
                <w:sz w:val="16"/>
                <w:szCs w:val="16"/>
                <w:color w:val="auto"/>
              </w:rPr>
              <w:t>Equipment:</w:t>
            </w:r>
          </w:p>
        </w:tc>
        <w:tc>
          <w:tcPr>
            <w:tcW w:w="1320" w:type="dxa"/>
            <w:vAlign w:val="bottom"/>
            <w:tcBorders>
              <w:top w:val="single" w:sz="8" w:color="7F7F7F"/>
            </w:tcBorders>
          </w:tcPr>
          <w:p>
            <w:pPr>
              <w:spacing w:after="0"/>
              <w:rPr>
                <w:sz w:val="16"/>
                <w:szCs w:val="16"/>
                <w:color w:val="auto"/>
              </w:rPr>
            </w:pPr>
          </w:p>
        </w:tc>
        <w:tc>
          <w:tcPr>
            <w:tcW w:w="220" w:type="dxa"/>
            <w:vAlign w:val="bottom"/>
            <w:tcBorders>
              <w:top w:val="single" w:sz="8" w:color="7F7F7F"/>
            </w:tcBorders>
          </w:tcPr>
          <w:p>
            <w:pPr>
              <w:spacing w:after="0"/>
              <w:rPr>
                <w:sz w:val="16"/>
                <w:szCs w:val="16"/>
                <w:color w:val="auto"/>
              </w:rPr>
            </w:pPr>
          </w:p>
        </w:tc>
        <w:tc>
          <w:tcPr>
            <w:tcW w:w="1100" w:type="dxa"/>
            <w:vAlign w:val="bottom"/>
            <w:tcBorders>
              <w:top w:val="single" w:sz="8" w:color="7F7F7F"/>
            </w:tcBorders>
          </w:tcPr>
          <w:p>
            <w:pPr>
              <w:spacing w:after="0"/>
              <w:rPr>
                <w:sz w:val="16"/>
                <w:szCs w:val="16"/>
                <w:color w:val="auto"/>
              </w:rPr>
            </w:pPr>
          </w:p>
        </w:tc>
        <w:tc>
          <w:tcPr>
            <w:tcW w:w="520" w:type="dxa"/>
            <w:vAlign w:val="bottom"/>
            <w:tcBorders>
              <w:top w:val="single" w:sz="8" w:color="7F7F7F"/>
            </w:tcBorders>
          </w:tcPr>
          <w:p>
            <w:pPr>
              <w:spacing w:after="0"/>
              <w:rPr>
                <w:sz w:val="16"/>
                <w:szCs w:val="16"/>
                <w:color w:val="auto"/>
              </w:rPr>
            </w:pPr>
          </w:p>
        </w:tc>
        <w:tc>
          <w:tcPr>
            <w:tcW w:w="1000" w:type="dxa"/>
            <w:vAlign w:val="bottom"/>
            <w:tcBorders>
              <w:top w:val="single" w:sz="8" w:color="7F7F7F"/>
            </w:tcBorders>
          </w:tcPr>
          <w:p>
            <w:pPr>
              <w:spacing w:after="0"/>
              <w:rPr>
                <w:sz w:val="16"/>
                <w:szCs w:val="16"/>
                <w:color w:val="auto"/>
              </w:rPr>
            </w:pPr>
          </w:p>
        </w:tc>
        <w:tc>
          <w:tcPr>
            <w:tcW w:w="260" w:type="dxa"/>
            <w:vAlign w:val="bottom"/>
            <w:tcBorders>
              <w:top w:val="single" w:sz="8" w:color="7F7F7F"/>
            </w:tcBorders>
          </w:tcPr>
          <w:p>
            <w:pPr>
              <w:spacing w:after="0"/>
              <w:rPr>
                <w:sz w:val="16"/>
                <w:szCs w:val="16"/>
                <w:color w:val="auto"/>
              </w:rPr>
            </w:pPr>
          </w:p>
        </w:tc>
        <w:tc>
          <w:tcPr>
            <w:tcW w:w="360" w:type="dxa"/>
            <w:vAlign w:val="bottom"/>
            <w:tcBorders>
              <w:top w:val="single" w:sz="8" w:color="7F7F7F"/>
            </w:tcBorders>
          </w:tcPr>
          <w:p>
            <w:pPr>
              <w:spacing w:after="0"/>
              <w:rPr>
                <w:sz w:val="16"/>
                <w:szCs w:val="16"/>
                <w:color w:val="auto"/>
              </w:rPr>
            </w:pPr>
          </w:p>
        </w:tc>
        <w:tc>
          <w:tcPr>
            <w:tcW w:w="980" w:type="dxa"/>
            <w:vAlign w:val="bottom"/>
            <w:tcBorders>
              <w:top w:val="single" w:sz="8" w:color="7F7F7F"/>
            </w:tcBorders>
          </w:tcPr>
          <w:p>
            <w:pPr>
              <w:spacing w:after="0"/>
              <w:rPr>
                <w:sz w:val="16"/>
                <w:szCs w:val="16"/>
                <w:color w:val="auto"/>
              </w:rPr>
            </w:pPr>
          </w:p>
        </w:tc>
        <w:tc>
          <w:tcPr>
            <w:tcW w:w="420" w:type="dxa"/>
            <w:vAlign w:val="bottom"/>
            <w:tcBorders>
              <w:top w:val="single" w:sz="8" w:color="7F7F7F"/>
            </w:tcBorders>
          </w:tcPr>
          <w:p>
            <w:pPr>
              <w:spacing w:after="0"/>
              <w:rPr>
                <w:sz w:val="16"/>
                <w:szCs w:val="16"/>
                <w:color w:val="auto"/>
              </w:rPr>
            </w:pPr>
          </w:p>
        </w:tc>
        <w:tc>
          <w:tcPr>
            <w:tcW w:w="1160" w:type="dxa"/>
            <w:vAlign w:val="bottom"/>
            <w:tcBorders>
              <w:top w:val="single" w:sz="8" w:color="7F7F7F"/>
            </w:tcBorders>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Locomotives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9,467</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6,033</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821"/>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r>
      <w:tr>
        <w:trPr>
          <w:trHeight w:val="207"/>
        </w:trPr>
        <w:tc>
          <w:tcPr>
            <w:tcW w:w="3900" w:type="dxa"/>
            <w:vAlign w:val="bottom"/>
          </w:tcPr>
          <w:p>
            <w:pPr>
              <w:ind w:left="140"/>
              <w:spacing w:after="0"/>
              <w:rPr>
                <w:sz w:val="20"/>
                <w:szCs w:val="20"/>
                <w:color w:val="auto"/>
              </w:rPr>
            </w:pPr>
            <w:r>
              <w:rPr>
                <w:rFonts w:ascii="Arial" w:cs="Arial" w:eastAsia="Arial" w:hAnsi="Arial"/>
                <w:sz w:val="16"/>
                <w:szCs w:val="16"/>
                <w:color w:val="auto"/>
              </w:rPr>
              <w:t>Freight cars</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01"/>
              <w:spacing w:after="0"/>
              <w:rPr>
                <w:sz w:val="20"/>
                <w:szCs w:val="20"/>
                <w:color w:val="auto"/>
              </w:rPr>
            </w:pPr>
            <w:r>
              <w:rPr>
                <w:rFonts w:ascii="Arial" w:cs="Arial" w:eastAsia="Arial" w:hAnsi="Arial"/>
                <w:sz w:val="16"/>
                <w:szCs w:val="16"/>
                <w:color w:val="auto"/>
              </w:rPr>
              <w:t>2,083</w:t>
            </w:r>
          </w:p>
        </w:tc>
        <w:tc>
          <w:tcPr>
            <w:tcW w:w="5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779</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1,304</w:t>
            </w:r>
          </w:p>
        </w:tc>
        <w:tc>
          <w:tcPr>
            <w:tcW w:w="420" w:type="dxa"/>
            <w:vAlign w:val="bottom"/>
          </w:tcPr>
          <w:p>
            <w:pPr>
              <w:spacing w:after="0"/>
              <w:rPr>
                <w:sz w:val="17"/>
                <w:szCs w:val="17"/>
                <w:color w:val="auto"/>
              </w:rPr>
            </w:pPr>
          </w:p>
        </w:tc>
        <w:tc>
          <w:tcPr>
            <w:tcW w:w="1160" w:type="dxa"/>
            <w:vAlign w:val="bottom"/>
          </w:tcPr>
          <w:p>
            <w:pPr>
              <w:jc w:val="center"/>
              <w:ind w:left="821"/>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7"/>
                <w:szCs w:val="17"/>
                <w:color w:val="auto"/>
              </w:rPr>
            </w:pPr>
          </w:p>
        </w:tc>
      </w:tr>
      <w:tr>
        <w:trPr>
          <w:trHeight w:val="206"/>
        </w:trPr>
        <w:tc>
          <w:tcPr>
            <w:tcW w:w="3900" w:type="dxa"/>
            <w:vAlign w:val="bottom"/>
            <w:tcBorders>
              <w:bottom w:val="single" w:sz="8" w:color="7F7F7F"/>
            </w:tcBorders>
            <w:shd w:val="clear" w:color="auto" w:fill="CCEEFF"/>
          </w:tcPr>
          <w:p>
            <w:pPr>
              <w:ind w:left="140"/>
              <w:spacing w:after="0"/>
              <w:rPr>
                <w:sz w:val="20"/>
                <w:szCs w:val="20"/>
                <w:color w:val="auto"/>
              </w:rPr>
            </w:pPr>
            <w:r>
              <w:rPr>
                <w:rFonts w:ascii="Arial" w:cs="Arial" w:eastAsia="Arial" w:hAnsi="Arial"/>
                <w:sz w:val="16"/>
                <w:szCs w:val="16"/>
                <w:color w:val="auto"/>
              </w:rPr>
              <w:t>Work equipment and other</w:t>
            </w:r>
          </w:p>
        </w:tc>
        <w:tc>
          <w:tcPr>
            <w:tcW w:w="1320" w:type="dxa"/>
            <w:vAlign w:val="bottom"/>
            <w:tcBorders>
              <w:bottom w:val="single" w:sz="8" w:color="7F7F7F"/>
            </w:tcBorders>
            <w:shd w:val="clear" w:color="auto" w:fill="CCEEFF"/>
          </w:tcPr>
          <w:p>
            <w:pPr>
              <w:spacing w:after="0"/>
              <w:rPr>
                <w:sz w:val="17"/>
                <w:szCs w:val="17"/>
                <w:color w:val="auto"/>
              </w:rPr>
            </w:pPr>
          </w:p>
        </w:tc>
        <w:tc>
          <w:tcPr>
            <w:tcW w:w="220" w:type="dxa"/>
            <w:vAlign w:val="bottom"/>
            <w:tcBorders>
              <w:bottom w:val="single" w:sz="8" w:color="808080"/>
            </w:tcBorders>
            <w:shd w:val="clear" w:color="auto" w:fill="CCEEFF"/>
          </w:tcPr>
          <w:p>
            <w:pPr>
              <w:spacing w:after="0"/>
              <w:rPr>
                <w:sz w:val="17"/>
                <w:szCs w:val="17"/>
                <w:color w:val="auto"/>
              </w:rPr>
            </w:pPr>
          </w:p>
        </w:tc>
        <w:tc>
          <w:tcPr>
            <w:tcW w:w="1100" w:type="dxa"/>
            <w:vAlign w:val="bottom"/>
            <w:tcBorders>
              <w:bottom w:val="single" w:sz="8" w:color="808080"/>
            </w:tcBorders>
            <w:shd w:val="clear" w:color="auto" w:fill="CCEEFF"/>
          </w:tcPr>
          <w:p>
            <w:pPr>
              <w:jc w:val="right"/>
              <w:ind w:right="301"/>
              <w:spacing w:after="0"/>
              <w:rPr>
                <w:sz w:val="20"/>
                <w:szCs w:val="20"/>
                <w:color w:val="auto"/>
              </w:rPr>
            </w:pPr>
            <w:r>
              <w:rPr>
                <w:rFonts w:ascii="Arial" w:cs="Arial" w:eastAsia="Arial" w:hAnsi="Arial"/>
                <w:sz w:val="16"/>
                <w:szCs w:val="16"/>
                <w:color w:val="auto"/>
              </w:rPr>
              <w:t>1,081</w:t>
            </w:r>
          </w:p>
        </w:tc>
        <w:tc>
          <w:tcPr>
            <w:tcW w:w="520" w:type="dxa"/>
            <w:vAlign w:val="bottom"/>
            <w:tcBorders>
              <w:bottom w:val="single" w:sz="8" w:color="808080"/>
            </w:tcBorders>
            <w:shd w:val="clear" w:color="auto" w:fill="CCEEFF"/>
          </w:tcPr>
          <w:p>
            <w:pPr>
              <w:spacing w:after="0"/>
              <w:rPr>
                <w:sz w:val="17"/>
                <w:szCs w:val="17"/>
                <w:color w:val="auto"/>
              </w:rPr>
            </w:pPr>
          </w:p>
        </w:tc>
        <w:tc>
          <w:tcPr>
            <w:tcW w:w="100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260" w:type="dxa"/>
            <w:vAlign w:val="bottom"/>
            <w:tcBorders>
              <w:bottom w:val="single" w:sz="8" w:color="7F7F7F"/>
            </w:tcBorders>
            <w:shd w:val="clear" w:color="auto" w:fill="CCEEFF"/>
          </w:tcPr>
          <w:p>
            <w:pPr>
              <w:spacing w:after="0"/>
              <w:rPr>
                <w:sz w:val="17"/>
                <w:szCs w:val="17"/>
                <w:color w:val="auto"/>
              </w:rPr>
            </w:pPr>
          </w:p>
        </w:tc>
        <w:tc>
          <w:tcPr>
            <w:tcW w:w="360" w:type="dxa"/>
            <w:vAlign w:val="bottom"/>
            <w:tcBorders>
              <w:bottom w:val="single" w:sz="8" w:color="7F7F7F"/>
            </w:tcBorders>
            <w:shd w:val="clear" w:color="auto" w:fill="CCEEFF"/>
          </w:tcPr>
          <w:p>
            <w:pPr>
              <w:spacing w:after="0"/>
              <w:rPr>
                <w:sz w:val="17"/>
                <w:szCs w:val="17"/>
                <w:color w:val="auto"/>
              </w:rPr>
            </w:pPr>
          </w:p>
        </w:tc>
        <w:tc>
          <w:tcPr>
            <w:tcW w:w="9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420" w:type="dxa"/>
            <w:vAlign w:val="bottom"/>
            <w:tcBorders>
              <w:bottom w:val="single" w:sz="8" w:color="7F7F7F"/>
            </w:tcBorders>
            <w:shd w:val="clear" w:color="auto" w:fill="CCEEFF"/>
          </w:tcPr>
          <w:p>
            <w:pPr>
              <w:spacing w:after="0"/>
              <w:rPr>
                <w:sz w:val="17"/>
                <w:szCs w:val="17"/>
                <w:color w:val="auto"/>
              </w:rPr>
            </w:pPr>
          </w:p>
        </w:tc>
        <w:tc>
          <w:tcPr>
            <w:tcW w:w="1160" w:type="dxa"/>
            <w:vAlign w:val="bottom"/>
            <w:tcBorders>
              <w:bottom w:val="single" w:sz="8" w:color="7F7F7F"/>
            </w:tcBorders>
            <w:shd w:val="clear" w:color="auto" w:fill="CCEEFF"/>
          </w:tcPr>
          <w:p>
            <w:pPr>
              <w:jc w:val="center"/>
              <w:ind w:left="821"/>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7"/>
                <w:szCs w:val="17"/>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6"/>
                <w:szCs w:val="16"/>
                <w:color w:val="auto"/>
              </w:rPr>
              <w:t>Total equipment</w:t>
            </w: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01"/>
              <w:spacing w:after="0"/>
              <w:rPr>
                <w:sz w:val="20"/>
                <w:szCs w:val="20"/>
                <w:color w:val="auto"/>
              </w:rPr>
            </w:pPr>
            <w:r>
              <w:rPr>
                <w:rFonts w:ascii="Arial" w:cs="Arial" w:eastAsia="Arial" w:hAnsi="Arial"/>
                <w:sz w:val="16"/>
                <w:szCs w:val="16"/>
                <w:color w:val="auto"/>
              </w:rPr>
              <w:t>12,631</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4,535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8,096</w:t>
            </w:r>
          </w:p>
        </w:tc>
        <w:tc>
          <w:tcPr>
            <w:tcW w:w="420" w:type="dxa"/>
            <w:vAlign w:val="bottom"/>
          </w:tcPr>
          <w:p>
            <w:pPr>
              <w:spacing w:after="0"/>
              <w:rPr>
                <w:sz w:val="21"/>
                <w:szCs w:val="21"/>
                <w:color w:val="auto"/>
              </w:rPr>
            </w:pPr>
          </w:p>
        </w:tc>
        <w:tc>
          <w:tcPr>
            <w:tcW w:w="1180" w:type="dxa"/>
            <w:vAlign w:val="bottom"/>
            <w:gridSpan w:val="2"/>
          </w:tcPr>
          <w:p>
            <w:pPr>
              <w:jc w:val="center"/>
              <w:ind w:left="801"/>
              <w:spacing w:after="0"/>
              <w:rPr>
                <w:sz w:val="20"/>
                <w:szCs w:val="20"/>
                <w:color w:val="auto"/>
              </w:rPr>
            </w:pPr>
            <w:r>
              <w:rPr>
                <w:rFonts w:ascii="Arial" w:cs="Arial" w:eastAsia="Arial" w:hAnsi="Arial"/>
                <w:sz w:val="16"/>
                <w:szCs w:val="16"/>
                <w:color w:val="auto"/>
                <w:w w:val="97"/>
              </w:rPr>
              <w:t>N/A</w:t>
            </w:r>
          </w:p>
        </w:tc>
      </w:tr>
      <w:tr>
        <w:trPr>
          <w:trHeight w:val="52"/>
        </w:trPr>
        <w:tc>
          <w:tcPr>
            <w:tcW w:w="3900" w:type="dxa"/>
            <w:vAlign w:val="bottom"/>
            <w:tcBorders>
              <w:bottom w:val="single" w:sz="8" w:color="7F7F7F"/>
            </w:tcBorders>
          </w:tcPr>
          <w:p>
            <w:pPr>
              <w:spacing w:after="0"/>
              <w:rPr>
                <w:sz w:val="4"/>
                <w:szCs w:val="4"/>
                <w:color w:val="auto"/>
              </w:rPr>
            </w:pPr>
          </w:p>
        </w:tc>
        <w:tc>
          <w:tcPr>
            <w:tcW w:w="132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52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1160" w:type="dxa"/>
            <w:vAlign w:val="bottom"/>
            <w:tcBorders>
              <w:bottom w:val="single" w:sz="8" w:color="7F7F7F"/>
            </w:tcBorders>
          </w:tcPr>
          <w:p>
            <w:pPr>
              <w:spacing w:after="0"/>
              <w:rPr>
                <w:sz w:val="4"/>
                <w:szCs w:val="4"/>
                <w:color w:val="auto"/>
              </w:rPr>
            </w:pPr>
          </w:p>
        </w:tc>
        <w:tc>
          <w:tcPr>
            <w:tcW w:w="20" w:type="dxa"/>
            <w:vAlign w:val="bottom"/>
          </w:tcPr>
          <w:p>
            <w:pPr>
              <w:spacing w:after="0"/>
              <w:rPr>
                <w:sz w:val="4"/>
                <w:szCs w:val="4"/>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Technology and other</w:t>
            </w: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1,136</w:t>
            </w:r>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ind w:left="821"/>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r>
      <w:tr>
        <w:trPr>
          <w:trHeight w:val="203"/>
        </w:trPr>
        <w:tc>
          <w:tcPr>
            <w:tcW w:w="390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301"/>
              <w:spacing w:after="0"/>
              <w:rPr>
                <w:sz w:val="20"/>
                <w:szCs w:val="20"/>
                <w:color w:val="auto"/>
              </w:rPr>
            </w:pPr>
            <w:r>
              <w:rPr>
                <w:rFonts w:ascii="Arial" w:cs="Arial" w:eastAsia="Arial" w:hAnsi="Arial"/>
                <w:sz w:val="16"/>
                <w:szCs w:val="16"/>
                <w:color w:val="auto"/>
              </w:rPr>
              <w:t>1,249</w:t>
            </w:r>
          </w:p>
        </w:tc>
        <w:tc>
          <w:tcPr>
            <w:tcW w:w="5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1,249</w:t>
            </w:r>
          </w:p>
        </w:tc>
        <w:tc>
          <w:tcPr>
            <w:tcW w:w="420" w:type="dxa"/>
            <w:vAlign w:val="bottom"/>
          </w:tcPr>
          <w:p>
            <w:pPr>
              <w:spacing w:after="0"/>
              <w:rPr>
                <w:sz w:val="17"/>
                <w:szCs w:val="17"/>
                <w:color w:val="auto"/>
              </w:rPr>
            </w:pPr>
          </w:p>
        </w:tc>
        <w:tc>
          <w:tcPr>
            <w:tcW w:w="1180" w:type="dxa"/>
            <w:vAlign w:val="bottom"/>
            <w:gridSpan w:val="2"/>
          </w:tcPr>
          <w:p>
            <w:pPr>
              <w:jc w:val="center"/>
              <w:ind w:left="801"/>
              <w:spacing w:after="0"/>
              <w:rPr>
                <w:sz w:val="20"/>
                <w:szCs w:val="20"/>
                <w:color w:val="auto"/>
              </w:rPr>
            </w:pPr>
            <w:r>
              <w:rPr>
                <w:rFonts w:ascii="Arial" w:cs="Arial" w:eastAsia="Arial" w:hAnsi="Arial"/>
                <w:sz w:val="16"/>
                <w:szCs w:val="16"/>
                <w:color w:val="auto"/>
                <w:w w:val="97"/>
              </w:rPr>
              <w:t>N/A</w:t>
            </w:r>
          </w:p>
        </w:tc>
      </w:tr>
      <w:tr>
        <w:trPr>
          <w:trHeight w:val="268"/>
        </w:trPr>
        <w:tc>
          <w:tcPr>
            <w:tcW w:w="3900" w:type="dxa"/>
            <w:vAlign w:val="bottom"/>
            <w:tcBorders>
              <w:top w:val="single" w:sz="8" w:color="7F7F7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540" w:type="dxa"/>
            <w:vAlign w:val="bottom"/>
            <w:tcBorders>
              <w:top w:val="single" w:sz="8" w:color="7F7F7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7F7F7F"/>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rPr>
              <w:t>74,246</w:t>
            </w:r>
          </w:p>
        </w:tc>
        <w:tc>
          <w:tcPr>
            <w:tcW w:w="520" w:type="dxa"/>
            <w:vAlign w:val="bottom"/>
            <w:tcBorders>
              <w:top w:val="single" w:sz="8" w:color="7F7F7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20,330</w:t>
            </w:r>
          </w:p>
        </w:tc>
        <w:tc>
          <w:tcPr>
            <w:tcW w:w="260" w:type="dxa"/>
            <w:vAlign w:val="bottom"/>
            <w:tcBorders>
              <w:top w:val="single" w:sz="8" w:color="7F7F7F"/>
              <w:bottom w:val="single" w:sz="8" w:color="CCEEFF"/>
            </w:tcBorders>
            <w:shd w:val="clear" w:color="auto" w:fill="CCEEFF"/>
          </w:tcPr>
          <w:p>
            <w:pPr>
              <w:spacing w:after="0"/>
              <w:rPr>
                <w:sz w:val="23"/>
                <w:szCs w:val="23"/>
                <w:color w:val="auto"/>
              </w:rPr>
            </w:pPr>
          </w:p>
        </w:tc>
        <w:tc>
          <w:tcPr>
            <w:tcW w:w="36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7F7F7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53,916</w:t>
            </w:r>
          </w:p>
        </w:tc>
        <w:tc>
          <w:tcPr>
            <w:tcW w:w="420" w:type="dxa"/>
            <w:vAlign w:val="bottom"/>
            <w:tcBorders>
              <w:top w:val="single" w:sz="8" w:color="7F7F7F"/>
              <w:bottom w:val="single" w:sz="8" w:color="CCEEFF"/>
            </w:tcBorders>
            <w:shd w:val="clear" w:color="auto" w:fill="CCEEFF"/>
          </w:tcPr>
          <w:p>
            <w:pPr>
              <w:spacing w:after="0"/>
              <w:rPr>
                <w:sz w:val="23"/>
                <w:szCs w:val="23"/>
                <w:color w:val="auto"/>
              </w:rPr>
            </w:pPr>
          </w:p>
        </w:tc>
        <w:tc>
          <w:tcPr>
            <w:tcW w:w="1160" w:type="dxa"/>
            <w:vAlign w:val="bottom"/>
            <w:tcBorders>
              <w:top w:val="single" w:sz="8" w:color="7F7F7F"/>
              <w:bottom w:val="single" w:sz="8" w:color="CCEEFF"/>
            </w:tcBorders>
            <w:shd w:val="clear" w:color="auto" w:fill="CCEEFF"/>
          </w:tcPr>
          <w:p>
            <w:pPr>
              <w:jc w:val="center"/>
              <w:ind w:left="821"/>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23"/>
                <w:szCs w:val="23"/>
                <w:color w:val="auto"/>
              </w:rPr>
            </w:pPr>
          </w:p>
        </w:tc>
      </w:tr>
      <w:tr>
        <w:trPr>
          <w:trHeight w:val="39"/>
        </w:trPr>
        <w:tc>
          <w:tcPr>
            <w:tcW w:w="3900" w:type="dxa"/>
            <w:vAlign w:val="bottom"/>
            <w:shd w:val="clear" w:color="auto" w:fill="7F7F7F"/>
          </w:tcPr>
          <w:p>
            <w:pPr>
              <w:spacing w:after="0"/>
              <w:rPr>
                <w:sz w:val="3"/>
                <w:szCs w:val="3"/>
                <w:color w:val="auto"/>
              </w:rPr>
            </w:pPr>
          </w:p>
        </w:tc>
        <w:tc>
          <w:tcPr>
            <w:tcW w:w="1320" w:type="dxa"/>
            <w:vAlign w:val="bottom"/>
            <w:shd w:val="clear" w:color="auto" w:fill="7F7F7F"/>
          </w:tcPr>
          <w:p>
            <w:pPr>
              <w:spacing w:after="0"/>
              <w:rPr>
                <w:sz w:val="3"/>
                <w:szCs w:val="3"/>
                <w:color w:val="auto"/>
              </w:rPr>
            </w:pPr>
          </w:p>
        </w:tc>
        <w:tc>
          <w:tcPr>
            <w:tcW w:w="220" w:type="dxa"/>
            <w:vAlign w:val="bottom"/>
            <w:shd w:val="clear" w:color="auto" w:fill="7F7F7F"/>
          </w:tcPr>
          <w:p>
            <w:pPr>
              <w:spacing w:after="0"/>
              <w:rPr>
                <w:sz w:val="3"/>
                <w:szCs w:val="3"/>
                <w:color w:val="auto"/>
              </w:rPr>
            </w:pPr>
          </w:p>
        </w:tc>
        <w:tc>
          <w:tcPr>
            <w:tcW w:w="1100" w:type="dxa"/>
            <w:vAlign w:val="bottom"/>
            <w:shd w:val="clear" w:color="auto" w:fill="7F7F7F"/>
          </w:tcPr>
          <w:p>
            <w:pPr>
              <w:spacing w:after="0"/>
              <w:rPr>
                <w:sz w:val="3"/>
                <w:szCs w:val="3"/>
                <w:color w:val="auto"/>
              </w:rPr>
            </w:pPr>
          </w:p>
        </w:tc>
        <w:tc>
          <w:tcPr>
            <w:tcW w:w="520" w:type="dxa"/>
            <w:vAlign w:val="bottom"/>
            <w:shd w:val="clear" w:color="auto" w:fill="7F7F7F"/>
          </w:tcPr>
          <w:p>
            <w:pPr>
              <w:spacing w:after="0"/>
              <w:rPr>
                <w:sz w:val="3"/>
                <w:szCs w:val="3"/>
                <w:color w:val="auto"/>
              </w:rPr>
            </w:pPr>
          </w:p>
        </w:tc>
        <w:tc>
          <w:tcPr>
            <w:tcW w:w="1000" w:type="dxa"/>
            <w:vAlign w:val="bottom"/>
            <w:shd w:val="clear" w:color="auto" w:fill="7F7F7F"/>
          </w:tcPr>
          <w:p>
            <w:pPr>
              <w:spacing w:after="0"/>
              <w:rPr>
                <w:sz w:val="3"/>
                <w:szCs w:val="3"/>
                <w:color w:val="auto"/>
              </w:rPr>
            </w:pPr>
          </w:p>
        </w:tc>
        <w:tc>
          <w:tcPr>
            <w:tcW w:w="260" w:type="dxa"/>
            <w:vAlign w:val="bottom"/>
            <w:shd w:val="clear" w:color="auto" w:fill="7F7F7F"/>
          </w:tcPr>
          <w:p>
            <w:pPr>
              <w:spacing w:after="0"/>
              <w:rPr>
                <w:sz w:val="3"/>
                <w:szCs w:val="3"/>
                <w:color w:val="auto"/>
              </w:rPr>
            </w:pPr>
          </w:p>
        </w:tc>
        <w:tc>
          <w:tcPr>
            <w:tcW w:w="360" w:type="dxa"/>
            <w:vAlign w:val="bottom"/>
            <w:shd w:val="clear" w:color="auto" w:fill="7F7F7F"/>
          </w:tcPr>
          <w:p>
            <w:pPr>
              <w:spacing w:after="0"/>
              <w:rPr>
                <w:sz w:val="3"/>
                <w:szCs w:val="3"/>
                <w:color w:val="auto"/>
              </w:rPr>
            </w:pPr>
          </w:p>
        </w:tc>
        <w:tc>
          <w:tcPr>
            <w:tcW w:w="980" w:type="dxa"/>
            <w:vAlign w:val="bottom"/>
            <w:shd w:val="clear" w:color="auto" w:fill="7F7F7F"/>
          </w:tcPr>
          <w:p>
            <w:pPr>
              <w:spacing w:after="0"/>
              <w:rPr>
                <w:sz w:val="3"/>
                <w:szCs w:val="3"/>
                <w:color w:val="auto"/>
              </w:rPr>
            </w:pPr>
          </w:p>
        </w:tc>
        <w:tc>
          <w:tcPr>
            <w:tcW w:w="420" w:type="dxa"/>
            <w:vAlign w:val="bottom"/>
            <w:shd w:val="clear" w:color="auto" w:fill="7F7F7F"/>
          </w:tcPr>
          <w:p>
            <w:pPr>
              <w:spacing w:after="0"/>
              <w:rPr>
                <w:sz w:val="3"/>
                <w:szCs w:val="3"/>
                <w:color w:val="auto"/>
              </w:rPr>
            </w:pPr>
          </w:p>
        </w:tc>
        <w:tc>
          <w:tcPr>
            <w:tcW w:w="1160" w:type="dxa"/>
            <w:vAlign w:val="bottom"/>
            <w:shd w:val="clear" w:color="auto" w:fill="7F7F7F"/>
          </w:tcPr>
          <w:p>
            <w:pPr>
              <w:spacing w:after="0"/>
              <w:rPr>
                <w:sz w:val="3"/>
                <w:szCs w:val="3"/>
                <w:color w:val="auto"/>
              </w:rPr>
            </w:pPr>
          </w:p>
        </w:tc>
        <w:tc>
          <w:tcPr>
            <w:tcW w:w="20" w:type="dxa"/>
            <w:vAlign w:val="bottom"/>
          </w:tcPr>
          <w:p>
            <w:pPr>
              <w:spacing w:after="0"/>
              <w:rPr>
                <w:sz w:val="3"/>
                <w:szCs w:val="3"/>
                <w:color w:val="auto"/>
              </w:rPr>
            </w:pPr>
          </w:p>
        </w:tc>
      </w:tr>
    </w:tbl>
    <w:p>
      <w:pPr>
        <w:spacing w:after="0" w:line="161"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Other roadway includes grading, bridges and tunnels, signals, buildings, and other road assets.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Accounts Payable and Other Current Liabilities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60" w:type="dxa"/>
            <w:vAlign w:val="bottom"/>
            <w:tcBorders>
              <w:top w:val="single" w:sz="8" w:color="7F7F7F"/>
            </w:tcBorders>
          </w:tcPr>
          <w:p>
            <w:pPr>
              <w:spacing w:after="0"/>
              <w:rPr>
                <w:sz w:val="20"/>
                <w:szCs w:val="20"/>
                <w:color w:val="auto"/>
              </w:rPr>
            </w:pPr>
          </w:p>
        </w:tc>
        <w:tc>
          <w:tcPr>
            <w:tcW w:w="2880" w:type="dxa"/>
            <w:vAlign w:val="bottom"/>
            <w:tcBorders>
              <w:top w:val="single" w:sz="8" w:color="7F7F7F"/>
            </w:tcBorders>
          </w:tcPr>
          <w:p>
            <w:pPr>
              <w:spacing w:after="0"/>
              <w:rPr>
                <w:sz w:val="20"/>
                <w:szCs w:val="20"/>
                <w:color w:val="auto"/>
              </w:rPr>
            </w:pPr>
          </w:p>
        </w:tc>
        <w:tc>
          <w:tcPr>
            <w:tcW w:w="980" w:type="dxa"/>
            <w:vAlign w:val="bottom"/>
            <w:tcBorders>
              <w:top w:val="single" w:sz="8" w:color="7F7F7F"/>
            </w:tcBorders>
          </w:tcPr>
          <w:p>
            <w:pPr>
              <w:jc w:val="right"/>
              <w:ind w:right="61"/>
              <w:spacing w:after="0"/>
              <w:rPr>
                <w:sz w:val="20"/>
                <w:szCs w:val="20"/>
                <w:color w:val="auto"/>
              </w:rPr>
            </w:pPr>
            <w:r>
              <w:rPr>
                <w:rFonts w:ascii="Arial" w:cs="Arial" w:eastAsia="Arial" w:hAnsi="Arial"/>
                <w:sz w:val="16"/>
                <w:szCs w:val="16"/>
                <w:b w:val="1"/>
                <w:bCs w:val="1"/>
                <w:i w:val="1"/>
                <w:iCs w:val="1"/>
                <w:color w:val="auto"/>
              </w:rPr>
              <w:t>Mar. 31,</w:t>
            </w:r>
          </w:p>
        </w:tc>
        <w:tc>
          <w:tcPr>
            <w:tcW w:w="500" w:type="dxa"/>
            <w:vAlign w:val="bottom"/>
            <w:tcBorders>
              <w:top w:val="single" w:sz="8" w:color="7F7F7F"/>
            </w:tcBorders>
          </w:tcPr>
          <w:p>
            <w:pPr>
              <w:spacing w:after="0"/>
              <w:rPr>
                <w:sz w:val="20"/>
                <w:szCs w:val="20"/>
                <w:color w:val="auto"/>
              </w:rPr>
            </w:pPr>
          </w:p>
        </w:tc>
        <w:tc>
          <w:tcPr>
            <w:tcW w:w="82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Dec. 31,</w:t>
            </w:r>
          </w:p>
        </w:tc>
      </w:tr>
      <w:tr>
        <w:trPr>
          <w:trHeight w:val="193"/>
        </w:trPr>
        <w:tc>
          <w:tcPr>
            <w:tcW w:w="606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2880" w:type="dxa"/>
            <w:vAlign w:val="bottom"/>
            <w:tcBorders>
              <w:bottom w:val="single" w:sz="8" w:color="7F7F7F"/>
            </w:tcBorders>
          </w:tcPr>
          <w:p>
            <w:pPr>
              <w:spacing w:after="0"/>
              <w:rPr>
                <w:sz w:val="16"/>
                <w:szCs w:val="16"/>
                <w:color w:val="auto"/>
              </w:rPr>
            </w:pPr>
          </w:p>
        </w:tc>
        <w:tc>
          <w:tcPr>
            <w:tcW w:w="980" w:type="dxa"/>
            <w:vAlign w:val="bottom"/>
            <w:tcBorders>
              <w:bottom w:val="single" w:sz="8" w:color="7F7F7F"/>
            </w:tcBorders>
          </w:tcPr>
          <w:p>
            <w:pPr>
              <w:jc w:val="right"/>
              <w:ind w:right="61"/>
              <w:spacing w:after="0"/>
              <w:rPr>
                <w:sz w:val="20"/>
                <w:szCs w:val="20"/>
                <w:color w:val="auto"/>
              </w:rPr>
            </w:pPr>
            <w:r>
              <w:rPr>
                <w:rFonts w:ascii="Arial" w:cs="Arial" w:eastAsia="Arial" w:hAnsi="Arial"/>
                <w:sz w:val="16"/>
                <w:szCs w:val="16"/>
                <w:b w:val="1"/>
                <w:bCs w:val="1"/>
                <w:i w:val="1"/>
                <w:iCs w:val="1"/>
                <w:color w:val="auto"/>
              </w:rPr>
              <w:t>2020</w:t>
            </w:r>
          </w:p>
        </w:tc>
        <w:tc>
          <w:tcPr>
            <w:tcW w:w="500" w:type="dxa"/>
            <w:vAlign w:val="bottom"/>
            <w:tcBorders>
              <w:bottom w:val="single" w:sz="8" w:color="7F7F7F"/>
            </w:tcBorders>
          </w:tcPr>
          <w:p>
            <w:pPr>
              <w:spacing w:after="0"/>
              <w:rPr>
                <w:sz w:val="16"/>
                <w:szCs w:val="16"/>
                <w:color w:val="auto"/>
              </w:rPr>
            </w:pP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r>
      <w:tr>
        <w:trPr>
          <w:trHeight w:val="19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and other taxes payable</w:t>
            </w:r>
          </w:p>
        </w:tc>
        <w:tc>
          <w:tcPr>
            <w:tcW w:w="288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754</w:t>
            </w:r>
          </w:p>
        </w:tc>
        <w:tc>
          <w:tcPr>
            <w:tcW w:w="5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r>
      <w:tr>
        <w:trPr>
          <w:trHeight w:val="209"/>
        </w:trPr>
        <w:tc>
          <w:tcPr>
            <w:tcW w:w="606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880" w:type="dxa"/>
            <w:vAlign w:val="bottom"/>
          </w:tcPr>
          <w:p>
            <w:pPr>
              <w:spacing w:after="0"/>
              <w:rPr>
                <w:sz w:val="18"/>
                <w:szCs w:val="18"/>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b w:val="1"/>
                <w:bCs w:val="1"/>
                <w:color w:val="auto"/>
              </w:rPr>
              <w:t>711</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211"/>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wages and vacation</w:t>
            </w:r>
          </w:p>
        </w:tc>
        <w:tc>
          <w:tcPr>
            <w:tcW w:w="28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366</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09"/>
        </w:trPr>
        <w:tc>
          <w:tcPr>
            <w:tcW w:w="6060" w:type="dxa"/>
            <w:vAlign w:val="bottom"/>
          </w:tcPr>
          <w:p>
            <w:pPr>
              <w:ind w:left="40"/>
              <w:spacing w:after="0"/>
              <w:rPr>
                <w:sz w:val="20"/>
                <w:szCs w:val="20"/>
                <w:color w:val="auto"/>
              </w:rPr>
            </w:pPr>
            <w:r>
              <w:rPr>
                <w:rFonts w:ascii="Arial" w:cs="Arial" w:eastAsia="Arial" w:hAnsi="Arial"/>
                <w:sz w:val="16"/>
                <w:szCs w:val="16"/>
                <w:color w:val="auto"/>
              </w:rPr>
              <w:t>Current operating lease liabilities (Note 16)</w:t>
            </w:r>
          </w:p>
        </w:tc>
        <w:tc>
          <w:tcPr>
            <w:tcW w:w="2880" w:type="dxa"/>
            <w:vAlign w:val="bottom"/>
          </w:tcPr>
          <w:p>
            <w:pPr>
              <w:spacing w:after="0"/>
              <w:rPr>
                <w:sz w:val="18"/>
                <w:szCs w:val="18"/>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b w:val="1"/>
                <w:bCs w:val="1"/>
                <w:color w:val="auto"/>
              </w:rPr>
              <w:t>326</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11"/>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payable</w:t>
            </w:r>
          </w:p>
        </w:tc>
        <w:tc>
          <w:tcPr>
            <w:tcW w:w="28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204</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09"/>
        </w:trPr>
        <w:tc>
          <w:tcPr>
            <w:tcW w:w="6060" w:type="dxa"/>
            <w:vAlign w:val="bottom"/>
          </w:tcPr>
          <w:p>
            <w:pPr>
              <w:ind w:left="40"/>
              <w:spacing w:after="0"/>
              <w:rPr>
                <w:sz w:val="20"/>
                <w:szCs w:val="20"/>
                <w:color w:val="auto"/>
              </w:rPr>
            </w:pPr>
            <w:r>
              <w:rPr>
                <w:rFonts w:ascii="Arial" w:cs="Arial" w:eastAsia="Arial" w:hAnsi="Arial"/>
                <w:sz w:val="16"/>
                <w:szCs w:val="16"/>
                <w:color w:val="auto"/>
              </w:rPr>
              <w:t>Accrued casualty costs</w:t>
            </w:r>
          </w:p>
        </w:tc>
        <w:tc>
          <w:tcPr>
            <w:tcW w:w="2880" w:type="dxa"/>
            <w:vAlign w:val="bottom"/>
          </w:tcPr>
          <w:p>
            <w:pPr>
              <w:spacing w:after="0"/>
              <w:rPr>
                <w:sz w:val="18"/>
                <w:szCs w:val="18"/>
                <w:color w:val="auto"/>
              </w:rPr>
            </w:pPr>
          </w:p>
        </w:tc>
        <w:tc>
          <w:tcPr>
            <w:tcW w:w="980" w:type="dxa"/>
            <w:vAlign w:val="bottom"/>
          </w:tcPr>
          <w:p>
            <w:pPr>
              <w:jc w:val="right"/>
              <w:ind w:right="101"/>
              <w:spacing w:after="0"/>
              <w:rPr>
                <w:sz w:val="20"/>
                <w:szCs w:val="20"/>
                <w:color w:val="auto"/>
              </w:rPr>
            </w:pPr>
            <w:r>
              <w:rPr>
                <w:rFonts w:ascii="Arial" w:cs="Arial" w:eastAsia="Arial" w:hAnsi="Arial"/>
                <w:sz w:val="16"/>
                <w:szCs w:val="16"/>
                <w:b w:val="1"/>
                <w:bCs w:val="1"/>
                <w:color w:val="auto"/>
              </w:rPr>
              <w:t>177</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11"/>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Equipment rents payable</w:t>
            </w:r>
          </w:p>
        </w:tc>
        <w:tc>
          <w:tcPr>
            <w:tcW w:w="28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105</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3"/>
        </w:trPr>
        <w:tc>
          <w:tcPr>
            <w:tcW w:w="606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Other</w:t>
            </w:r>
          </w:p>
        </w:tc>
        <w:tc>
          <w:tcPr>
            <w:tcW w:w="2880" w:type="dxa"/>
            <w:vAlign w:val="bottom"/>
            <w:tcBorders>
              <w:bottom w:val="single" w:sz="8" w:color="7F7F7F"/>
            </w:tcBorders>
          </w:tcPr>
          <w:p>
            <w:pPr>
              <w:spacing w:after="0"/>
              <w:rPr>
                <w:sz w:val="17"/>
                <w:szCs w:val="17"/>
                <w:color w:val="auto"/>
              </w:rPr>
            </w:pPr>
          </w:p>
        </w:tc>
        <w:tc>
          <w:tcPr>
            <w:tcW w:w="980" w:type="dxa"/>
            <w:vAlign w:val="bottom"/>
            <w:tcBorders>
              <w:bottom w:val="single" w:sz="8" w:color="7F7F7F"/>
            </w:tcBorders>
          </w:tcPr>
          <w:p>
            <w:pPr>
              <w:jc w:val="right"/>
              <w:ind w:right="101"/>
              <w:spacing w:after="0"/>
              <w:rPr>
                <w:sz w:val="20"/>
                <w:szCs w:val="20"/>
                <w:color w:val="auto"/>
              </w:rPr>
            </w:pPr>
            <w:r>
              <w:rPr>
                <w:rFonts w:ascii="Arial" w:cs="Arial" w:eastAsia="Arial" w:hAnsi="Arial"/>
                <w:sz w:val="16"/>
                <w:szCs w:val="16"/>
                <w:b w:val="1"/>
                <w:bCs w:val="1"/>
                <w:color w:val="auto"/>
              </w:rPr>
              <w:t>487</w:t>
            </w:r>
          </w:p>
        </w:tc>
        <w:tc>
          <w:tcPr>
            <w:tcW w:w="500" w:type="dxa"/>
            <w:vAlign w:val="bottom"/>
            <w:tcBorders>
              <w:bottom w:val="single" w:sz="8" w:color="7F7F7F"/>
            </w:tcBorders>
          </w:tcPr>
          <w:p>
            <w:pPr>
              <w:spacing w:after="0"/>
              <w:rPr>
                <w:sz w:val="17"/>
                <w:szCs w:val="17"/>
                <w:color w:val="auto"/>
              </w:rPr>
            </w:pP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538</w:t>
            </w:r>
          </w:p>
        </w:tc>
      </w:tr>
      <w:tr>
        <w:trPr>
          <w:trHeight w:val="268"/>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accounts payable and other current liabilities</w:t>
            </w:r>
          </w:p>
        </w:tc>
        <w:tc>
          <w:tcPr>
            <w:tcW w:w="28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3,130</w:t>
            </w:r>
          </w:p>
        </w:tc>
        <w:tc>
          <w:tcPr>
            <w:tcW w:w="50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3,094</w:t>
            </w:r>
          </w:p>
        </w:tc>
      </w:tr>
      <w:tr>
        <w:trPr>
          <w:trHeight w:val="39"/>
        </w:trPr>
        <w:tc>
          <w:tcPr>
            <w:tcW w:w="6060" w:type="dxa"/>
            <w:vAlign w:val="bottom"/>
            <w:shd w:val="clear" w:color="auto" w:fill="7F7F7F"/>
          </w:tcPr>
          <w:p>
            <w:pPr>
              <w:spacing w:after="0"/>
              <w:rPr>
                <w:sz w:val="3"/>
                <w:szCs w:val="3"/>
                <w:color w:val="auto"/>
              </w:rPr>
            </w:pPr>
          </w:p>
        </w:tc>
        <w:tc>
          <w:tcPr>
            <w:tcW w:w="2880" w:type="dxa"/>
            <w:vAlign w:val="bottom"/>
            <w:shd w:val="clear" w:color="auto" w:fill="7F7F7F"/>
          </w:tcPr>
          <w:p>
            <w:pPr>
              <w:spacing w:after="0"/>
              <w:rPr>
                <w:sz w:val="3"/>
                <w:szCs w:val="3"/>
                <w:color w:val="auto"/>
              </w:rPr>
            </w:pPr>
          </w:p>
        </w:tc>
        <w:tc>
          <w:tcPr>
            <w:tcW w:w="980" w:type="dxa"/>
            <w:vAlign w:val="bottom"/>
            <w:shd w:val="clear" w:color="auto" w:fill="7F7F7F"/>
          </w:tcPr>
          <w:p>
            <w:pPr>
              <w:spacing w:after="0"/>
              <w:rPr>
                <w:sz w:val="3"/>
                <w:szCs w:val="3"/>
                <w:color w:val="auto"/>
              </w:rPr>
            </w:pPr>
          </w:p>
        </w:tc>
        <w:tc>
          <w:tcPr>
            <w:tcW w:w="500" w:type="dxa"/>
            <w:vAlign w:val="bottom"/>
            <w:shd w:val="clear" w:color="auto" w:fill="7F7F7F"/>
          </w:tcPr>
          <w:p>
            <w:pPr>
              <w:spacing w:after="0"/>
              <w:rPr>
                <w:sz w:val="3"/>
                <w:szCs w:val="3"/>
                <w:color w:val="auto"/>
              </w:rPr>
            </w:pPr>
          </w:p>
        </w:tc>
        <w:tc>
          <w:tcPr>
            <w:tcW w:w="820" w:type="dxa"/>
            <w:vAlign w:val="bottom"/>
            <w:shd w:val="clear" w:color="auto" w:fill="7F7F7F"/>
          </w:tcPr>
          <w:p>
            <w:pPr>
              <w:spacing w:after="0"/>
              <w:rPr>
                <w:sz w:val="3"/>
                <w:szCs w:val="3"/>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Financial Instruments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Short-Term Investments </w:t>
      </w:r>
      <w:r>
        <w:rPr>
          <w:rFonts w:ascii="Arial" w:cs="Arial" w:eastAsia="Arial" w:hAnsi="Arial"/>
          <w:sz w:val="17"/>
          <w:szCs w:val="17"/>
          <w:color w:val="auto"/>
        </w:rPr>
        <w:t>– All of the Company’s short-term investments consist of time deposits and government agency securities. These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are considered Level 2 investments and are valued at amortized cost, which approximates fair value. As of March 31, 2020, the Company had $75 million of short-term investments, of which $15 million are in a trust for the purpose of providing collateral for payment of certain other long-term liabilities, and as such are reclassified as other assets. All short-term investments have a maturity of less than one year and are classified as held-to-maturity. There were no transfers out of Level 2 during the three months ended March 31, 2020.</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 The fair value of our short- and long-term debt was estimated using a market value price model, which</w:t>
      </w:r>
      <w:r>
        <w:rPr>
          <w:rFonts w:ascii="Arial" w:cs="Arial" w:eastAsia="Arial" w:hAnsi="Arial"/>
          <w:sz w:val="17"/>
          <w:szCs w:val="17"/>
          <w:b w:val="1"/>
          <w:bCs w:val="1"/>
          <w:color w:val="auto"/>
        </w:rPr>
        <w:t xml:space="preserve"> </w:t>
      </w:r>
      <w:r>
        <w:rPr>
          <w:rFonts w:ascii="Arial" w:cs="Arial" w:eastAsia="Arial" w:hAnsi="Arial"/>
          <w:sz w:val="17"/>
          <w:szCs w:val="17"/>
          <w:color w:val="auto"/>
        </w:rPr>
        <w:t>utilizes applicable U.S. Treasury rates along with current market quotes on comparable debt securities. All of the inputs used to determine the fair market value of the Corporation’s long-term debt are Level 2 inputs and obtained from an independent source. At March 31, 2020, the fair value of total debt was $29.5 billion, approximately $1.6 billion more than the carrying value. At December 31, 2019, the fair value of total debt was $27.2 billion, approximately $2.0 billion more than the carrying value. The fair value of the Corporation’s debt is a measure of its current value under present market conditions. The fair value of our cash equivalents approximates their carrying value due to the short-term maturities of these instruments.</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Debt</w:t>
      </w:r>
    </w:p>
    <w:p>
      <w:pPr>
        <w:spacing w:after="0" w:line="17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color w:val="auto"/>
        </w:rPr>
        <w:t xml:space="preserve">Credit Facilities </w:t>
      </w:r>
      <w:r>
        <w:rPr>
          <w:rFonts w:ascii="Arial" w:cs="Arial" w:eastAsia="Arial" w:hAnsi="Arial"/>
          <w:sz w:val="17"/>
          <w:szCs w:val="17"/>
          <w:color w:val="auto"/>
        </w:rPr>
        <w:t>– At March 31, 2020, we had $2.0 billion of credit available under our revolving credit facility (the Facility), which is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for general corporate purposes and supports the issuance of commercial paper. Credit facility withdrawals totaled $0 during the three months ended March 31, 2020. Commitment fees and interest rates payable under the Facility are similar to fees and rates available to comparably rated, investment-grade borrowers. The Facility allows for borrowings at floating rates based on London Interbank Offered Rates, plus a spread, depending upon credit ratings for our senior unsecured debt. The 5 year facility, set to expire on June 8, 2023, requires UPC to maintain a debt-to-EBITDA (earnings before interest, taxes, depreciation, and amortization) coverage ratio.</w:t>
      </w:r>
    </w:p>
    <w:p>
      <w:pPr>
        <w:spacing w:after="0" w:line="159"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definition of debt used for purposes of calculating the debt-to-EBITDA coverage ratio includes, among other things, certain credit arrangements, finance leases, guarantees, unfunded and vested pension benefits under Title IV of ERISA, and unamortized debt discount and deferred debt issuance costs. At March 31, 2020, the Company was in compliance with the debt-to-EBITDA coverage ratio, which allows us to carry up to $39.0 billion of debt (as defined in the Facility), and we had $29.1 billion of debt (as defined in the Facility) outstanding at that date. The Facility does not include any other financial restrictions, credit rating triggers (other than rating-dependent pricing), or any other provision that could require us to post collateral. The Facility also includes a $150 million cross-default provision and a change-of-control provision.</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During the three months ended March 31, 2020, we issued $0.9 billion and repaid $0.9 billion of commercial paper with maturities ranging from 14 to 36 days, and at March 31, 2020, we had $200 million of commercial paper outstanding. Our revolving credit facility supports our outstanding commercial paper balances, and,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5" w:name="page16"/>
    <w:bookmarkEnd w:id="15"/>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unless we change the terms of our commercial paper program, our aggregate issuance of commercial paper will not exceed the amount of borrowings available under the Facility.</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Shelf Registration Statement and Significant New Borrowings </w:t>
      </w:r>
      <w:r>
        <w:rPr>
          <w:rFonts w:ascii="Arial" w:cs="Arial" w:eastAsia="Arial" w:hAnsi="Arial"/>
          <w:sz w:val="17"/>
          <w:szCs w:val="17"/>
          <w:color w:val="auto"/>
        </w:rPr>
        <w:t>– In 2019, our Board of Directors reauthorized the issuance of up to $6 billion</w:t>
      </w:r>
      <w:r>
        <w:rPr>
          <w:rFonts w:ascii="Arial" w:cs="Arial" w:eastAsia="Arial" w:hAnsi="Arial"/>
          <w:sz w:val="17"/>
          <w:szCs w:val="17"/>
          <w:b w:val="1"/>
          <w:bCs w:val="1"/>
          <w:color w:val="auto"/>
        </w:rPr>
        <w:t xml:space="preserve"> </w:t>
      </w:r>
      <w:r>
        <w:rPr>
          <w:rFonts w:ascii="Arial" w:cs="Arial" w:eastAsia="Arial" w:hAnsi="Arial"/>
          <w:sz w:val="17"/>
          <w:szCs w:val="17"/>
          <w:color w:val="auto"/>
        </w:rPr>
        <w:t>of debt securities. Under our shelf registration, we may issue, from time to time any combination of debt securities, preferred stock, common stock, or warrants for debt securities or preferred stock in one or more offerings.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2020, we issued the following unsecured, fixed-rate debt securities under our current shelf registration</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136130"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2476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0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Date</w:t>
            </w:r>
          </w:p>
        </w:tc>
        <w:tc>
          <w:tcPr>
            <w:tcW w:w="644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Description of Securities</w:t>
            </w:r>
          </w:p>
        </w:tc>
      </w:tr>
      <w:tr>
        <w:trPr>
          <w:trHeight w:val="223"/>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31, 2020</w:t>
            </w: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$500 million of 2.150% Notes due February 5, 2027</w:t>
            </w:r>
          </w:p>
        </w:tc>
      </w:tr>
      <w:tr>
        <w:trPr>
          <w:trHeight w:val="207"/>
        </w:trPr>
        <w:tc>
          <w:tcPr>
            <w:tcW w:w="480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6"/>
                <w:szCs w:val="16"/>
                <w:color w:val="auto"/>
              </w:rPr>
              <w:t>$750 million of 2.400% Notes due February 5, 2030</w:t>
            </w:r>
          </w:p>
        </w:tc>
      </w:tr>
      <w:tr>
        <w:trPr>
          <w:trHeight w:val="226"/>
        </w:trPr>
        <w:tc>
          <w:tcPr>
            <w:tcW w:w="4800" w:type="dxa"/>
            <w:vAlign w:val="bottom"/>
            <w:shd w:val="clear" w:color="auto" w:fill="CCEEFF"/>
          </w:tcPr>
          <w:p>
            <w:pPr>
              <w:spacing w:after="0"/>
              <w:rPr>
                <w:sz w:val="19"/>
                <w:szCs w:val="19"/>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$1.0 billion of 3.250% Notes due February 5, 2050</w:t>
            </w:r>
          </w:p>
        </w:tc>
      </w:tr>
      <w:tr>
        <w:trPr>
          <w:trHeight w:val="216"/>
        </w:trPr>
        <w:tc>
          <w:tcPr>
            <w:tcW w:w="4800" w:type="dxa"/>
            <w:vAlign w:val="bottom"/>
            <w:tcBorders>
              <w:bottom w:val="single" w:sz="8" w:color="7F7F7F"/>
            </w:tcBorders>
          </w:tcPr>
          <w:p>
            <w:pPr>
              <w:spacing w:after="0"/>
              <w:rPr>
                <w:sz w:val="18"/>
                <w:szCs w:val="18"/>
                <w:color w:val="auto"/>
              </w:rPr>
            </w:pPr>
          </w:p>
        </w:tc>
        <w:tc>
          <w:tcPr>
            <w:tcW w:w="6440" w:type="dxa"/>
            <w:vAlign w:val="bottom"/>
            <w:tcBorders>
              <w:bottom w:val="single" w:sz="8" w:color="808080"/>
            </w:tcBorders>
          </w:tcPr>
          <w:p>
            <w:pPr>
              <w:spacing w:after="0"/>
              <w:rPr>
                <w:sz w:val="20"/>
                <w:szCs w:val="20"/>
                <w:color w:val="auto"/>
              </w:rPr>
            </w:pPr>
            <w:r>
              <w:rPr>
                <w:rFonts w:ascii="Arial" w:cs="Arial" w:eastAsia="Arial" w:hAnsi="Arial"/>
                <w:sz w:val="16"/>
                <w:szCs w:val="16"/>
                <w:color w:val="auto"/>
              </w:rPr>
              <w:t>$750 million of 3.750% Notes due February 5, 2070</w:t>
            </w:r>
          </w:p>
        </w:tc>
      </w:tr>
    </w:tbl>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used the net proceeds from this offering for general corporate purposes, including the repurchase of common stock pursuant to our share repurchase programs. These debt securities include change-of-control provisions. At March 31, 2020, we had remaining authority from the Board of Directors to issue up to $3.0 billion of debt securities under our shelf registration.</w:t>
      </w:r>
    </w:p>
    <w:p>
      <w:pPr>
        <w:spacing w:after="0" w:line="13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Receivables Securitization Facility </w:t>
      </w:r>
      <w:r>
        <w:rPr>
          <w:rFonts w:ascii="Arial" w:cs="Arial" w:eastAsia="Arial" w:hAnsi="Arial"/>
          <w:sz w:val="17"/>
          <w:szCs w:val="17"/>
          <w:color w:val="auto"/>
        </w:rPr>
        <w:t>– As of both March 31, 2020, and December 31, 2019, we recorded $400 million of borrowings under our</w:t>
      </w:r>
      <w:r>
        <w:rPr>
          <w:rFonts w:ascii="Arial" w:cs="Arial" w:eastAsia="Arial" w:hAnsi="Arial"/>
          <w:sz w:val="17"/>
          <w:szCs w:val="17"/>
          <w:b w:val="1"/>
          <w:bCs w:val="1"/>
          <w:color w:val="auto"/>
        </w:rPr>
        <w:t xml:space="preserve"> </w:t>
      </w:r>
      <w:r>
        <w:rPr>
          <w:rFonts w:ascii="Arial" w:cs="Arial" w:eastAsia="Arial" w:hAnsi="Arial"/>
          <w:sz w:val="17"/>
          <w:szCs w:val="17"/>
          <w:color w:val="auto"/>
        </w:rPr>
        <w:t>Receivables Facility as secured debt. (See further discussion of our receivables securitization facility in Note 10).</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Subsequent Event – </w:t>
      </w:r>
      <w:r>
        <w:rPr>
          <w:rFonts w:ascii="Arial" w:cs="Arial" w:eastAsia="Arial" w:hAnsi="Arial"/>
          <w:sz w:val="17"/>
          <w:szCs w:val="17"/>
          <w:color w:val="auto"/>
        </w:rPr>
        <w:t>On April 7, 2020, we issued the following unsecured, fixed-rate debt security under our current shelf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136130"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2476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6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Date</w:t>
            </w:r>
          </w:p>
        </w:tc>
        <w:tc>
          <w:tcPr>
            <w:tcW w:w="8380" w:type="dxa"/>
            <w:vAlign w:val="bottom"/>
            <w:tcBorders>
              <w:bottom w:val="single" w:sz="8" w:color="7F7F7F"/>
            </w:tcBorders>
            <w:gridSpan w:val="2"/>
          </w:tcPr>
          <w:p>
            <w:pPr>
              <w:ind w:left="1940"/>
              <w:spacing w:after="0"/>
              <w:rPr>
                <w:sz w:val="20"/>
                <w:szCs w:val="20"/>
                <w:color w:val="auto"/>
              </w:rPr>
            </w:pPr>
            <w:r>
              <w:rPr>
                <w:rFonts w:ascii="Arial" w:cs="Arial" w:eastAsia="Arial" w:hAnsi="Arial"/>
                <w:sz w:val="16"/>
                <w:szCs w:val="16"/>
                <w:i w:val="1"/>
                <w:iCs w:val="1"/>
                <w:color w:val="auto"/>
              </w:rPr>
              <w:t>Description of Securities</w:t>
            </w:r>
          </w:p>
        </w:tc>
      </w:tr>
      <w:tr>
        <w:trPr>
          <w:trHeight w:val="223"/>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7, 2020</w:t>
            </w:r>
          </w:p>
        </w:tc>
        <w:tc>
          <w:tcPr>
            <w:tcW w:w="8380" w:type="dxa"/>
            <w:vAlign w:val="bottom"/>
            <w:gridSpan w:val="2"/>
            <w:shd w:val="clear" w:color="auto" w:fill="CCEEFF"/>
          </w:tcPr>
          <w:p>
            <w:pPr>
              <w:ind w:left="1940"/>
              <w:spacing w:after="0"/>
              <w:rPr>
                <w:sz w:val="20"/>
                <w:szCs w:val="20"/>
                <w:color w:val="auto"/>
              </w:rPr>
            </w:pPr>
            <w:r>
              <w:rPr>
                <w:rFonts w:ascii="Arial" w:cs="Arial" w:eastAsia="Arial" w:hAnsi="Arial"/>
                <w:sz w:val="16"/>
                <w:szCs w:val="16"/>
                <w:color w:val="auto"/>
              </w:rPr>
              <w:t>$750 million of 3.250% Notes due February 5, 2050</w:t>
            </w:r>
          </w:p>
        </w:tc>
      </w:tr>
      <w:tr>
        <w:trPr>
          <w:trHeight w:val="177"/>
        </w:trPr>
        <w:tc>
          <w:tcPr>
            <w:tcW w:w="2860" w:type="dxa"/>
            <w:vAlign w:val="bottom"/>
            <w:tcBorders>
              <w:bottom w:val="single" w:sz="8" w:color="7F7F7F"/>
            </w:tcBorders>
          </w:tcPr>
          <w:p>
            <w:pPr>
              <w:spacing w:after="0"/>
              <w:rPr>
                <w:sz w:val="15"/>
                <w:szCs w:val="15"/>
                <w:color w:val="auto"/>
              </w:rPr>
            </w:pPr>
          </w:p>
        </w:tc>
        <w:tc>
          <w:tcPr>
            <w:tcW w:w="1940" w:type="dxa"/>
            <w:vAlign w:val="bottom"/>
            <w:tcBorders>
              <w:bottom w:val="single" w:sz="8" w:color="7F7F7F"/>
            </w:tcBorders>
          </w:tcPr>
          <w:p>
            <w:pPr>
              <w:spacing w:after="0"/>
              <w:rPr>
                <w:sz w:val="15"/>
                <w:szCs w:val="15"/>
                <w:color w:val="auto"/>
              </w:rPr>
            </w:pPr>
          </w:p>
        </w:tc>
        <w:tc>
          <w:tcPr>
            <w:tcW w:w="6440" w:type="dxa"/>
            <w:vAlign w:val="bottom"/>
            <w:tcBorders>
              <w:bottom w:val="single" w:sz="8" w:color="808080"/>
            </w:tcBorders>
          </w:tcPr>
          <w:p>
            <w:pPr>
              <w:spacing w:after="0"/>
              <w:rPr>
                <w:sz w:val="15"/>
                <w:szCs w:val="15"/>
                <w:color w:val="auto"/>
              </w:rPr>
            </w:pPr>
          </w:p>
        </w:tc>
      </w:tr>
    </w:tbl>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Proceeds from this offering are for general corporate purposes, including the repurchase of common stock pursuant to our share repurchase programs. The debt security includes a change-of-control provision. After this issuance, we had remaining authority from the Board of Directors to issue up to $2.25 billion of debt securities under our shelf registration.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Variable Interest Entities</w:t>
      </w:r>
    </w:p>
    <w:p>
      <w:pPr>
        <w:spacing w:after="0" w:line="19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We have entered into various lease transactions in which the structure of the leases contain variable interest entities (VIEs). These VIEs were created solely for the purpose of doing lease transactions (principally involving railroad equipment and facilities) and have no other activities, assets or liabilities outside of the lease transactions. Within these lease arrangements, we have the right to purchase some or all of the assets at fixed prices. Depending on market conditions, fixed-price purchase options available in the leases could potentially provide benefits to us; however, these benefits are not expected to be significant.</w:t>
      </w:r>
    </w:p>
    <w:p>
      <w:pPr>
        <w:spacing w:after="0" w:line="16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We maintain and operate the assets based on contractual obligations within the lease arrangements, which set specific guidelines consistent within the railroad industry. As such, we have no control over activities that could materially impact the fair value of the leased assets. We do not hold the power to direct the activities of the VIEs and, therefore, do not control the ongoing activities that have a significant impact on the economic performance of the VIEs. Additionally, we do not have the obligation to absorb losses of the VIEs or the right to receive benefits of the VIEs that could potentially be significant to the VIEs.</w:t>
      </w:r>
    </w:p>
    <w:p>
      <w:pPr>
        <w:spacing w:after="0" w:line="16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We are not considered to be the primary beneficiary and do not consolidate these VIEs because our actions and decisions do not have the most significant effect on the VIE’s performance and our fixed-price purchase options are not considered to be potentially significant to the VIEs. The future minimum lease payments associated with the VIE leases totaled $1.3 billion as of March 31, 2020 and are recorded as operating lease liabilities at present value in our Consolidated Statements of Financial Position.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6" w:name="page17"/>
    <w:bookmarkEnd w:id="16"/>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Leases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7"/>
          <w:szCs w:val="17"/>
          <w:color w:val="auto"/>
        </w:rPr>
        <w:t>We lease certain locomotives, freight cars, and other property for use in our rail operations. We determine if an arrangement is or contains a lease at inception. We have lease agreements with lease and non-lease components and we have elected to not separate lease and non-lease components for all classes of underlying assets. Leases with an initial term of 12 months or less are not recorded on our Consolidated Statements of Financial Position; we recognize lease expense for these leases on a straight-line basis over the lease term. Leases with initial terms in excess of 12 months are recorded as operating or financing leases in our Consolidated Statement of Financial Position. Operating leases are included in operating lease assets, accounts payable and other current liabilities, and operating lease liabilities on our Consolidated Statements of Financial Position. Finance leases are included in net properties, debt due within one year, and debt due after one year on our Consolidated Statements of Financial Position.</w:t>
      </w:r>
    </w:p>
    <w:p>
      <w:pPr>
        <w:spacing w:after="0" w:line="284"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Operating lease assets and operating lease liabilities are recognized based on the present value of the future minimum lease payments over the lease term at commencement date. As most of our leases do not provide an implicit rate, we use a collateralized incremental borrowing rate for all operating leases based on the information available at commencement date, including lease term, in determining the present value of future payments. The operating lease asset also includes any lease payments made and excludes lease incentives and initial direct costs incurred. Our lease terms may include options to extend or terminate the lease when it is reasonably certain that the option will be exercised. Operating lease expense is recognized on a straight-line basis over the lease term and reported in equipment and other rents and financing lease expense is recorded as depreciation and interest expense in our Consolidated Statements of Income.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additional details related to our lease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136130" cy="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2476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i w:val="1"/>
                <w:iCs w:val="1"/>
                <w:color w:val="auto"/>
              </w:rPr>
              <w:t>Mar. 31,</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i w:val="1"/>
                <w:iCs w:val="1"/>
                <w:color w:val="auto"/>
              </w:rPr>
              <w:t>Dec. 31,</w:t>
            </w:r>
          </w:p>
        </w:tc>
      </w:tr>
      <w:tr>
        <w:trPr>
          <w:trHeight w:val="203"/>
        </w:trPr>
        <w:tc>
          <w:tcPr>
            <w:tcW w:w="290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5340" w:type="dxa"/>
            <w:vAlign w:val="bottom"/>
            <w:tcBorders>
              <w:bottom w:val="single" w:sz="8" w:color="7F7F7F"/>
            </w:tcBorders>
          </w:tcPr>
          <w:p>
            <w:pPr>
              <w:ind w:left="1440"/>
              <w:spacing w:after="0"/>
              <w:rPr>
                <w:sz w:val="20"/>
                <w:szCs w:val="20"/>
                <w:color w:val="auto"/>
              </w:rPr>
            </w:pPr>
            <w:r>
              <w:rPr>
                <w:rFonts w:ascii="Arial" w:cs="Arial" w:eastAsia="Arial" w:hAnsi="Arial"/>
                <w:sz w:val="16"/>
                <w:szCs w:val="16"/>
                <w:i w:val="1"/>
                <w:iCs w:val="1"/>
                <w:color w:val="auto"/>
              </w:rPr>
              <w:t>Classification</w:t>
            </w:r>
          </w:p>
        </w:tc>
        <w:tc>
          <w:tcPr>
            <w:tcW w:w="1080" w:type="dxa"/>
            <w:vAlign w:val="bottom"/>
            <w:tcBorders>
              <w:bottom w:val="single" w:sz="8" w:color="7F7F7F"/>
            </w:tcBorders>
          </w:tcPr>
          <w:p>
            <w:pPr>
              <w:spacing w:after="0"/>
              <w:rPr>
                <w:sz w:val="17"/>
                <w:szCs w:val="17"/>
                <w:color w:val="auto"/>
              </w:rPr>
            </w:pPr>
          </w:p>
        </w:tc>
        <w:tc>
          <w:tcPr>
            <w:tcW w:w="840" w:type="dxa"/>
            <w:vAlign w:val="bottom"/>
            <w:tcBorders>
              <w:bottom w:val="single" w:sz="8" w:color="7F7F7F"/>
            </w:tcBorders>
          </w:tcPr>
          <w:p>
            <w:pPr>
              <w:jc w:val="right"/>
              <w:ind w:right="1"/>
              <w:spacing w:after="0"/>
              <w:rPr>
                <w:sz w:val="20"/>
                <w:szCs w:val="20"/>
                <w:color w:val="auto"/>
              </w:rPr>
            </w:pPr>
            <w:r>
              <w:rPr>
                <w:rFonts w:ascii="Arial" w:cs="Arial" w:eastAsia="Arial" w:hAnsi="Arial"/>
                <w:sz w:val="16"/>
                <w:szCs w:val="16"/>
                <w:i w:val="1"/>
                <w:iCs w:val="1"/>
                <w:color w:val="auto"/>
              </w:rPr>
              <w:t>2020</w:t>
            </w:r>
          </w:p>
        </w:tc>
        <w:tc>
          <w:tcPr>
            <w:tcW w:w="320" w:type="dxa"/>
            <w:vAlign w:val="bottom"/>
            <w:tcBorders>
              <w:bottom w:val="single" w:sz="8" w:color="7F7F7F"/>
            </w:tcBorders>
          </w:tcPr>
          <w:p>
            <w:pPr>
              <w:spacing w:after="0"/>
              <w:rPr>
                <w:sz w:val="17"/>
                <w:szCs w:val="17"/>
                <w:color w:val="auto"/>
              </w:rPr>
            </w:pPr>
          </w:p>
        </w:tc>
        <w:tc>
          <w:tcPr>
            <w:tcW w:w="7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r>
      <w:tr>
        <w:trPr>
          <w:trHeight w:val="190"/>
        </w:trPr>
        <w:tc>
          <w:tcPr>
            <w:tcW w:w="2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5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7"/>
        </w:trPr>
        <w:tc>
          <w:tcPr>
            <w:tcW w:w="2900" w:type="dxa"/>
            <w:vAlign w:val="bottom"/>
          </w:tcPr>
          <w:p>
            <w:pPr>
              <w:ind w:left="260"/>
              <w:spacing w:after="0"/>
              <w:rPr>
                <w:sz w:val="20"/>
                <w:szCs w:val="20"/>
                <w:color w:val="auto"/>
              </w:rPr>
            </w:pPr>
            <w:r>
              <w:rPr>
                <w:rFonts w:ascii="Arial" w:cs="Arial" w:eastAsia="Arial" w:hAnsi="Arial"/>
                <w:sz w:val="16"/>
                <w:szCs w:val="16"/>
                <w:color w:val="auto"/>
              </w:rPr>
              <w:t>Operating leases</w:t>
            </w:r>
          </w:p>
        </w:tc>
        <w:tc>
          <w:tcPr>
            <w:tcW w:w="5340" w:type="dxa"/>
            <w:vAlign w:val="bottom"/>
          </w:tcPr>
          <w:p>
            <w:pPr>
              <w:ind w:left="1440"/>
              <w:spacing w:after="0"/>
              <w:rPr>
                <w:sz w:val="20"/>
                <w:szCs w:val="20"/>
                <w:color w:val="auto"/>
              </w:rPr>
            </w:pPr>
            <w:r>
              <w:rPr>
                <w:rFonts w:ascii="Arial" w:cs="Arial" w:eastAsia="Arial" w:hAnsi="Arial"/>
                <w:sz w:val="16"/>
                <w:szCs w:val="16"/>
                <w:color w:val="auto"/>
              </w:rPr>
              <w:t>Operating lease assets</w:t>
            </w: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1,773</w:t>
            </w:r>
          </w:p>
        </w:tc>
        <w:tc>
          <w:tcPr>
            <w:tcW w:w="3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1,812</w:t>
            </w:r>
          </w:p>
        </w:tc>
      </w:tr>
      <w:tr>
        <w:trPr>
          <w:trHeight w:val="219"/>
        </w:trPr>
        <w:tc>
          <w:tcPr>
            <w:tcW w:w="290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Finance leases</w:t>
            </w:r>
          </w:p>
        </w:tc>
        <w:tc>
          <w:tcPr>
            <w:tcW w:w="5340" w:type="dxa"/>
            <w:vAlign w:val="bottom"/>
            <w:tcBorders>
              <w:bottom w:val="single" w:sz="8" w:color="7F7F7F"/>
            </w:tcBorders>
            <w:shd w:val="clear" w:color="auto" w:fill="CCEEFF"/>
          </w:tcPr>
          <w:p>
            <w:pPr>
              <w:ind w:left="1440"/>
              <w:spacing w:after="0"/>
              <w:rPr>
                <w:sz w:val="20"/>
                <w:szCs w:val="20"/>
                <w:color w:val="auto"/>
              </w:rPr>
            </w:pPr>
            <w:r>
              <w:rPr>
                <w:rFonts w:ascii="Arial" w:cs="Arial" w:eastAsia="Arial" w:hAnsi="Arial"/>
                <w:sz w:val="16"/>
                <w:szCs w:val="16"/>
                <w:color w:val="auto"/>
              </w:rPr>
              <w:t>Net properties [a]</w:t>
            </w:r>
          </w:p>
        </w:tc>
        <w:tc>
          <w:tcPr>
            <w:tcW w:w="1080" w:type="dxa"/>
            <w:vAlign w:val="bottom"/>
            <w:tcBorders>
              <w:bottom w:val="single" w:sz="8" w:color="7F7F7F"/>
            </w:tcBorders>
            <w:shd w:val="clear" w:color="auto" w:fill="CCEEFF"/>
          </w:tcPr>
          <w:p>
            <w:pPr>
              <w:spacing w:after="0"/>
              <w:rPr>
                <w:sz w:val="19"/>
                <w:szCs w:val="19"/>
                <w:color w:val="auto"/>
              </w:rPr>
            </w:pPr>
          </w:p>
        </w:tc>
        <w:tc>
          <w:tcPr>
            <w:tcW w:w="84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color w:val="auto"/>
              </w:rPr>
              <w:t>444</w:t>
            </w:r>
          </w:p>
        </w:tc>
        <w:tc>
          <w:tcPr>
            <w:tcW w:w="320" w:type="dxa"/>
            <w:vAlign w:val="bottom"/>
            <w:tcBorders>
              <w:bottom w:val="single" w:sz="8" w:color="7F7F7F"/>
            </w:tcBorders>
            <w:shd w:val="clear" w:color="auto" w:fill="CCEEFF"/>
          </w:tcPr>
          <w:p>
            <w:pPr>
              <w:spacing w:after="0"/>
              <w:rPr>
                <w:sz w:val="19"/>
                <w:szCs w:val="19"/>
                <w:color w:val="auto"/>
              </w:rPr>
            </w:pPr>
          </w:p>
        </w:tc>
        <w:tc>
          <w:tcPr>
            <w:tcW w:w="7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190"/>
        </w:trPr>
        <w:tc>
          <w:tcPr>
            <w:tcW w:w="29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Total leased assets</w:t>
            </w:r>
          </w:p>
        </w:tc>
        <w:tc>
          <w:tcPr>
            <w:tcW w:w="5340" w:type="dxa"/>
            <w:vAlign w:val="bottom"/>
            <w:tcBorders>
              <w:bottom w:val="single" w:sz="8" w:color="7F7F7F"/>
            </w:tcBorders>
          </w:tcPr>
          <w:p>
            <w:pPr>
              <w:spacing w:after="0"/>
              <w:rPr>
                <w:sz w:val="16"/>
                <w:szCs w:val="16"/>
                <w:color w:val="auto"/>
              </w:rPr>
            </w:pPr>
          </w:p>
        </w:tc>
        <w:tc>
          <w:tcPr>
            <w:tcW w:w="1080" w:type="dxa"/>
            <w:vAlign w:val="bottom"/>
            <w:tcBorders>
              <w:bottom w:val="single" w:sz="8" w:color="7F7F7F"/>
            </w:tcBorders>
          </w:tcPr>
          <w:p>
            <w:pPr>
              <w:jc w:val="right"/>
              <w:ind w:right="10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color w:val="auto"/>
              </w:rPr>
              <w:t>2,217</w:t>
            </w:r>
          </w:p>
        </w:tc>
        <w:tc>
          <w:tcPr>
            <w:tcW w:w="320" w:type="dxa"/>
            <w:vAlign w:val="bottom"/>
            <w:tcBorders>
              <w:bottom w:val="single" w:sz="8" w:color="7F7F7F"/>
            </w:tcBorders>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2,280</w:t>
            </w:r>
          </w:p>
        </w:tc>
      </w:tr>
      <w:tr>
        <w:trPr>
          <w:trHeight w:val="197"/>
        </w:trPr>
        <w:tc>
          <w:tcPr>
            <w:tcW w:w="2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5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7"/>
        </w:trPr>
        <w:tc>
          <w:tcPr>
            <w:tcW w:w="2900" w:type="dxa"/>
            <w:vAlign w:val="bottom"/>
          </w:tcPr>
          <w:p>
            <w:pPr>
              <w:ind w:left="140"/>
              <w:spacing w:after="0"/>
              <w:rPr>
                <w:sz w:val="20"/>
                <w:szCs w:val="20"/>
                <w:color w:val="auto"/>
              </w:rPr>
            </w:pPr>
            <w:r>
              <w:rPr>
                <w:rFonts w:ascii="Arial" w:cs="Arial" w:eastAsia="Arial" w:hAnsi="Arial"/>
                <w:sz w:val="16"/>
                <w:szCs w:val="16"/>
                <w:color w:val="auto"/>
              </w:rPr>
              <w:t>Current</w:t>
            </w:r>
          </w:p>
        </w:tc>
        <w:tc>
          <w:tcPr>
            <w:tcW w:w="5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3"/>
        </w:trPr>
        <w:tc>
          <w:tcPr>
            <w:tcW w:w="2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w:t>
            </w:r>
          </w:p>
        </w:tc>
        <w:tc>
          <w:tcPr>
            <w:tcW w:w="53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Accounts payable and other current liabilities</w:t>
            </w:r>
          </w:p>
        </w:tc>
        <w:tc>
          <w:tcPr>
            <w:tcW w:w="10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326</w:t>
            </w:r>
          </w:p>
        </w:tc>
        <w:tc>
          <w:tcPr>
            <w:tcW w:w="3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13"/>
        </w:trPr>
        <w:tc>
          <w:tcPr>
            <w:tcW w:w="2900" w:type="dxa"/>
            <w:vAlign w:val="bottom"/>
          </w:tcPr>
          <w:p>
            <w:pPr>
              <w:ind w:left="260"/>
              <w:spacing w:after="0"/>
              <w:rPr>
                <w:sz w:val="20"/>
                <w:szCs w:val="20"/>
                <w:color w:val="auto"/>
              </w:rPr>
            </w:pPr>
            <w:r>
              <w:rPr>
                <w:rFonts w:ascii="Arial" w:cs="Arial" w:eastAsia="Arial" w:hAnsi="Arial"/>
                <w:sz w:val="16"/>
                <w:szCs w:val="16"/>
                <w:color w:val="auto"/>
              </w:rPr>
              <w:t>Finance</w:t>
            </w:r>
          </w:p>
        </w:tc>
        <w:tc>
          <w:tcPr>
            <w:tcW w:w="5340" w:type="dxa"/>
            <w:vAlign w:val="bottom"/>
          </w:tcPr>
          <w:p>
            <w:pPr>
              <w:ind w:left="1440"/>
              <w:spacing w:after="0"/>
              <w:rPr>
                <w:sz w:val="20"/>
                <w:szCs w:val="20"/>
                <w:color w:val="auto"/>
              </w:rPr>
            </w:pPr>
            <w:r>
              <w:rPr>
                <w:rFonts w:ascii="Arial" w:cs="Arial" w:eastAsia="Arial" w:hAnsi="Arial"/>
                <w:sz w:val="16"/>
                <w:szCs w:val="16"/>
                <w:color w:val="auto"/>
              </w:rPr>
              <w:t>Debt due within one year</w:t>
            </w:r>
          </w:p>
        </w:tc>
        <w:tc>
          <w:tcPr>
            <w:tcW w:w="108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119</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20"/>
        </w:trPr>
        <w:tc>
          <w:tcPr>
            <w:tcW w:w="2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Noncurrent</w:t>
            </w:r>
          </w:p>
        </w:tc>
        <w:tc>
          <w:tcPr>
            <w:tcW w:w="5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7"/>
        </w:trPr>
        <w:tc>
          <w:tcPr>
            <w:tcW w:w="290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5340" w:type="dxa"/>
            <w:vAlign w:val="bottom"/>
          </w:tcPr>
          <w:p>
            <w:pPr>
              <w:ind w:left="1440"/>
              <w:spacing w:after="0"/>
              <w:rPr>
                <w:sz w:val="20"/>
                <w:szCs w:val="20"/>
                <w:color w:val="auto"/>
              </w:rPr>
            </w:pPr>
            <w:r>
              <w:rPr>
                <w:rFonts w:ascii="Arial" w:cs="Arial" w:eastAsia="Arial" w:hAnsi="Arial"/>
                <w:sz w:val="16"/>
                <w:szCs w:val="16"/>
                <w:color w:val="auto"/>
              </w:rPr>
              <w:t>Operating lease liabilities</w:t>
            </w:r>
          </w:p>
        </w:tc>
        <w:tc>
          <w:tcPr>
            <w:tcW w:w="1080" w:type="dxa"/>
            <w:vAlign w:val="bottom"/>
          </w:tcPr>
          <w:p>
            <w:pPr>
              <w:spacing w:after="0"/>
              <w:rPr>
                <w:sz w:val="17"/>
                <w:szCs w:val="17"/>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1,339</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1,471</w:t>
            </w:r>
          </w:p>
        </w:tc>
      </w:tr>
      <w:tr>
        <w:trPr>
          <w:trHeight w:val="206"/>
        </w:trPr>
        <w:tc>
          <w:tcPr>
            <w:tcW w:w="290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Finance</w:t>
            </w:r>
          </w:p>
        </w:tc>
        <w:tc>
          <w:tcPr>
            <w:tcW w:w="5340" w:type="dxa"/>
            <w:vAlign w:val="bottom"/>
            <w:tcBorders>
              <w:bottom w:val="single" w:sz="8" w:color="7F7F7F"/>
            </w:tcBorders>
            <w:shd w:val="clear" w:color="auto" w:fill="CCEEFF"/>
          </w:tcPr>
          <w:p>
            <w:pPr>
              <w:ind w:left="1440"/>
              <w:spacing w:after="0"/>
              <w:rPr>
                <w:sz w:val="20"/>
                <w:szCs w:val="20"/>
                <w:color w:val="auto"/>
              </w:rPr>
            </w:pPr>
            <w:r>
              <w:rPr>
                <w:rFonts w:ascii="Arial" w:cs="Arial" w:eastAsia="Arial" w:hAnsi="Arial"/>
                <w:sz w:val="16"/>
                <w:szCs w:val="16"/>
                <w:color w:val="auto"/>
              </w:rPr>
              <w:t>Debt due after one year</w:t>
            </w:r>
          </w:p>
        </w:tc>
        <w:tc>
          <w:tcPr>
            <w:tcW w:w="1080" w:type="dxa"/>
            <w:vAlign w:val="bottom"/>
            <w:tcBorders>
              <w:bottom w:val="single" w:sz="8" w:color="7F7F7F"/>
            </w:tcBorders>
            <w:shd w:val="clear" w:color="auto" w:fill="CCEEFF"/>
          </w:tcPr>
          <w:p>
            <w:pPr>
              <w:spacing w:after="0"/>
              <w:rPr>
                <w:sz w:val="17"/>
                <w:szCs w:val="17"/>
                <w:color w:val="auto"/>
              </w:rPr>
            </w:pPr>
          </w:p>
        </w:tc>
        <w:tc>
          <w:tcPr>
            <w:tcW w:w="84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color w:val="auto"/>
              </w:rPr>
              <w:t>433</w:t>
            </w:r>
          </w:p>
        </w:tc>
        <w:tc>
          <w:tcPr>
            <w:tcW w:w="320" w:type="dxa"/>
            <w:vAlign w:val="bottom"/>
            <w:tcBorders>
              <w:bottom w:val="single" w:sz="8" w:color="7F7F7F"/>
            </w:tcBorders>
            <w:shd w:val="clear" w:color="auto" w:fill="CCEEFF"/>
          </w:tcPr>
          <w:p>
            <w:pPr>
              <w:spacing w:after="0"/>
              <w:rPr>
                <w:sz w:val="17"/>
                <w:szCs w:val="17"/>
                <w:color w:val="auto"/>
              </w:rPr>
            </w:pPr>
          </w:p>
        </w:tc>
        <w:tc>
          <w:tcPr>
            <w:tcW w:w="7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03"/>
        </w:trPr>
        <w:tc>
          <w:tcPr>
            <w:tcW w:w="29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Total lease liabilities</w:t>
            </w:r>
          </w:p>
        </w:tc>
        <w:tc>
          <w:tcPr>
            <w:tcW w:w="5340" w:type="dxa"/>
            <w:vAlign w:val="bottom"/>
            <w:tcBorders>
              <w:bottom w:val="single" w:sz="8" w:color="7F7F7F"/>
            </w:tcBorders>
          </w:tcPr>
          <w:p>
            <w:pPr>
              <w:spacing w:after="0"/>
              <w:rPr>
                <w:sz w:val="17"/>
                <w:szCs w:val="17"/>
                <w:color w:val="auto"/>
              </w:rPr>
            </w:pPr>
          </w:p>
        </w:tc>
        <w:tc>
          <w:tcPr>
            <w:tcW w:w="1080" w:type="dxa"/>
            <w:vAlign w:val="bottom"/>
            <w:tcBorders>
              <w:bottom w:val="single" w:sz="8" w:color="7F7F7F"/>
            </w:tcBorders>
          </w:tcPr>
          <w:p>
            <w:pPr>
              <w:jc w:val="right"/>
              <w:ind w:right="10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color w:val="auto"/>
              </w:rPr>
              <w:t>2,217</w:t>
            </w:r>
          </w:p>
        </w:tc>
        <w:tc>
          <w:tcPr>
            <w:tcW w:w="320" w:type="dxa"/>
            <w:vAlign w:val="bottom"/>
            <w:tcBorders>
              <w:bottom w:val="single" w:sz="8" w:color="7F7F7F"/>
            </w:tcBorders>
          </w:tcPr>
          <w:p>
            <w:pPr>
              <w:jc w:val="right"/>
              <w:ind w:right="8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2,438</w:t>
            </w:r>
          </w:p>
        </w:tc>
      </w:tr>
    </w:tbl>
    <w:p>
      <w:pPr>
        <w:spacing w:after="0" w:line="161" w:lineRule="exact"/>
        <w:rPr>
          <w:sz w:val="20"/>
          <w:szCs w:val="20"/>
          <w:color w:val="auto"/>
        </w:rPr>
      </w:pPr>
    </w:p>
    <w:p>
      <w:pPr>
        <w:ind w:left="40"/>
        <w:spacing w:after="0"/>
        <w:tabs>
          <w:tab w:leader="none" w:pos="300" w:val="left"/>
        </w:tabs>
        <w:rPr>
          <w:sz w:val="20"/>
          <w:szCs w:val="20"/>
          <w:color w:val="auto"/>
        </w:rPr>
      </w:pPr>
      <w:r>
        <w:rPr>
          <w:rFonts w:ascii="Arial" w:cs="Arial" w:eastAsia="Arial" w:hAnsi="Arial"/>
          <w:sz w:val="14"/>
          <w:szCs w:val="14"/>
          <w:i w:val="1"/>
          <w:iCs w:val="1"/>
          <w:color w:val="auto"/>
        </w:rPr>
        <w:t>[a]</w:t>
      </w:r>
      <w:r>
        <w:rPr>
          <w:sz w:val="20"/>
          <w:szCs w:val="20"/>
          <w:color w:val="auto"/>
        </w:rPr>
        <w:tab/>
      </w:r>
      <w:r>
        <w:rPr>
          <w:rFonts w:ascii="Arial" w:cs="Arial" w:eastAsia="Arial" w:hAnsi="Arial"/>
          <w:sz w:val="13"/>
          <w:szCs w:val="13"/>
          <w:i w:val="1"/>
          <w:iCs w:val="1"/>
          <w:color w:val="auto"/>
        </w:rPr>
        <w:t>Finance lease assets are recorded net of accumulated amortization of $766 million and $797 million as of March 31,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7" w:name="page18"/>
    <w:bookmarkEnd w:id="17"/>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The lease cost components are classified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4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5340" w:type="dxa"/>
            <w:vAlign w:val="bottom"/>
            <w:tcBorders>
              <w:top w:val="single" w:sz="8" w:color="7F7F7F"/>
            </w:tcBorders>
          </w:tcPr>
          <w:p>
            <w:pPr>
              <w:spacing w:after="0"/>
              <w:rPr>
                <w:sz w:val="20"/>
                <w:szCs w:val="20"/>
                <w:color w:val="auto"/>
              </w:rPr>
            </w:pPr>
          </w:p>
        </w:tc>
        <w:tc>
          <w:tcPr>
            <w:tcW w:w="540" w:type="dxa"/>
            <w:vAlign w:val="bottom"/>
            <w:tcBorders>
              <w:top w:val="single" w:sz="8" w:color="7F7F7F"/>
            </w:tcBorders>
          </w:tcPr>
          <w:p>
            <w:pPr>
              <w:spacing w:after="0"/>
              <w:rPr>
                <w:sz w:val="20"/>
                <w:szCs w:val="20"/>
                <w:color w:val="auto"/>
              </w:rPr>
            </w:pPr>
          </w:p>
        </w:tc>
        <w:tc>
          <w:tcPr>
            <w:tcW w:w="740" w:type="dxa"/>
            <w:vAlign w:val="bottom"/>
            <w:tcBorders>
              <w:top w:val="single" w:sz="8" w:color="7F7F7F"/>
            </w:tcBorders>
          </w:tcPr>
          <w:p>
            <w:pPr>
              <w:spacing w:after="0"/>
              <w:rPr>
                <w:sz w:val="20"/>
                <w:szCs w:val="20"/>
                <w:color w:val="auto"/>
              </w:rPr>
            </w:pPr>
          </w:p>
        </w:tc>
        <w:tc>
          <w:tcPr>
            <w:tcW w:w="440" w:type="dxa"/>
            <w:vAlign w:val="bottom"/>
            <w:tcBorders>
              <w:top w:val="single" w:sz="8" w:color="7F7F7F"/>
            </w:tcBorders>
          </w:tcPr>
          <w:p>
            <w:pPr>
              <w:spacing w:after="0"/>
              <w:rPr>
                <w:sz w:val="20"/>
                <w:szCs w:val="20"/>
                <w:color w:val="auto"/>
              </w:rPr>
            </w:pPr>
          </w:p>
        </w:tc>
        <w:tc>
          <w:tcPr>
            <w:tcW w:w="640" w:type="dxa"/>
            <w:vAlign w:val="bottom"/>
            <w:tcBorders>
              <w:top w:val="single" w:sz="8" w:color="7F7F7F"/>
            </w:tcBorders>
          </w:tcPr>
          <w:p>
            <w:pPr>
              <w:spacing w:after="0"/>
              <w:rPr>
                <w:sz w:val="20"/>
                <w:szCs w:val="20"/>
                <w:color w:val="auto"/>
              </w:rPr>
            </w:pPr>
          </w:p>
        </w:tc>
      </w:tr>
      <w:tr>
        <w:trPr>
          <w:trHeight w:val="191"/>
        </w:trPr>
        <w:tc>
          <w:tcPr>
            <w:tcW w:w="354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5340" w:type="dxa"/>
            <w:vAlign w:val="bottom"/>
            <w:tcBorders>
              <w:bottom w:val="single" w:sz="8" w:color="7F7F7F"/>
            </w:tcBorders>
          </w:tcPr>
          <w:p>
            <w:pPr>
              <w:ind w:left="800"/>
              <w:spacing w:after="0"/>
              <w:rPr>
                <w:sz w:val="20"/>
                <w:szCs w:val="20"/>
                <w:color w:val="auto"/>
              </w:rPr>
            </w:pPr>
            <w:r>
              <w:rPr>
                <w:rFonts w:ascii="Arial" w:cs="Arial" w:eastAsia="Arial" w:hAnsi="Arial"/>
                <w:sz w:val="16"/>
                <w:szCs w:val="16"/>
                <w:i w:val="1"/>
                <w:iCs w:val="1"/>
                <w:color w:val="auto"/>
              </w:rPr>
              <w:t>Classification</w:t>
            </w:r>
          </w:p>
        </w:tc>
        <w:tc>
          <w:tcPr>
            <w:tcW w:w="54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jc w:val="right"/>
              <w:ind w:right="1"/>
              <w:spacing w:after="0"/>
              <w:rPr>
                <w:sz w:val="20"/>
                <w:szCs w:val="20"/>
                <w:color w:val="auto"/>
              </w:rPr>
            </w:pPr>
            <w:r>
              <w:rPr>
                <w:rFonts w:ascii="Arial" w:cs="Arial" w:eastAsia="Arial" w:hAnsi="Arial"/>
                <w:sz w:val="16"/>
                <w:szCs w:val="16"/>
                <w:i w:val="1"/>
                <w:iCs w:val="1"/>
                <w:color w:val="auto"/>
              </w:rPr>
              <w:t>2020</w:t>
            </w:r>
          </w:p>
        </w:tc>
        <w:tc>
          <w:tcPr>
            <w:tcW w:w="44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jc w:val="right"/>
              <w:spacing w:after="0"/>
              <w:rPr>
                <w:sz w:val="20"/>
                <w:szCs w:val="20"/>
                <w:color w:val="auto"/>
              </w:rPr>
            </w:pPr>
            <w:r>
              <w:rPr>
                <w:rFonts w:ascii="Arial" w:cs="Arial" w:eastAsia="Arial" w:hAnsi="Arial"/>
                <w:sz w:val="16"/>
                <w:szCs w:val="16"/>
                <w:i w:val="1"/>
                <w:iCs w:val="1"/>
                <w:color w:val="auto"/>
              </w:rPr>
              <w:t>2019</w:t>
            </w:r>
          </w:p>
        </w:tc>
      </w:tr>
      <w:tr>
        <w:trPr>
          <w:trHeight w:val="19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cost [a]</w:t>
            </w:r>
          </w:p>
        </w:tc>
        <w:tc>
          <w:tcPr>
            <w:tcW w:w="5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Equipment and other rents</w:t>
            </w:r>
          </w:p>
        </w:tc>
        <w:tc>
          <w:tcPr>
            <w:tcW w:w="5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69</w:t>
            </w:r>
          </w:p>
        </w:tc>
        <w:tc>
          <w:tcPr>
            <w:tcW w:w="44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193"/>
        </w:trPr>
        <w:tc>
          <w:tcPr>
            <w:tcW w:w="3540" w:type="dxa"/>
            <w:vAlign w:val="bottom"/>
          </w:tcPr>
          <w:p>
            <w:pPr>
              <w:ind w:left="40"/>
              <w:spacing w:after="0"/>
              <w:rPr>
                <w:sz w:val="20"/>
                <w:szCs w:val="20"/>
                <w:color w:val="auto"/>
              </w:rPr>
            </w:pPr>
            <w:r>
              <w:rPr>
                <w:rFonts w:ascii="Arial" w:cs="Arial" w:eastAsia="Arial" w:hAnsi="Arial"/>
                <w:sz w:val="16"/>
                <w:szCs w:val="16"/>
                <w:color w:val="auto"/>
              </w:rPr>
              <w:t>Finance lease cost</w:t>
            </w:r>
          </w:p>
        </w:tc>
        <w:tc>
          <w:tcPr>
            <w:tcW w:w="5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6"/>
        </w:trPr>
        <w:tc>
          <w:tcPr>
            <w:tcW w:w="3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leased assets</w:t>
            </w:r>
          </w:p>
        </w:tc>
        <w:tc>
          <w:tcPr>
            <w:tcW w:w="5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Depreciation</w:t>
            </w:r>
          </w:p>
        </w:tc>
        <w:tc>
          <w:tcPr>
            <w:tcW w:w="5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3540" w:type="dxa"/>
            <w:vAlign w:val="bottom"/>
            <w:tcBorders>
              <w:bottom w:val="single" w:sz="8" w:color="7F7F7F"/>
            </w:tcBorders>
          </w:tcPr>
          <w:p>
            <w:pPr>
              <w:ind w:left="140"/>
              <w:spacing w:after="0"/>
              <w:rPr>
                <w:sz w:val="20"/>
                <w:szCs w:val="20"/>
                <w:color w:val="auto"/>
              </w:rPr>
            </w:pPr>
            <w:r>
              <w:rPr>
                <w:rFonts w:ascii="Arial" w:cs="Arial" w:eastAsia="Arial" w:hAnsi="Arial"/>
                <w:sz w:val="16"/>
                <w:szCs w:val="16"/>
                <w:color w:val="auto"/>
              </w:rPr>
              <w:t>Interest on lease liabilities</w:t>
            </w:r>
          </w:p>
        </w:tc>
        <w:tc>
          <w:tcPr>
            <w:tcW w:w="5340" w:type="dxa"/>
            <w:vAlign w:val="bottom"/>
            <w:tcBorders>
              <w:bottom w:val="single" w:sz="8" w:color="7F7F7F"/>
            </w:tcBorders>
          </w:tcPr>
          <w:p>
            <w:pPr>
              <w:ind w:left="800"/>
              <w:spacing w:after="0"/>
              <w:rPr>
                <w:sz w:val="20"/>
                <w:szCs w:val="20"/>
                <w:color w:val="auto"/>
              </w:rPr>
            </w:pPr>
            <w:r>
              <w:rPr>
                <w:rFonts w:ascii="Arial" w:cs="Arial" w:eastAsia="Arial" w:hAnsi="Arial"/>
                <w:sz w:val="16"/>
                <w:szCs w:val="16"/>
                <w:color w:val="auto"/>
              </w:rPr>
              <w:t>Interest expense</w:t>
            </w:r>
          </w:p>
        </w:tc>
        <w:tc>
          <w:tcPr>
            <w:tcW w:w="540" w:type="dxa"/>
            <w:vAlign w:val="bottom"/>
            <w:tcBorders>
              <w:bottom w:val="single" w:sz="8" w:color="7F7F7F"/>
            </w:tcBorders>
          </w:tcPr>
          <w:p>
            <w:pPr>
              <w:spacing w:after="0"/>
              <w:rPr>
                <w:sz w:val="18"/>
                <w:szCs w:val="18"/>
                <w:color w:val="auto"/>
              </w:rPr>
            </w:pPr>
          </w:p>
        </w:tc>
        <w:tc>
          <w:tcPr>
            <w:tcW w:w="74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color w:val="auto"/>
              </w:rPr>
              <w:t>7</w:t>
            </w:r>
          </w:p>
        </w:tc>
        <w:tc>
          <w:tcPr>
            <w:tcW w:w="440" w:type="dxa"/>
            <w:vAlign w:val="bottom"/>
            <w:tcBorders>
              <w:bottom w:val="single" w:sz="8" w:color="7F7F7F"/>
            </w:tcBorders>
          </w:tcPr>
          <w:p>
            <w:pPr>
              <w:spacing w:after="0"/>
              <w:rPr>
                <w:sz w:val="18"/>
                <w:szCs w:val="18"/>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354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Net lease cost</w:t>
            </w:r>
          </w:p>
        </w:tc>
        <w:tc>
          <w:tcPr>
            <w:tcW w:w="5340" w:type="dxa"/>
            <w:vAlign w:val="bottom"/>
            <w:tcBorders>
              <w:bottom w:val="single" w:sz="8" w:color="7F7F7F"/>
            </w:tcBorders>
            <w:shd w:val="clear" w:color="auto" w:fill="CCEEFF"/>
          </w:tcPr>
          <w:p>
            <w:pPr>
              <w:spacing w:after="0"/>
              <w:rPr>
                <w:sz w:val="18"/>
                <w:szCs w:val="18"/>
                <w:color w:val="auto"/>
              </w:rPr>
            </w:pPr>
          </w:p>
        </w:tc>
        <w:tc>
          <w:tcPr>
            <w:tcW w:w="540" w:type="dxa"/>
            <w:vAlign w:val="bottom"/>
            <w:tcBorders>
              <w:bottom w:val="single" w:sz="8" w:color="7F7F7F"/>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F7F7F"/>
            </w:tcBorders>
            <w:shd w:val="clear" w:color="auto" w:fill="CCEEFF"/>
          </w:tcPr>
          <w:p>
            <w:pPr>
              <w:jc w:val="right"/>
              <w:ind w:right="41"/>
              <w:spacing w:after="0"/>
              <w:rPr>
                <w:sz w:val="20"/>
                <w:szCs w:val="20"/>
                <w:color w:val="auto"/>
              </w:rPr>
            </w:pPr>
            <w:r>
              <w:rPr>
                <w:rFonts w:ascii="Arial" w:cs="Arial" w:eastAsia="Arial" w:hAnsi="Arial"/>
                <w:sz w:val="16"/>
                <w:szCs w:val="16"/>
                <w:color w:val="auto"/>
              </w:rPr>
              <w:t>93</w:t>
            </w:r>
          </w:p>
        </w:tc>
        <w:tc>
          <w:tcPr>
            <w:tcW w:w="440" w:type="dxa"/>
            <w:vAlign w:val="bottom"/>
            <w:tcBorders>
              <w:bottom w:val="single" w:sz="8" w:color="7F7F7F"/>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bl>
    <w:p>
      <w:pPr>
        <w:spacing w:after="0" w:line="214" w:lineRule="exact"/>
        <w:rPr>
          <w:sz w:val="20"/>
          <w:szCs w:val="20"/>
          <w:color w:val="auto"/>
        </w:rPr>
      </w:pPr>
    </w:p>
    <w:p>
      <w:pPr>
        <w:ind w:left="320" w:right="120" w:hanging="276"/>
        <w:spacing w:after="0" w:line="325" w:lineRule="auto"/>
        <w:tabs>
          <w:tab w:leader="none" w:pos="316"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short-term lease costs of $0.0 million and $0.2 million for the three months ended March 31, 2020, and 2019, respectively, and variable lease costs of $1.8 million and $1.9 million for the three months ended March 31, 2020, and 2019,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aggregate lease maturities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234315</wp:posOffset>
            </wp:positionV>
            <wp:extent cx="7136130"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2476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Millions</w:t>
            </w:r>
          </w:p>
        </w:tc>
        <w:tc>
          <w:tcPr>
            <w:tcW w:w="320" w:type="dxa"/>
            <w:vAlign w:val="bottom"/>
          </w:tcPr>
          <w:p>
            <w:pPr>
              <w:spacing w:after="0"/>
              <w:rPr>
                <w:sz w:val="16"/>
                <w:szCs w:val="16"/>
                <w:color w:val="auto"/>
              </w:rPr>
            </w:pPr>
          </w:p>
        </w:tc>
        <w:tc>
          <w:tcPr>
            <w:tcW w:w="1140" w:type="dxa"/>
            <w:vAlign w:val="bottom"/>
            <w:gridSpan w:val="2"/>
          </w:tcPr>
          <w:p>
            <w:pPr>
              <w:ind w:left="300"/>
              <w:spacing w:after="0"/>
              <w:rPr>
                <w:sz w:val="20"/>
                <w:szCs w:val="20"/>
                <w:color w:val="auto"/>
              </w:rPr>
            </w:pPr>
            <w:r>
              <w:rPr>
                <w:rFonts w:ascii="Arial" w:cs="Arial" w:eastAsia="Arial" w:hAnsi="Arial"/>
                <w:sz w:val="16"/>
                <w:szCs w:val="16"/>
                <w:i w:val="1"/>
                <w:iCs w:val="1"/>
                <w:color w:val="auto"/>
              </w:rPr>
              <w:t>Operating</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i w:val="1"/>
                <w:iCs w:val="1"/>
                <w:color w:val="auto"/>
              </w:rPr>
              <w:t>Finance</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i w:val="1"/>
                <w:iCs w:val="1"/>
                <w:color w:val="auto"/>
              </w:rPr>
              <w:t>Total</w:t>
            </w:r>
          </w:p>
        </w:tc>
        <w:tc>
          <w:tcPr>
            <w:tcW w:w="0" w:type="dxa"/>
            <w:vAlign w:val="bottom"/>
          </w:tcPr>
          <w:p>
            <w:pPr>
              <w:spacing w:after="0"/>
              <w:rPr>
                <w:sz w:val="1"/>
                <w:szCs w:val="1"/>
                <w:color w:val="auto"/>
              </w:rPr>
            </w:pPr>
          </w:p>
        </w:tc>
      </w:tr>
      <w:tr>
        <w:trPr>
          <w:trHeight w:val="190"/>
        </w:trPr>
        <w:tc>
          <w:tcPr>
            <w:tcW w:w="7260" w:type="dxa"/>
            <w:vAlign w:val="bottom"/>
            <w:tcBorders>
              <w:bottom w:val="single" w:sz="8" w:color="808080"/>
            </w:tcBorders>
            <w:vMerge w:val="continue"/>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gridSpan w:val="2"/>
          </w:tcPr>
          <w:p>
            <w:pPr>
              <w:ind w:left="520"/>
              <w:spacing w:after="0"/>
              <w:rPr>
                <w:sz w:val="20"/>
                <w:szCs w:val="20"/>
                <w:color w:val="auto"/>
              </w:rPr>
            </w:pPr>
            <w:r>
              <w:rPr>
                <w:rFonts w:ascii="Arial" w:cs="Arial" w:eastAsia="Arial" w:hAnsi="Arial"/>
                <w:sz w:val="16"/>
                <w:szCs w:val="16"/>
                <w:i w:val="1"/>
                <w:iCs w:val="1"/>
                <w:color w:val="auto"/>
              </w:rPr>
              <w:t>Leases</w:t>
            </w:r>
          </w:p>
        </w:tc>
        <w:tc>
          <w:tcPr>
            <w:tcW w:w="20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gridSpan w:val="2"/>
          </w:tcPr>
          <w:p>
            <w:pPr>
              <w:jc w:val="right"/>
              <w:ind w:right="120"/>
              <w:spacing w:after="0"/>
              <w:rPr>
                <w:sz w:val="20"/>
                <w:szCs w:val="20"/>
                <w:color w:val="auto"/>
              </w:rPr>
            </w:pPr>
            <w:r>
              <w:rPr>
                <w:rFonts w:ascii="Arial" w:cs="Arial" w:eastAsia="Arial" w:hAnsi="Arial"/>
                <w:sz w:val="16"/>
                <w:szCs w:val="16"/>
                <w:i w:val="1"/>
                <w:iCs w:val="1"/>
                <w:color w:val="auto"/>
              </w:rPr>
              <w:t>Leases</w:t>
            </w:r>
          </w:p>
        </w:tc>
        <w:tc>
          <w:tcPr>
            <w:tcW w:w="1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7"/>
        </w:trPr>
        <w:tc>
          <w:tcPr>
            <w:tcW w:w="7260" w:type="dxa"/>
            <w:vAlign w:val="bottom"/>
          </w:tcPr>
          <w:p>
            <w:pPr>
              <w:ind w:left="40"/>
              <w:spacing w:after="0"/>
              <w:rPr>
                <w:sz w:val="20"/>
                <w:szCs w:val="20"/>
                <w:color w:val="auto"/>
              </w:rPr>
            </w:pPr>
            <w:r>
              <w:rPr>
                <w:rFonts w:ascii="Arial" w:cs="Arial" w:eastAsia="Arial" w:hAnsi="Arial"/>
                <w:sz w:val="16"/>
                <w:szCs w:val="16"/>
                <w:color w:val="auto"/>
              </w:rPr>
              <w:t>2021</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07"/>
        </w:trPr>
        <w:tc>
          <w:tcPr>
            <w:tcW w:w="7260" w:type="dxa"/>
            <w:vAlign w:val="bottom"/>
          </w:tcPr>
          <w:p>
            <w:pPr>
              <w:ind w:left="40"/>
              <w:spacing w:after="0"/>
              <w:rPr>
                <w:sz w:val="20"/>
                <w:szCs w:val="20"/>
                <w:color w:val="auto"/>
              </w:rPr>
            </w:pPr>
            <w:r>
              <w:rPr>
                <w:rFonts w:ascii="Arial" w:cs="Arial" w:eastAsia="Arial" w:hAnsi="Arial"/>
                <w:sz w:val="16"/>
                <w:szCs w:val="16"/>
                <w:color w:val="auto"/>
              </w:rPr>
              <w:t>2023</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03"/>
        </w:trPr>
        <w:tc>
          <w:tcPr>
            <w:tcW w:w="7260" w:type="dxa"/>
            <w:vAlign w:val="bottom"/>
            <w:tcBorders>
              <w:bottom w:val="single" w:sz="8" w:color="808080"/>
            </w:tcBorders>
          </w:tcPr>
          <w:p>
            <w:pPr>
              <w:ind w:left="40"/>
              <w:spacing w:after="0"/>
              <w:rPr>
                <w:sz w:val="20"/>
                <w:szCs w:val="20"/>
                <w:color w:val="auto"/>
              </w:rPr>
            </w:pPr>
            <w:r>
              <w:rPr>
                <w:rFonts w:ascii="Arial" w:cs="Arial" w:eastAsia="Arial" w:hAnsi="Arial"/>
                <w:sz w:val="16"/>
                <w:szCs w:val="16"/>
                <w:color w:val="auto"/>
              </w:rPr>
              <w:t>After 2024</w:t>
            </w:r>
          </w:p>
        </w:tc>
        <w:tc>
          <w:tcPr>
            <w:tcW w:w="320" w:type="dxa"/>
            <w:vAlign w:val="bottom"/>
            <w:tcBorders>
              <w:bottom w:val="single" w:sz="8" w:color="808080"/>
            </w:tcBorders>
          </w:tcPr>
          <w:p>
            <w:pPr>
              <w:spacing w:after="0"/>
              <w:rPr>
                <w:sz w:val="17"/>
                <w:szCs w:val="17"/>
                <w:color w:val="auto"/>
              </w:rPr>
            </w:pPr>
          </w:p>
        </w:tc>
        <w:tc>
          <w:tcPr>
            <w:tcW w:w="10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7F7F7F"/>
            </w:tcBorders>
          </w:tcPr>
          <w:p>
            <w:pPr>
              <w:spacing w:after="0"/>
              <w:rPr>
                <w:sz w:val="17"/>
                <w:szCs w:val="17"/>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22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190"/>
        </w:trPr>
        <w:tc>
          <w:tcPr>
            <w:tcW w:w="7260" w:type="dxa"/>
            <w:vAlign w:val="bottom"/>
            <w:tcBorders>
              <w:bottom w:val="single" w:sz="8" w:color="808080"/>
            </w:tcBorders>
            <w:shd w:val="clear" w:color="auto" w:fill="CCEEFF"/>
          </w:tcPr>
          <w:p>
            <w:pPr>
              <w:ind w:left="40"/>
              <w:spacing w:after="0"/>
              <w:rPr>
                <w:sz w:val="20"/>
                <w:szCs w:val="20"/>
                <w:color w:val="auto"/>
              </w:rPr>
            </w:pPr>
            <w:r>
              <w:rPr>
                <w:rFonts w:ascii="Arial" w:cs="Arial" w:eastAsia="Arial" w:hAnsi="Arial"/>
                <w:sz w:val="16"/>
                <w:szCs w:val="16"/>
                <w:color w:val="auto"/>
              </w:rPr>
              <w:t>Total lease payments</w:t>
            </w:r>
          </w:p>
        </w:tc>
        <w:tc>
          <w:tcPr>
            <w:tcW w:w="32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20" w:type="dxa"/>
            <w:vAlign w:val="bottom"/>
            <w:tcBorders>
              <w:bottom w:val="single" w:sz="8" w:color="808080"/>
            </w:tcBorders>
            <w:shd w:val="clear" w:color="auto" w:fill="CCEEFF"/>
          </w:tcPr>
          <w:p>
            <w:pPr>
              <w:spacing w:after="0"/>
              <w:rPr>
                <w:sz w:val="16"/>
                <w:szCs w:val="16"/>
                <w:color w:val="auto"/>
              </w:rPr>
            </w:pPr>
          </w:p>
        </w:tc>
        <w:tc>
          <w:tcPr>
            <w:tcW w:w="20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808080"/>
            </w:tcBorders>
            <w:shd w:val="clear" w:color="auto" w:fill="CCEEFF"/>
          </w:tcPr>
          <w:p>
            <w:pPr>
              <w:spacing w:after="0"/>
              <w:rPr>
                <w:sz w:val="16"/>
                <w:szCs w:val="16"/>
                <w:color w:val="auto"/>
              </w:rPr>
            </w:pPr>
          </w:p>
        </w:tc>
        <w:tc>
          <w:tcPr>
            <w:tcW w:w="74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Borders>
              <w:bottom w:val="single" w:sz="8" w:color="808080"/>
            </w:tcBorders>
            <w:shd w:val="clear" w:color="auto" w:fill="CCEEFF"/>
          </w:tcPr>
          <w:p>
            <w:pPr>
              <w:spacing w:after="0"/>
              <w:rPr>
                <w:sz w:val="16"/>
                <w:szCs w:val="16"/>
                <w:color w:val="auto"/>
              </w:rPr>
            </w:pPr>
          </w:p>
        </w:tc>
        <w:tc>
          <w:tcPr>
            <w:tcW w:w="400" w:type="dxa"/>
            <w:vAlign w:val="bottom"/>
            <w:tcBorders>
              <w:bottom w:val="single" w:sz="8" w:color="808080"/>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0" w:type="dxa"/>
            <w:vAlign w:val="bottom"/>
          </w:tcPr>
          <w:p>
            <w:pPr>
              <w:spacing w:after="0"/>
              <w:rPr>
                <w:sz w:val="1"/>
                <w:szCs w:val="1"/>
                <w:color w:val="auto"/>
              </w:rPr>
            </w:pPr>
          </w:p>
        </w:tc>
      </w:tr>
      <w:tr>
        <w:trPr>
          <w:trHeight w:val="243"/>
        </w:trPr>
        <w:tc>
          <w:tcPr>
            <w:tcW w:w="7260" w:type="dxa"/>
            <w:vAlign w:val="bottom"/>
          </w:tcPr>
          <w:p>
            <w:pPr>
              <w:ind w:left="40"/>
              <w:spacing w:after="0"/>
              <w:rPr>
                <w:sz w:val="20"/>
                <w:szCs w:val="20"/>
                <w:color w:val="auto"/>
              </w:rPr>
            </w:pPr>
            <w:r>
              <w:rPr>
                <w:rFonts w:ascii="Arial" w:cs="Arial" w:eastAsia="Arial" w:hAnsi="Arial"/>
                <w:sz w:val="16"/>
                <w:szCs w:val="16"/>
                <w:color w:val="auto"/>
              </w:rPr>
              <w:t>Less: Interest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52"/>
        </w:trPr>
        <w:tc>
          <w:tcPr>
            <w:tcW w:w="72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020" w:type="dxa"/>
            <w:vAlign w:val="bottom"/>
            <w:tcBorders>
              <w:bottom w:val="single" w:sz="8" w:color="7F7F7F"/>
            </w:tcBorders>
          </w:tcPr>
          <w:p>
            <w:pPr>
              <w:spacing w:after="0"/>
              <w:rPr>
                <w:sz w:val="4"/>
                <w:szCs w:val="4"/>
                <w:color w:val="auto"/>
              </w:rPr>
            </w:pPr>
          </w:p>
        </w:tc>
        <w:tc>
          <w:tcPr>
            <w:tcW w:w="12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28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808080"/>
            </w:tcBorders>
            <w:shd w:val="clear" w:color="auto" w:fill="CCEEFF"/>
          </w:tcPr>
          <w:p>
            <w:pPr>
              <w:ind w:left="40"/>
              <w:spacing w:after="0"/>
              <w:rPr>
                <w:sz w:val="20"/>
                <w:szCs w:val="20"/>
                <w:color w:val="auto"/>
              </w:rPr>
            </w:pPr>
            <w:r>
              <w:rPr>
                <w:rFonts w:ascii="Arial" w:cs="Arial" w:eastAsia="Arial" w:hAnsi="Arial"/>
                <w:sz w:val="16"/>
                <w:szCs w:val="16"/>
                <w:color w:val="auto"/>
              </w:rPr>
              <w:t>Present value of lease liabilities</w:t>
            </w:r>
          </w:p>
        </w:tc>
        <w:tc>
          <w:tcPr>
            <w:tcW w:w="32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20" w:type="dxa"/>
            <w:vAlign w:val="bottom"/>
            <w:tcBorders>
              <w:bottom w:val="single" w:sz="8" w:color="7F7F7F"/>
            </w:tcBorders>
            <w:shd w:val="clear" w:color="auto" w:fill="CCEEFF"/>
          </w:tcPr>
          <w:p>
            <w:pPr>
              <w:spacing w:after="0"/>
              <w:rPr>
                <w:sz w:val="17"/>
                <w:szCs w:val="17"/>
                <w:color w:val="auto"/>
              </w:rPr>
            </w:pPr>
          </w:p>
        </w:tc>
        <w:tc>
          <w:tcPr>
            <w:tcW w:w="2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shd w:val="clear" w:color="auto" w:fill="CCEEFF"/>
          </w:tcPr>
          <w:p>
            <w:pPr>
              <w:spacing w:after="0"/>
              <w:rPr>
                <w:sz w:val="17"/>
                <w:szCs w:val="17"/>
                <w:color w:val="auto"/>
              </w:rPr>
            </w:pPr>
          </w:p>
        </w:tc>
        <w:tc>
          <w:tcPr>
            <w:tcW w:w="74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Borders>
              <w:bottom w:val="single" w:sz="8" w:color="808080"/>
            </w:tcBorders>
            <w:shd w:val="clear" w:color="auto" w:fill="CCEEFF"/>
          </w:tcPr>
          <w:p>
            <w:pPr>
              <w:spacing w:after="0"/>
              <w:rPr>
                <w:sz w:val="17"/>
                <w:szCs w:val="17"/>
                <w:color w:val="auto"/>
              </w:rPr>
            </w:pPr>
          </w:p>
        </w:tc>
        <w:tc>
          <w:tcPr>
            <w:tcW w:w="400" w:type="dxa"/>
            <w:vAlign w:val="bottom"/>
            <w:tcBorders>
              <w:bottom w:val="single" w:sz="8" w:color="808080"/>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0" w:type="dxa"/>
            <w:vAlign w:val="bottom"/>
          </w:tcPr>
          <w:p>
            <w:pPr>
              <w:spacing w:after="0"/>
              <w:rPr>
                <w:sz w:val="1"/>
                <w:szCs w:val="1"/>
                <w:color w:val="auto"/>
              </w:rPr>
            </w:pPr>
          </w:p>
        </w:tc>
      </w:tr>
      <w:tr>
        <w:trPr>
          <w:trHeight w:val="485"/>
        </w:trPr>
        <w:tc>
          <w:tcPr>
            <w:tcW w:w="7260" w:type="dxa"/>
            <w:vAlign w:val="bottom"/>
          </w:tcPr>
          <w:p>
            <w:pPr>
              <w:spacing w:after="0"/>
              <w:rPr>
                <w:sz w:val="20"/>
                <w:szCs w:val="20"/>
                <w:color w:val="auto"/>
              </w:rPr>
            </w:pPr>
            <w:r>
              <w:rPr>
                <w:rFonts w:ascii="Arial" w:cs="Arial" w:eastAsia="Arial" w:hAnsi="Arial"/>
                <w:sz w:val="17"/>
                <w:szCs w:val="17"/>
                <w:color w:val="auto"/>
              </w:rPr>
              <w:t>The following table presents the weighted average remaining lease term and discount rate:</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260" w:type="dxa"/>
            <w:vAlign w:val="bottom"/>
            <w:tcBorders>
              <w:bottom w:val="single" w:sz="8" w:color="7F7F7F"/>
            </w:tcBorders>
          </w:tcPr>
          <w:p>
            <w:pPr>
              <w:spacing w:after="0"/>
              <w:rPr>
                <w:sz w:val="24"/>
                <w:szCs w:val="24"/>
                <w:color w:val="auto"/>
              </w:rPr>
            </w:pPr>
          </w:p>
        </w:tc>
        <w:tc>
          <w:tcPr>
            <w:tcW w:w="320" w:type="dxa"/>
            <w:vAlign w:val="bottom"/>
            <w:tcBorders>
              <w:bottom w:val="single" w:sz="8" w:color="7F7F7F"/>
            </w:tcBorders>
          </w:tcPr>
          <w:p>
            <w:pPr>
              <w:spacing w:after="0"/>
              <w:rPr>
                <w:sz w:val="24"/>
                <w:szCs w:val="24"/>
                <w:color w:val="auto"/>
              </w:rPr>
            </w:pPr>
          </w:p>
        </w:tc>
        <w:tc>
          <w:tcPr>
            <w:tcW w:w="1020" w:type="dxa"/>
            <w:vAlign w:val="bottom"/>
            <w:tcBorders>
              <w:bottom w:val="single" w:sz="8" w:color="7F7F7F"/>
            </w:tcBorders>
          </w:tcPr>
          <w:p>
            <w:pPr>
              <w:spacing w:after="0"/>
              <w:rPr>
                <w:sz w:val="24"/>
                <w:szCs w:val="24"/>
                <w:color w:val="auto"/>
              </w:rPr>
            </w:pPr>
          </w:p>
        </w:tc>
        <w:tc>
          <w:tcPr>
            <w:tcW w:w="120" w:type="dxa"/>
            <w:vAlign w:val="bottom"/>
            <w:tcBorders>
              <w:bottom w:val="single" w:sz="8" w:color="7F7F7F"/>
            </w:tcBorders>
          </w:tcPr>
          <w:p>
            <w:pPr>
              <w:spacing w:after="0"/>
              <w:rPr>
                <w:sz w:val="24"/>
                <w:szCs w:val="24"/>
                <w:color w:val="auto"/>
              </w:rPr>
            </w:pPr>
          </w:p>
        </w:tc>
        <w:tc>
          <w:tcPr>
            <w:tcW w:w="200" w:type="dxa"/>
            <w:vAlign w:val="bottom"/>
            <w:tcBorders>
              <w:bottom w:val="single" w:sz="8" w:color="7F7F7F"/>
            </w:tcBorders>
          </w:tcPr>
          <w:p>
            <w:pPr>
              <w:spacing w:after="0"/>
              <w:rPr>
                <w:sz w:val="24"/>
                <w:szCs w:val="24"/>
                <w:color w:val="auto"/>
              </w:rPr>
            </w:pPr>
          </w:p>
        </w:tc>
        <w:tc>
          <w:tcPr>
            <w:tcW w:w="280" w:type="dxa"/>
            <w:vAlign w:val="bottom"/>
            <w:tcBorders>
              <w:bottom w:val="single" w:sz="8" w:color="7F7F7F"/>
            </w:tcBorders>
          </w:tcPr>
          <w:p>
            <w:pPr>
              <w:spacing w:after="0"/>
              <w:rPr>
                <w:sz w:val="24"/>
                <w:szCs w:val="24"/>
                <w:color w:val="auto"/>
              </w:rPr>
            </w:pPr>
          </w:p>
        </w:tc>
        <w:tc>
          <w:tcPr>
            <w:tcW w:w="740" w:type="dxa"/>
            <w:vAlign w:val="bottom"/>
            <w:tcBorders>
              <w:bottom w:val="single" w:sz="8" w:color="7F7F7F"/>
            </w:tcBorders>
          </w:tcPr>
          <w:p>
            <w:pPr>
              <w:spacing w:after="0"/>
              <w:rPr>
                <w:sz w:val="24"/>
                <w:szCs w:val="24"/>
                <w:color w:val="auto"/>
              </w:rPr>
            </w:pPr>
          </w:p>
        </w:tc>
        <w:tc>
          <w:tcPr>
            <w:tcW w:w="120" w:type="dxa"/>
            <w:vAlign w:val="bottom"/>
            <w:tcBorders>
              <w:bottom w:val="single" w:sz="8" w:color="7F7F7F"/>
            </w:tcBorders>
          </w:tcPr>
          <w:p>
            <w:pPr>
              <w:spacing w:after="0"/>
              <w:rPr>
                <w:sz w:val="24"/>
                <w:szCs w:val="24"/>
                <w:color w:val="auto"/>
              </w:rPr>
            </w:pPr>
          </w:p>
        </w:tc>
        <w:tc>
          <w:tcPr>
            <w:tcW w:w="180" w:type="dxa"/>
            <w:vAlign w:val="bottom"/>
            <w:tcBorders>
              <w:bottom w:val="single" w:sz="8" w:color="7F7F7F"/>
            </w:tcBorders>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78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Mar. 31,</w:t>
            </w:r>
          </w:p>
        </w:tc>
        <w:tc>
          <w:tcPr>
            <w:tcW w:w="0" w:type="dxa"/>
            <w:vAlign w:val="bottom"/>
          </w:tcPr>
          <w:p>
            <w:pPr>
              <w:spacing w:after="0"/>
              <w:rPr>
                <w:sz w:val="1"/>
                <w:szCs w:val="1"/>
                <w:color w:val="auto"/>
              </w:rPr>
            </w:pPr>
          </w:p>
        </w:tc>
      </w:tr>
      <w:tr>
        <w:trPr>
          <w:trHeight w:val="203"/>
        </w:trPr>
        <w:tc>
          <w:tcPr>
            <w:tcW w:w="7260" w:type="dxa"/>
            <w:vAlign w:val="bottom"/>
            <w:tcBorders>
              <w:bottom w:val="single" w:sz="8" w:color="7F7F7F"/>
            </w:tcBorders>
          </w:tcPr>
          <w:p>
            <w:pPr>
              <w:spacing w:after="0"/>
              <w:rPr>
                <w:sz w:val="17"/>
                <w:szCs w:val="17"/>
                <w:color w:val="auto"/>
              </w:rPr>
            </w:pPr>
          </w:p>
        </w:tc>
        <w:tc>
          <w:tcPr>
            <w:tcW w:w="320" w:type="dxa"/>
            <w:vAlign w:val="bottom"/>
            <w:tcBorders>
              <w:bottom w:val="single" w:sz="8" w:color="7F7F7F"/>
            </w:tcBorders>
          </w:tcPr>
          <w:p>
            <w:pPr>
              <w:spacing w:after="0"/>
              <w:rPr>
                <w:sz w:val="17"/>
                <w:szCs w:val="17"/>
                <w:color w:val="auto"/>
              </w:rPr>
            </w:pPr>
          </w:p>
        </w:tc>
        <w:tc>
          <w:tcPr>
            <w:tcW w:w="1020" w:type="dxa"/>
            <w:vAlign w:val="bottom"/>
            <w:tcBorders>
              <w:bottom w:val="single" w:sz="8" w:color="7F7F7F"/>
            </w:tcBorders>
          </w:tcPr>
          <w:p>
            <w:pPr>
              <w:spacing w:after="0"/>
              <w:rPr>
                <w:sz w:val="17"/>
                <w:szCs w:val="17"/>
                <w:color w:val="auto"/>
              </w:rPr>
            </w:pPr>
          </w:p>
        </w:tc>
        <w:tc>
          <w:tcPr>
            <w:tcW w:w="120" w:type="dxa"/>
            <w:vAlign w:val="bottom"/>
            <w:tcBorders>
              <w:bottom w:val="single" w:sz="8" w:color="7F7F7F"/>
            </w:tcBorders>
          </w:tcPr>
          <w:p>
            <w:pPr>
              <w:spacing w:after="0"/>
              <w:rPr>
                <w:sz w:val="17"/>
                <w:szCs w:val="17"/>
                <w:color w:val="auto"/>
              </w:rPr>
            </w:pPr>
          </w:p>
        </w:tc>
        <w:tc>
          <w:tcPr>
            <w:tcW w:w="200" w:type="dxa"/>
            <w:vAlign w:val="bottom"/>
            <w:tcBorders>
              <w:bottom w:val="single" w:sz="8" w:color="7F7F7F"/>
            </w:tcBorders>
          </w:tcPr>
          <w:p>
            <w:pPr>
              <w:spacing w:after="0"/>
              <w:rPr>
                <w:sz w:val="17"/>
                <w:szCs w:val="17"/>
                <w:color w:val="auto"/>
              </w:rPr>
            </w:pPr>
          </w:p>
        </w:tc>
        <w:tc>
          <w:tcPr>
            <w:tcW w:w="280" w:type="dxa"/>
            <w:vAlign w:val="bottom"/>
            <w:tcBorders>
              <w:bottom w:val="single" w:sz="8" w:color="7F7F7F"/>
            </w:tcBorders>
          </w:tcPr>
          <w:p>
            <w:pPr>
              <w:spacing w:after="0"/>
              <w:rPr>
                <w:sz w:val="17"/>
                <w:szCs w:val="17"/>
                <w:color w:val="auto"/>
              </w:rPr>
            </w:pPr>
          </w:p>
        </w:tc>
        <w:tc>
          <w:tcPr>
            <w:tcW w:w="740" w:type="dxa"/>
            <w:vAlign w:val="bottom"/>
            <w:tcBorders>
              <w:bottom w:val="single" w:sz="8" w:color="7F7F7F"/>
            </w:tcBorders>
          </w:tcPr>
          <w:p>
            <w:pPr>
              <w:spacing w:after="0"/>
              <w:rPr>
                <w:sz w:val="17"/>
                <w:szCs w:val="17"/>
                <w:color w:val="auto"/>
              </w:rPr>
            </w:pPr>
          </w:p>
        </w:tc>
        <w:tc>
          <w:tcPr>
            <w:tcW w:w="120" w:type="dxa"/>
            <w:vAlign w:val="bottom"/>
            <w:tcBorders>
              <w:bottom w:val="single" w:sz="8" w:color="7F7F7F"/>
            </w:tcBorders>
          </w:tcPr>
          <w:p>
            <w:pPr>
              <w:spacing w:after="0"/>
              <w:rPr>
                <w:sz w:val="17"/>
                <w:szCs w:val="17"/>
                <w:color w:val="auto"/>
              </w:rPr>
            </w:pPr>
          </w:p>
        </w:tc>
        <w:tc>
          <w:tcPr>
            <w:tcW w:w="180" w:type="dxa"/>
            <w:vAlign w:val="bottom"/>
            <w:tcBorders>
              <w:bottom w:val="single" w:sz="8" w:color="7F7F7F"/>
            </w:tcBorders>
          </w:tcPr>
          <w:p>
            <w:pPr>
              <w:spacing w:after="0"/>
              <w:rPr>
                <w:sz w:val="17"/>
                <w:szCs w:val="17"/>
                <w:color w:val="auto"/>
              </w:rPr>
            </w:pPr>
          </w:p>
        </w:tc>
        <w:tc>
          <w:tcPr>
            <w:tcW w:w="22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2020</w:t>
            </w:r>
          </w:p>
        </w:tc>
        <w:tc>
          <w:tcPr>
            <w:tcW w:w="0" w:type="dxa"/>
            <w:vAlign w:val="bottom"/>
          </w:tcPr>
          <w:p>
            <w:pPr>
              <w:spacing w:after="0"/>
              <w:rPr>
                <w:sz w:val="1"/>
                <w:szCs w:val="1"/>
                <w:color w:val="auto"/>
              </w:rPr>
            </w:pPr>
          </w:p>
        </w:tc>
      </w:tr>
      <w:tr>
        <w:trPr>
          <w:trHeight w:val="187"/>
        </w:trPr>
        <w:tc>
          <w:tcPr>
            <w:tcW w:w="7260" w:type="dxa"/>
            <w:vAlign w:val="bottom"/>
          </w:tcPr>
          <w:p>
            <w:pPr>
              <w:ind w:left="40"/>
              <w:spacing w:after="0"/>
              <w:rPr>
                <w:sz w:val="20"/>
                <w:szCs w:val="20"/>
                <w:color w:val="auto"/>
              </w:rPr>
            </w:pPr>
            <w:r>
              <w:rPr>
                <w:rFonts w:ascii="Arial" w:cs="Arial" w:eastAsia="Arial" w:hAnsi="Arial"/>
                <w:sz w:val="16"/>
                <w:szCs w:val="16"/>
                <w:color w:val="auto"/>
              </w:rPr>
              <w:t>Weighted-average remaining lease term (years)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leases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3"/>
        </w:trPr>
        <w:tc>
          <w:tcPr>
            <w:tcW w:w="7260" w:type="dxa"/>
            <w:vAlign w:val="bottom"/>
          </w:tcPr>
          <w:p>
            <w:pPr>
              <w:ind w:left="320"/>
              <w:spacing w:after="0"/>
              <w:rPr>
                <w:sz w:val="20"/>
                <w:szCs w:val="20"/>
                <w:color w:val="auto"/>
              </w:rPr>
            </w:pPr>
            <w:r>
              <w:rPr>
                <w:rFonts w:ascii="Arial" w:cs="Arial" w:eastAsia="Arial" w:hAnsi="Arial"/>
                <w:sz w:val="16"/>
                <w:szCs w:val="16"/>
                <w:color w:val="auto"/>
              </w:rPr>
              <w:t>Finance leases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20"/>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discount rate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260" w:type="dxa"/>
            <w:vAlign w:val="bottom"/>
          </w:tcPr>
          <w:p>
            <w:pPr>
              <w:ind w:left="260"/>
              <w:spacing w:after="0"/>
              <w:rPr>
                <w:sz w:val="20"/>
                <w:szCs w:val="20"/>
                <w:color w:val="auto"/>
              </w:rPr>
            </w:pPr>
            <w:r>
              <w:rPr>
                <w:rFonts w:ascii="Arial" w:cs="Arial" w:eastAsia="Arial" w:hAnsi="Arial"/>
                <w:sz w:val="16"/>
                <w:szCs w:val="16"/>
                <w:color w:val="auto"/>
              </w:rPr>
              <w:t>Operating leases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7260" w:type="dxa"/>
            <w:vAlign w:val="bottom"/>
            <w:tcBorders>
              <w:bottom w:val="single" w:sz="8" w:color="7F7F7F"/>
            </w:tcBorders>
            <w:shd w:val="clear" w:color="auto" w:fill="CCEEFF"/>
          </w:tcPr>
          <w:p>
            <w:pPr>
              <w:ind w:left="320"/>
              <w:spacing w:after="0"/>
              <w:rPr>
                <w:sz w:val="20"/>
                <w:szCs w:val="20"/>
                <w:color w:val="auto"/>
              </w:rPr>
            </w:pPr>
            <w:r>
              <w:rPr>
                <w:rFonts w:ascii="Arial" w:cs="Arial" w:eastAsia="Arial" w:hAnsi="Arial"/>
                <w:sz w:val="16"/>
                <w:szCs w:val="16"/>
                <w:color w:val="auto"/>
              </w:rPr>
              <w:t>Finance leases</w:t>
            </w:r>
          </w:p>
        </w:tc>
        <w:tc>
          <w:tcPr>
            <w:tcW w:w="320" w:type="dxa"/>
            <w:vAlign w:val="bottom"/>
            <w:tcBorders>
              <w:bottom w:val="single" w:sz="8" w:color="7F7F7F"/>
            </w:tcBorders>
            <w:shd w:val="clear" w:color="auto" w:fill="CCEEFF"/>
          </w:tcPr>
          <w:p>
            <w:pPr>
              <w:spacing w:after="0"/>
              <w:rPr>
                <w:sz w:val="19"/>
                <w:szCs w:val="19"/>
                <w:color w:val="auto"/>
              </w:rPr>
            </w:pPr>
          </w:p>
        </w:tc>
        <w:tc>
          <w:tcPr>
            <w:tcW w:w="1020" w:type="dxa"/>
            <w:vAlign w:val="bottom"/>
            <w:tcBorders>
              <w:bottom w:val="single" w:sz="8" w:color="7F7F7F"/>
            </w:tcBorders>
            <w:shd w:val="clear" w:color="auto" w:fill="CCEEFF"/>
          </w:tcPr>
          <w:p>
            <w:pPr>
              <w:spacing w:after="0"/>
              <w:rPr>
                <w:sz w:val="19"/>
                <w:szCs w:val="19"/>
                <w:color w:val="auto"/>
              </w:rPr>
            </w:pPr>
          </w:p>
        </w:tc>
        <w:tc>
          <w:tcPr>
            <w:tcW w:w="120" w:type="dxa"/>
            <w:vAlign w:val="bottom"/>
            <w:tcBorders>
              <w:bottom w:val="single" w:sz="8" w:color="7F7F7F"/>
            </w:tcBorders>
            <w:shd w:val="clear" w:color="auto" w:fill="CCEEFF"/>
          </w:tcPr>
          <w:p>
            <w:pPr>
              <w:spacing w:after="0"/>
              <w:rPr>
                <w:sz w:val="19"/>
                <w:szCs w:val="19"/>
                <w:color w:val="auto"/>
              </w:rPr>
            </w:pPr>
          </w:p>
        </w:tc>
        <w:tc>
          <w:tcPr>
            <w:tcW w:w="200" w:type="dxa"/>
            <w:vAlign w:val="bottom"/>
            <w:tcBorders>
              <w:bottom w:val="single" w:sz="8" w:color="7F7F7F"/>
            </w:tcBorders>
            <w:shd w:val="clear" w:color="auto" w:fill="CCEEFF"/>
          </w:tcPr>
          <w:p>
            <w:pPr>
              <w:spacing w:after="0"/>
              <w:rPr>
                <w:sz w:val="19"/>
                <w:szCs w:val="19"/>
                <w:color w:val="auto"/>
              </w:rPr>
            </w:pPr>
          </w:p>
        </w:tc>
        <w:tc>
          <w:tcPr>
            <w:tcW w:w="280" w:type="dxa"/>
            <w:vAlign w:val="bottom"/>
            <w:tcBorders>
              <w:bottom w:val="single" w:sz="8" w:color="7F7F7F"/>
            </w:tcBorders>
            <w:shd w:val="clear" w:color="auto" w:fill="CCEEFF"/>
          </w:tcPr>
          <w:p>
            <w:pPr>
              <w:spacing w:after="0"/>
              <w:rPr>
                <w:sz w:val="19"/>
                <w:szCs w:val="19"/>
                <w:color w:val="auto"/>
              </w:rPr>
            </w:pPr>
          </w:p>
        </w:tc>
        <w:tc>
          <w:tcPr>
            <w:tcW w:w="740" w:type="dxa"/>
            <w:vAlign w:val="bottom"/>
            <w:tcBorders>
              <w:bottom w:val="single" w:sz="8" w:color="7F7F7F"/>
            </w:tcBorders>
            <w:shd w:val="clear" w:color="auto" w:fill="CCEEFF"/>
          </w:tcPr>
          <w:p>
            <w:pPr>
              <w:spacing w:after="0"/>
              <w:rPr>
                <w:sz w:val="19"/>
                <w:szCs w:val="19"/>
                <w:color w:val="auto"/>
              </w:rPr>
            </w:pPr>
          </w:p>
        </w:tc>
        <w:tc>
          <w:tcPr>
            <w:tcW w:w="120" w:type="dxa"/>
            <w:vAlign w:val="bottom"/>
            <w:tcBorders>
              <w:bottom w:val="single" w:sz="8" w:color="7F7F7F"/>
            </w:tcBorders>
            <w:shd w:val="clear" w:color="auto" w:fill="CCEEFF"/>
          </w:tcPr>
          <w:p>
            <w:pPr>
              <w:spacing w:after="0"/>
              <w:rPr>
                <w:sz w:val="19"/>
                <w:szCs w:val="19"/>
                <w:color w:val="auto"/>
              </w:rPr>
            </w:pPr>
          </w:p>
        </w:tc>
        <w:tc>
          <w:tcPr>
            <w:tcW w:w="180" w:type="dxa"/>
            <w:vAlign w:val="bottom"/>
            <w:tcBorders>
              <w:bottom w:val="single" w:sz="8" w:color="7F7F7F"/>
            </w:tcBorders>
            <w:shd w:val="clear" w:color="auto" w:fill="CCEEFF"/>
          </w:tcPr>
          <w:p>
            <w:pPr>
              <w:spacing w:after="0"/>
              <w:rPr>
                <w:sz w:val="19"/>
                <w:szCs w:val="19"/>
                <w:color w:val="auto"/>
              </w:rPr>
            </w:pPr>
          </w:p>
        </w:tc>
        <w:tc>
          <w:tcPr>
            <w:tcW w:w="220" w:type="dxa"/>
            <w:vAlign w:val="bottom"/>
            <w:tcBorders>
              <w:bottom w:val="single" w:sz="8" w:color="7F7F7F"/>
            </w:tcBorders>
            <w:shd w:val="clear" w:color="auto" w:fill="CCEEFF"/>
          </w:tcPr>
          <w:p>
            <w:pPr>
              <w:spacing w:after="0"/>
              <w:rPr>
                <w:sz w:val="19"/>
                <w:szCs w:val="19"/>
                <w:color w:val="auto"/>
              </w:rPr>
            </w:pPr>
          </w:p>
        </w:tc>
        <w:tc>
          <w:tcPr>
            <w:tcW w:w="7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432"/>
        </w:trPr>
        <w:tc>
          <w:tcPr>
            <w:tcW w:w="7260" w:type="dxa"/>
            <w:vAlign w:val="bottom"/>
          </w:tcPr>
          <w:p>
            <w:pPr>
              <w:spacing w:after="0"/>
              <w:rPr>
                <w:sz w:val="20"/>
                <w:szCs w:val="20"/>
                <w:color w:val="auto"/>
              </w:rPr>
            </w:pPr>
            <w:r>
              <w:rPr>
                <w:rFonts w:ascii="Arial" w:cs="Arial" w:eastAsia="Arial" w:hAnsi="Arial"/>
                <w:sz w:val="17"/>
                <w:szCs w:val="17"/>
                <w:color w:val="auto"/>
              </w:rPr>
              <w:t>The following table presents other information related to our operating and finance leases: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260" w:type="dxa"/>
            <w:vAlign w:val="bottom"/>
            <w:tcBorders>
              <w:bottom w:val="single" w:sz="8" w:color="7F7F7F"/>
            </w:tcBorders>
          </w:tcPr>
          <w:p>
            <w:pPr>
              <w:spacing w:after="0"/>
              <w:rPr>
                <w:sz w:val="24"/>
                <w:szCs w:val="24"/>
                <w:color w:val="auto"/>
              </w:rPr>
            </w:pPr>
          </w:p>
        </w:tc>
        <w:tc>
          <w:tcPr>
            <w:tcW w:w="320" w:type="dxa"/>
            <w:vAlign w:val="bottom"/>
            <w:tcBorders>
              <w:bottom w:val="single" w:sz="8" w:color="7F7F7F"/>
            </w:tcBorders>
          </w:tcPr>
          <w:p>
            <w:pPr>
              <w:spacing w:after="0"/>
              <w:rPr>
                <w:sz w:val="24"/>
                <w:szCs w:val="24"/>
                <w:color w:val="auto"/>
              </w:rPr>
            </w:pPr>
          </w:p>
        </w:tc>
        <w:tc>
          <w:tcPr>
            <w:tcW w:w="1020" w:type="dxa"/>
            <w:vAlign w:val="bottom"/>
            <w:tcBorders>
              <w:bottom w:val="single" w:sz="8" w:color="7F7F7F"/>
            </w:tcBorders>
          </w:tcPr>
          <w:p>
            <w:pPr>
              <w:spacing w:after="0"/>
              <w:rPr>
                <w:sz w:val="24"/>
                <w:szCs w:val="24"/>
                <w:color w:val="auto"/>
              </w:rPr>
            </w:pPr>
          </w:p>
        </w:tc>
        <w:tc>
          <w:tcPr>
            <w:tcW w:w="120" w:type="dxa"/>
            <w:vAlign w:val="bottom"/>
            <w:tcBorders>
              <w:bottom w:val="single" w:sz="8" w:color="7F7F7F"/>
            </w:tcBorders>
          </w:tcPr>
          <w:p>
            <w:pPr>
              <w:spacing w:after="0"/>
              <w:rPr>
                <w:sz w:val="24"/>
                <w:szCs w:val="24"/>
                <w:color w:val="auto"/>
              </w:rPr>
            </w:pPr>
          </w:p>
        </w:tc>
        <w:tc>
          <w:tcPr>
            <w:tcW w:w="200" w:type="dxa"/>
            <w:vAlign w:val="bottom"/>
            <w:tcBorders>
              <w:bottom w:val="single" w:sz="8" w:color="7F7F7F"/>
            </w:tcBorders>
          </w:tcPr>
          <w:p>
            <w:pPr>
              <w:spacing w:after="0"/>
              <w:rPr>
                <w:sz w:val="24"/>
                <w:szCs w:val="24"/>
                <w:color w:val="auto"/>
              </w:rPr>
            </w:pPr>
          </w:p>
        </w:tc>
        <w:tc>
          <w:tcPr>
            <w:tcW w:w="280" w:type="dxa"/>
            <w:vAlign w:val="bottom"/>
            <w:tcBorders>
              <w:bottom w:val="single" w:sz="8" w:color="7F7F7F"/>
            </w:tcBorders>
          </w:tcPr>
          <w:p>
            <w:pPr>
              <w:spacing w:after="0"/>
              <w:rPr>
                <w:sz w:val="24"/>
                <w:szCs w:val="24"/>
                <w:color w:val="auto"/>
              </w:rPr>
            </w:pPr>
          </w:p>
        </w:tc>
        <w:tc>
          <w:tcPr>
            <w:tcW w:w="740" w:type="dxa"/>
            <w:vAlign w:val="bottom"/>
            <w:tcBorders>
              <w:bottom w:val="single" w:sz="8" w:color="7F7F7F"/>
            </w:tcBorders>
          </w:tcPr>
          <w:p>
            <w:pPr>
              <w:spacing w:after="0"/>
              <w:rPr>
                <w:sz w:val="24"/>
                <w:szCs w:val="24"/>
                <w:color w:val="auto"/>
              </w:rPr>
            </w:pPr>
          </w:p>
        </w:tc>
        <w:tc>
          <w:tcPr>
            <w:tcW w:w="120" w:type="dxa"/>
            <w:vAlign w:val="bottom"/>
            <w:tcBorders>
              <w:bottom w:val="single" w:sz="8" w:color="7F7F7F"/>
            </w:tcBorders>
          </w:tcPr>
          <w:p>
            <w:pPr>
              <w:spacing w:after="0"/>
              <w:rPr>
                <w:sz w:val="24"/>
                <w:szCs w:val="24"/>
                <w:color w:val="auto"/>
              </w:rPr>
            </w:pPr>
          </w:p>
        </w:tc>
        <w:tc>
          <w:tcPr>
            <w:tcW w:w="180" w:type="dxa"/>
            <w:vAlign w:val="bottom"/>
            <w:tcBorders>
              <w:bottom w:val="single" w:sz="8" w:color="7F7F7F"/>
            </w:tcBorders>
          </w:tcPr>
          <w:p>
            <w:pPr>
              <w:spacing w:after="0"/>
              <w:rPr>
                <w:sz w:val="24"/>
                <w:szCs w:val="24"/>
                <w:color w:val="auto"/>
              </w:rPr>
            </w:pPr>
          </w:p>
        </w:tc>
        <w:tc>
          <w:tcPr>
            <w:tcW w:w="220" w:type="dxa"/>
            <w:vAlign w:val="bottom"/>
            <w:tcBorders>
              <w:bottom w:val="single" w:sz="8" w:color="7F7F7F"/>
            </w:tcBorders>
          </w:tcPr>
          <w:p>
            <w:pPr>
              <w:spacing w:after="0"/>
              <w:rPr>
                <w:sz w:val="24"/>
                <w:szCs w:val="24"/>
                <w:color w:val="auto"/>
              </w:rPr>
            </w:pPr>
          </w:p>
        </w:tc>
        <w:tc>
          <w:tcPr>
            <w:tcW w:w="780" w:type="dxa"/>
            <w:vAlign w:val="bottom"/>
            <w:tcBorders>
              <w:bottom w:val="single" w:sz="8" w:color="7F7F7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260" w:type="dxa"/>
            <w:vAlign w:val="bottom"/>
          </w:tcPr>
          <w:p>
            <w:pPr>
              <w:ind w:left="40"/>
              <w:spacing w:after="0"/>
              <w:rPr>
                <w:sz w:val="20"/>
                <w:szCs w:val="20"/>
                <w:color w:val="auto"/>
              </w:rPr>
            </w:pPr>
            <w:r>
              <w:rPr>
                <w:rFonts w:ascii="Arial" w:cs="Arial" w:eastAsia="Arial" w:hAnsi="Arial"/>
                <w:sz w:val="16"/>
                <w:szCs w:val="16"/>
                <w:i w:val="1"/>
                <w:iCs w:val="1"/>
                <w:color w:val="auto"/>
              </w:rPr>
              <w:t>Millions,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i w:val="1"/>
                <w:iCs w:val="1"/>
                <w:color w:val="auto"/>
              </w:rPr>
              <w:t>2020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2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Three Months Ended March 31,</w:t>
            </w:r>
          </w:p>
        </w:tc>
        <w:tc>
          <w:tcPr>
            <w:tcW w:w="320" w:type="dxa"/>
            <w:vAlign w:val="bottom"/>
            <w:tcBorders>
              <w:bottom w:val="single" w:sz="8" w:color="7F7F7F"/>
            </w:tcBorders>
          </w:tcPr>
          <w:p>
            <w:pPr>
              <w:spacing w:after="0"/>
              <w:rPr>
                <w:sz w:val="16"/>
                <w:szCs w:val="16"/>
                <w:color w:val="auto"/>
              </w:rPr>
            </w:pPr>
          </w:p>
        </w:tc>
        <w:tc>
          <w:tcPr>
            <w:tcW w:w="1020" w:type="dxa"/>
            <w:vAlign w:val="bottom"/>
            <w:tcBorders>
              <w:bottom w:val="single" w:sz="8" w:color="7F7F7F"/>
            </w:tcBorders>
          </w:tcPr>
          <w:p>
            <w:pPr>
              <w:spacing w:after="0"/>
              <w:rPr>
                <w:sz w:val="16"/>
                <w:szCs w:val="16"/>
                <w:color w:val="auto"/>
              </w:rPr>
            </w:pPr>
          </w:p>
        </w:tc>
        <w:tc>
          <w:tcPr>
            <w:tcW w:w="12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280" w:type="dxa"/>
            <w:vAlign w:val="bottom"/>
            <w:tcBorders>
              <w:bottom w:val="single" w:sz="8" w:color="7F7F7F"/>
            </w:tcBorders>
          </w:tcPr>
          <w:p>
            <w:pPr>
              <w:spacing w:after="0"/>
              <w:rPr>
                <w:sz w:val="16"/>
                <w:szCs w:val="16"/>
                <w:color w:val="auto"/>
              </w:rPr>
            </w:pPr>
          </w:p>
        </w:tc>
        <w:tc>
          <w:tcPr>
            <w:tcW w:w="860" w:type="dxa"/>
            <w:vAlign w:val="bottom"/>
            <w:tcBorders>
              <w:bottom w:val="single" w:sz="8" w:color="7F7F7F"/>
            </w:tcBorders>
            <w:gridSpan w:val="2"/>
            <w:vMerge w:val="continue"/>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220" w:type="dxa"/>
            <w:vAlign w:val="bottom"/>
            <w:tcBorders>
              <w:bottom w:val="single" w:sz="8" w:color="7F7F7F"/>
            </w:tcBorders>
          </w:tcPr>
          <w:p>
            <w:pPr>
              <w:spacing w:after="0"/>
              <w:rPr>
                <w:sz w:val="16"/>
                <w:szCs w:val="16"/>
                <w:color w:val="auto"/>
              </w:rPr>
            </w:pPr>
          </w:p>
        </w:tc>
        <w:tc>
          <w:tcPr>
            <w:tcW w:w="7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0" w:type="dxa"/>
            <w:vAlign w:val="bottom"/>
          </w:tcPr>
          <w:p>
            <w:pPr>
              <w:spacing w:after="0"/>
              <w:rPr>
                <w:sz w:val="1"/>
                <w:szCs w:val="1"/>
                <w:color w:val="auto"/>
              </w:rPr>
            </w:pPr>
          </w:p>
        </w:tc>
      </w:tr>
      <w:tr>
        <w:trPr>
          <w:trHeight w:val="197"/>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260" w:type="dxa"/>
            <w:vAlign w:val="bottom"/>
          </w:tcPr>
          <w:p>
            <w:pPr>
              <w:ind w:left="260"/>
              <w:spacing w:after="0"/>
              <w:rPr>
                <w:sz w:val="20"/>
                <w:szCs w:val="20"/>
                <w:color w:val="auto"/>
              </w:rPr>
            </w:pPr>
            <w:r>
              <w:rPr>
                <w:rFonts w:ascii="Arial" w:cs="Arial" w:eastAsia="Arial" w:hAnsi="Arial"/>
                <w:sz w:val="16"/>
                <w:szCs w:val="16"/>
                <w:color w:val="auto"/>
              </w:rPr>
              <w:t>Operating cash flows from operating leases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1"/>
        </w:trPr>
        <w:tc>
          <w:tcPr>
            <w:tcW w:w="7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Operating cash flows from finance leases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13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9"/>
        </w:trPr>
        <w:tc>
          <w:tcPr>
            <w:tcW w:w="7260" w:type="dxa"/>
            <w:vAlign w:val="bottom"/>
          </w:tcPr>
          <w:p>
            <w:pPr>
              <w:ind w:left="260"/>
              <w:spacing w:after="0"/>
              <w:rPr>
                <w:sz w:val="20"/>
                <w:szCs w:val="20"/>
                <w:color w:val="auto"/>
              </w:rPr>
            </w:pPr>
            <w:r>
              <w:rPr>
                <w:rFonts w:ascii="Arial" w:cs="Arial" w:eastAsia="Arial" w:hAnsi="Arial"/>
                <w:sz w:val="16"/>
                <w:szCs w:val="16"/>
                <w:color w:val="auto"/>
              </w:rPr>
              <w:t>Financing cash flows from finance leases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1"/>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Leased assets obtained in exchange for finance lease liabilities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26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Leased assets obtained in exchange for operating lease liabilities</w:t>
            </w:r>
          </w:p>
        </w:tc>
        <w:tc>
          <w:tcPr>
            <w:tcW w:w="320" w:type="dxa"/>
            <w:vAlign w:val="bottom"/>
            <w:tcBorders>
              <w:bottom w:val="single" w:sz="8" w:color="7F7F7F"/>
            </w:tcBorders>
          </w:tcPr>
          <w:p>
            <w:pPr>
              <w:spacing w:after="0"/>
              <w:rPr>
                <w:sz w:val="18"/>
                <w:szCs w:val="18"/>
                <w:color w:val="auto"/>
              </w:rPr>
            </w:pPr>
          </w:p>
        </w:tc>
        <w:tc>
          <w:tcPr>
            <w:tcW w:w="1020" w:type="dxa"/>
            <w:vAlign w:val="bottom"/>
            <w:tcBorders>
              <w:bottom w:val="single" w:sz="8" w:color="7F7F7F"/>
            </w:tcBorders>
          </w:tcPr>
          <w:p>
            <w:pPr>
              <w:spacing w:after="0"/>
              <w:rPr>
                <w:sz w:val="18"/>
                <w:szCs w:val="18"/>
                <w:color w:val="auto"/>
              </w:rPr>
            </w:pPr>
          </w:p>
        </w:tc>
        <w:tc>
          <w:tcPr>
            <w:tcW w:w="120" w:type="dxa"/>
            <w:vAlign w:val="bottom"/>
            <w:tcBorders>
              <w:bottom w:val="single" w:sz="8" w:color="7F7F7F"/>
            </w:tcBorders>
          </w:tcPr>
          <w:p>
            <w:pPr>
              <w:spacing w:after="0"/>
              <w:rPr>
                <w:sz w:val="18"/>
                <w:szCs w:val="18"/>
                <w:color w:val="auto"/>
              </w:rPr>
            </w:pPr>
          </w:p>
        </w:tc>
        <w:tc>
          <w:tcPr>
            <w:tcW w:w="200" w:type="dxa"/>
            <w:vAlign w:val="bottom"/>
            <w:tcBorders>
              <w:bottom w:val="single" w:sz="8" w:color="7F7F7F"/>
            </w:tcBorders>
          </w:tcPr>
          <w:p>
            <w:pPr>
              <w:spacing w:after="0"/>
              <w:rPr>
                <w:sz w:val="18"/>
                <w:szCs w:val="18"/>
                <w:color w:val="auto"/>
              </w:rPr>
            </w:pPr>
          </w:p>
        </w:tc>
        <w:tc>
          <w:tcPr>
            <w:tcW w:w="280" w:type="dxa"/>
            <w:vAlign w:val="bottom"/>
            <w:tcBorders>
              <w:bottom w:val="single" w:sz="8" w:color="7F7F7F"/>
            </w:tcBorders>
          </w:tcPr>
          <w:p>
            <w:pPr>
              <w:spacing w:after="0"/>
              <w:rPr>
                <w:sz w:val="18"/>
                <w:szCs w:val="18"/>
                <w:color w:val="auto"/>
              </w:rPr>
            </w:pPr>
          </w:p>
        </w:tc>
        <w:tc>
          <w:tcPr>
            <w:tcW w:w="860" w:type="dxa"/>
            <w:vAlign w:val="bottom"/>
            <w:tcBorders>
              <w:bottom w:val="single" w:sz="8" w:color="7F7F7F"/>
            </w:tcBorders>
            <w:gridSpan w:val="2"/>
          </w:tcPr>
          <w:p>
            <w:pPr>
              <w:jc w:val="right"/>
              <w:ind w:right="120"/>
              <w:spacing w:after="0"/>
              <w:rPr>
                <w:sz w:val="20"/>
                <w:szCs w:val="20"/>
                <w:color w:val="auto"/>
              </w:rPr>
            </w:pPr>
            <w:r>
              <w:rPr>
                <w:rFonts w:ascii="Arial" w:cs="Arial" w:eastAsia="Arial" w:hAnsi="Arial"/>
                <w:sz w:val="16"/>
                <w:szCs w:val="16"/>
                <w:b w:val="1"/>
                <w:bCs w:val="1"/>
                <w:color w:val="auto"/>
              </w:rPr>
              <w:t>45</w:t>
            </w:r>
          </w:p>
        </w:tc>
        <w:tc>
          <w:tcPr>
            <w:tcW w:w="180" w:type="dxa"/>
            <w:vAlign w:val="bottom"/>
            <w:tcBorders>
              <w:bottom w:val="single" w:sz="8" w:color="7F7F7F"/>
            </w:tcBorders>
          </w:tcPr>
          <w:p>
            <w:pPr>
              <w:spacing w:after="0"/>
              <w:rPr>
                <w:sz w:val="18"/>
                <w:szCs w:val="18"/>
                <w:color w:val="auto"/>
              </w:rPr>
            </w:pPr>
          </w:p>
        </w:tc>
        <w:tc>
          <w:tcPr>
            <w:tcW w:w="220" w:type="dxa"/>
            <w:vAlign w:val="bottom"/>
            <w:tcBorders>
              <w:bottom w:val="single" w:sz="8" w:color="7F7F7F"/>
            </w:tcBorders>
          </w:tcPr>
          <w:p>
            <w:pPr>
              <w:spacing w:after="0"/>
              <w:rPr>
                <w:sz w:val="18"/>
                <w:szCs w:val="18"/>
                <w:color w:val="auto"/>
              </w:rPr>
            </w:pPr>
          </w:p>
        </w:tc>
        <w:tc>
          <w:tcPr>
            <w:tcW w:w="7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Commitments and Contingencies</w:t>
      </w:r>
    </w:p>
    <w:p>
      <w:pPr>
        <w:spacing w:after="0" w:line="17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color w:val="auto"/>
        </w:rPr>
        <w:t xml:space="preserve">Asserted and Unasserted Claims </w:t>
      </w:r>
      <w:r>
        <w:rPr>
          <w:rFonts w:ascii="Arial" w:cs="Arial" w:eastAsia="Arial" w:hAnsi="Arial"/>
          <w:sz w:val="17"/>
          <w:szCs w:val="17"/>
          <w:color w:val="auto"/>
        </w:rPr>
        <w:t>– Various claims and lawsuits are pending against us and certain of our subsidiaries. We cannot fully</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 the effect of all asserted and unasserted claims on our consolidated results of operations, financial condition, or liquidity. To the extent possible, we have recorded a liability where asserted and unasserted claims are considered probable and where such claims can be reasonably estimated. We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spacing w:after="0" w:line="13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Personal Injury </w:t>
      </w:r>
      <w:r>
        <w:rPr>
          <w:rFonts w:ascii="Arial" w:cs="Arial" w:eastAsia="Arial" w:hAnsi="Arial"/>
          <w:sz w:val="17"/>
          <w:szCs w:val="17"/>
          <w:color w:val="auto"/>
        </w:rPr>
        <w:t>– The cost of personal injuries to employees and others related to our activities is charged to expense based on estimates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ultimate cost and number of incidents each year. We use an actuarial analysis to measure the expense and liability, including unasserted claims. The Federal Employers’ Liability Act (FELA) governs compensation for work-related accidents. Under FELA, damages are assessed based on a finding of fault through litigation or out-of-court settlements. We offer a comprehensive variety of services and rehabilitation programs for employees who are injured at work.</w:t>
      </w:r>
    </w:p>
    <w:p>
      <w:pPr>
        <w:spacing w:after="0" w:line="158"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Our personal injury liability is not discounted to present value due to the uncertainty surrounding the timing of future payments. Approximately 94% of the recorded liability is related to asserted claims and approximately 6% is related to unasserted claims at March 31, 2020. Because of the uncertainty surrounding the ultimate outcome of personal injury claims, it is reasonably possible that future costs to settle these claims may range from approximately $270 million to $295 million. We record an accrual at the low end of the range as no amount of loss within the range is more probable than any other. Estimates can vary over time due to evolving trends in litigation.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Our personal injury liability activity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6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3240" w:type="dxa"/>
            <w:vAlign w:val="bottom"/>
            <w:tcBorders>
              <w:top w:val="single" w:sz="8" w:color="7F7F7F"/>
            </w:tcBorders>
          </w:tcPr>
          <w:p>
            <w:pPr>
              <w:spacing w:after="0"/>
              <w:rPr>
                <w:sz w:val="20"/>
                <w:szCs w:val="20"/>
                <w:color w:val="auto"/>
              </w:rPr>
            </w:pPr>
          </w:p>
        </w:tc>
        <w:tc>
          <w:tcPr>
            <w:tcW w:w="840" w:type="dxa"/>
            <w:vAlign w:val="bottom"/>
            <w:tcBorders>
              <w:top w:val="single" w:sz="8" w:color="7F7F7F"/>
            </w:tcBorders>
            <w:vMerge w:val="restart"/>
          </w:tcPr>
          <w:p>
            <w:pPr>
              <w:jc w:val="right"/>
              <w:ind w:right="101"/>
              <w:spacing w:after="0"/>
              <w:rPr>
                <w:sz w:val="20"/>
                <w:szCs w:val="20"/>
                <w:color w:val="auto"/>
              </w:rPr>
            </w:pPr>
            <w:r>
              <w:rPr>
                <w:rFonts w:ascii="Arial" w:cs="Arial" w:eastAsia="Arial" w:hAnsi="Arial"/>
                <w:sz w:val="16"/>
                <w:szCs w:val="16"/>
                <w:b w:val="1"/>
                <w:bCs w:val="1"/>
                <w:i w:val="1"/>
                <w:iCs w:val="1"/>
                <w:color w:val="auto"/>
              </w:rPr>
              <w:t>2020</w:t>
            </w:r>
          </w:p>
        </w:tc>
        <w:tc>
          <w:tcPr>
            <w:tcW w:w="540" w:type="dxa"/>
            <w:vAlign w:val="bottom"/>
            <w:tcBorders>
              <w:top w:val="single" w:sz="8" w:color="7F7F7F"/>
            </w:tcBorders>
          </w:tcPr>
          <w:p>
            <w:pPr>
              <w:spacing w:after="0"/>
              <w:rPr>
                <w:sz w:val="20"/>
                <w:szCs w:val="20"/>
                <w:color w:val="auto"/>
              </w:rPr>
            </w:pPr>
          </w:p>
        </w:tc>
        <w:tc>
          <w:tcPr>
            <w:tcW w:w="660" w:type="dxa"/>
            <w:vAlign w:val="bottom"/>
            <w:tcBorders>
              <w:top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6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3240" w:type="dxa"/>
            <w:vAlign w:val="bottom"/>
            <w:tcBorders>
              <w:bottom w:val="single" w:sz="8" w:color="7F7F7F"/>
            </w:tcBorders>
          </w:tcPr>
          <w:p>
            <w:pPr>
              <w:spacing w:after="0"/>
              <w:rPr>
                <w:sz w:val="16"/>
                <w:szCs w:val="16"/>
                <w:color w:val="auto"/>
              </w:rPr>
            </w:pPr>
          </w:p>
        </w:tc>
        <w:tc>
          <w:tcPr>
            <w:tcW w:w="840" w:type="dxa"/>
            <w:vAlign w:val="bottom"/>
            <w:tcBorders>
              <w:bottom w:val="single" w:sz="8" w:color="7F7F7F"/>
            </w:tcBorders>
            <w:vMerge w:val="continue"/>
          </w:tcPr>
          <w:p>
            <w:pPr>
              <w:spacing w:after="0"/>
              <w:rPr>
                <w:sz w:val="16"/>
                <w:szCs w:val="16"/>
                <w:color w:val="auto"/>
              </w:rPr>
            </w:pPr>
          </w:p>
        </w:tc>
        <w:tc>
          <w:tcPr>
            <w:tcW w:w="54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0" w:type="dxa"/>
            <w:vAlign w:val="bottom"/>
          </w:tcPr>
          <w:p>
            <w:pPr>
              <w:spacing w:after="0"/>
              <w:rPr>
                <w:sz w:val="1"/>
                <w:szCs w:val="1"/>
                <w:color w:val="auto"/>
              </w:rPr>
            </w:pPr>
          </w:p>
        </w:tc>
      </w:tr>
      <w:tr>
        <w:trPr>
          <w:trHeight w:val="197"/>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3240" w:type="dxa"/>
            <w:vAlign w:val="bottom"/>
            <w:shd w:val="clear" w:color="auto" w:fill="CCEEFF"/>
          </w:tcPr>
          <w:p>
            <w:pPr>
              <w:jc w:val="right"/>
              <w:ind w:right="221"/>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265</w:t>
            </w:r>
          </w:p>
        </w:tc>
        <w:tc>
          <w:tcPr>
            <w:tcW w:w="5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9"/>
        </w:trPr>
        <w:tc>
          <w:tcPr>
            <w:tcW w:w="5960" w:type="dxa"/>
            <w:vAlign w:val="bottom"/>
          </w:tcPr>
          <w:p>
            <w:pPr>
              <w:ind w:left="40"/>
              <w:spacing w:after="0"/>
              <w:rPr>
                <w:sz w:val="20"/>
                <w:szCs w:val="20"/>
                <w:color w:val="auto"/>
              </w:rPr>
            </w:pPr>
            <w:r>
              <w:rPr>
                <w:rFonts w:ascii="Arial" w:cs="Arial" w:eastAsia="Arial" w:hAnsi="Arial"/>
                <w:sz w:val="16"/>
                <w:szCs w:val="16"/>
                <w:color w:val="auto"/>
              </w:rPr>
              <w:t>Current year accruals</w:t>
            </w:r>
          </w:p>
        </w:tc>
        <w:tc>
          <w:tcPr>
            <w:tcW w:w="3240" w:type="dxa"/>
            <w:vAlign w:val="bottom"/>
          </w:tcPr>
          <w:p>
            <w:pPr>
              <w:spacing w:after="0"/>
              <w:rPr>
                <w:sz w:val="18"/>
                <w:szCs w:val="18"/>
                <w:color w:val="auto"/>
              </w:rPr>
            </w:pPr>
          </w:p>
        </w:tc>
        <w:tc>
          <w:tcPr>
            <w:tcW w:w="840" w:type="dxa"/>
            <w:vAlign w:val="bottom"/>
          </w:tcPr>
          <w:p>
            <w:pPr>
              <w:jc w:val="right"/>
              <w:ind w:right="141"/>
              <w:spacing w:after="0"/>
              <w:rPr>
                <w:sz w:val="20"/>
                <w:szCs w:val="20"/>
                <w:color w:val="auto"/>
              </w:rPr>
            </w:pPr>
            <w:r>
              <w:rPr>
                <w:rFonts w:ascii="Arial" w:cs="Arial" w:eastAsia="Arial" w:hAnsi="Arial"/>
                <w:sz w:val="16"/>
                <w:szCs w:val="16"/>
                <w:b w:val="1"/>
                <w:bCs w:val="1"/>
                <w:color w:val="auto"/>
              </w:rPr>
              <w:t>18</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Changes in estimates for prior years</w:t>
            </w:r>
          </w:p>
        </w:tc>
        <w:tc>
          <w:tcPr>
            <w:tcW w:w="3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596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Payments</w:t>
            </w:r>
          </w:p>
        </w:tc>
        <w:tc>
          <w:tcPr>
            <w:tcW w:w="3240" w:type="dxa"/>
            <w:vAlign w:val="bottom"/>
            <w:tcBorders>
              <w:bottom w:val="single" w:sz="8" w:color="7F7F7F"/>
            </w:tcBorders>
          </w:tcPr>
          <w:p>
            <w:pPr>
              <w:spacing w:after="0"/>
              <w:rPr>
                <w:sz w:val="17"/>
                <w:szCs w:val="17"/>
                <w:color w:val="auto"/>
              </w:rPr>
            </w:pPr>
          </w:p>
        </w:tc>
        <w:tc>
          <w:tcPr>
            <w:tcW w:w="840" w:type="dxa"/>
            <w:vAlign w:val="bottom"/>
            <w:tcBorders>
              <w:bottom w:val="single" w:sz="8" w:color="7F7F7F"/>
            </w:tcBorders>
          </w:tcPr>
          <w:p>
            <w:pPr>
              <w:jc w:val="right"/>
              <w:ind w:right="101"/>
              <w:spacing w:after="0"/>
              <w:rPr>
                <w:sz w:val="20"/>
                <w:szCs w:val="20"/>
                <w:color w:val="auto"/>
              </w:rPr>
            </w:pPr>
            <w:r>
              <w:rPr>
                <w:rFonts w:ascii="Arial" w:cs="Arial" w:eastAsia="Arial" w:hAnsi="Arial"/>
                <w:sz w:val="16"/>
                <w:szCs w:val="16"/>
                <w:b w:val="1"/>
                <w:bCs w:val="1"/>
                <w:color w:val="auto"/>
              </w:rPr>
              <w:t>(15)</w:t>
            </w:r>
          </w:p>
        </w:tc>
        <w:tc>
          <w:tcPr>
            <w:tcW w:w="540" w:type="dxa"/>
            <w:vAlign w:val="bottom"/>
            <w:tcBorders>
              <w:bottom w:val="single" w:sz="8" w:color="7F7F7F"/>
            </w:tcBorders>
          </w:tcPr>
          <w:p>
            <w:pPr>
              <w:spacing w:after="0"/>
              <w:rPr>
                <w:sz w:val="17"/>
                <w:szCs w:val="17"/>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0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at March 31</w:t>
            </w:r>
          </w:p>
        </w:tc>
        <w:tc>
          <w:tcPr>
            <w:tcW w:w="32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270</w:t>
            </w:r>
          </w:p>
        </w:tc>
        <w:tc>
          <w:tcPr>
            <w:tcW w:w="5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43"/>
        </w:trPr>
        <w:tc>
          <w:tcPr>
            <w:tcW w:w="5960" w:type="dxa"/>
            <w:vAlign w:val="bottom"/>
            <w:tcBorders>
              <w:top w:val="single" w:sz="8" w:color="7F7F7F"/>
            </w:tcBorders>
          </w:tcPr>
          <w:p>
            <w:pPr>
              <w:ind w:left="40"/>
              <w:spacing w:after="0"/>
              <w:rPr>
                <w:sz w:val="20"/>
                <w:szCs w:val="20"/>
                <w:color w:val="auto"/>
              </w:rPr>
            </w:pPr>
            <w:r>
              <w:rPr>
                <w:rFonts w:ascii="Arial" w:cs="Arial" w:eastAsia="Arial" w:hAnsi="Arial"/>
                <w:sz w:val="16"/>
                <w:szCs w:val="16"/>
                <w:color w:val="auto"/>
              </w:rPr>
              <w:t>Current portion, ending balance at March 31</w:t>
            </w:r>
          </w:p>
        </w:tc>
        <w:tc>
          <w:tcPr>
            <w:tcW w:w="3240" w:type="dxa"/>
            <w:vAlign w:val="bottom"/>
            <w:tcBorders>
              <w:top w:val="single" w:sz="8" w:color="7F7F7F"/>
            </w:tcBorders>
          </w:tcPr>
          <w:p>
            <w:pPr>
              <w:jc w:val="right"/>
              <w:ind w:right="221"/>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7F7F7F"/>
            </w:tcBorders>
          </w:tcPr>
          <w:p>
            <w:pPr>
              <w:jc w:val="right"/>
              <w:ind w:right="141"/>
              <w:spacing w:after="0"/>
              <w:rPr>
                <w:sz w:val="20"/>
                <w:szCs w:val="20"/>
                <w:color w:val="auto"/>
              </w:rPr>
            </w:pPr>
            <w:r>
              <w:rPr>
                <w:rFonts w:ascii="Arial" w:cs="Arial" w:eastAsia="Arial" w:hAnsi="Arial"/>
                <w:sz w:val="16"/>
                <w:szCs w:val="16"/>
                <w:b w:val="1"/>
                <w:bCs w:val="1"/>
                <w:color w:val="auto"/>
              </w:rPr>
              <w:t>62</w:t>
            </w:r>
          </w:p>
        </w:tc>
        <w:tc>
          <w:tcPr>
            <w:tcW w:w="540" w:type="dxa"/>
            <w:vAlign w:val="bottom"/>
            <w:tcBorders>
              <w:top w:val="single" w:sz="8" w:color="7F7F7F"/>
            </w:tcBorders>
          </w:tcPr>
          <w:p>
            <w:pPr>
              <w:jc w:val="right"/>
              <w:ind w:right="221"/>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65"/>
        </w:trPr>
        <w:tc>
          <w:tcPr>
            <w:tcW w:w="5960" w:type="dxa"/>
            <w:vAlign w:val="bottom"/>
            <w:tcBorders>
              <w:bottom w:val="single" w:sz="8" w:color="7F7F7F"/>
            </w:tcBorders>
          </w:tcPr>
          <w:p>
            <w:pPr>
              <w:spacing w:after="0"/>
              <w:rPr>
                <w:sz w:val="5"/>
                <w:szCs w:val="5"/>
                <w:color w:val="auto"/>
              </w:rPr>
            </w:pPr>
          </w:p>
        </w:tc>
        <w:tc>
          <w:tcPr>
            <w:tcW w:w="3240" w:type="dxa"/>
            <w:vAlign w:val="bottom"/>
            <w:tcBorders>
              <w:bottom w:val="single" w:sz="8" w:color="7F7F7F"/>
            </w:tcBorders>
          </w:tcPr>
          <w:p>
            <w:pPr>
              <w:spacing w:after="0"/>
              <w:rPr>
                <w:sz w:val="5"/>
                <w:szCs w:val="5"/>
                <w:color w:val="auto"/>
              </w:rPr>
            </w:pPr>
          </w:p>
        </w:tc>
        <w:tc>
          <w:tcPr>
            <w:tcW w:w="84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66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reassess our estimated insurance recoveries annually and have recognized an asset for estimated insurance recoveries at both March 31, 2020, and December 31, 2019. Any changes to recorded insurance recoveries are included in the above table in the Changes in estimates for prior years category.</w:t>
      </w:r>
    </w:p>
    <w:p>
      <w:pPr>
        <w:spacing w:after="0" w:line="13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Environmental Costs </w:t>
      </w:r>
      <w:r>
        <w:rPr>
          <w:rFonts w:ascii="Arial" w:cs="Arial" w:eastAsia="Arial" w:hAnsi="Arial"/>
          <w:sz w:val="17"/>
          <w:szCs w:val="17"/>
          <w:color w:val="auto"/>
        </w:rPr>
        <w:t>– We are subject to federal, state, and local environmental laws and regulations. We have identified 359 sites at which we</w:t>
      </w:r>
      <w:r>
        <w:rPr>
          <w:rFonts w:ascii="Arial" w:cs="Arial" w:eastAsia="Arial" w:hAnsi="Arial"/>
          <w:sz w:val="17"/>
          <w:szCs w:val="17"/>
          <w:b w:val="1"/>
          <w:bCs w:val="1"/>
          <w:color w:val="auto"/>
        </w:rPr>
        <w:t xml:space="preserve"> </w:t>
      </w:r>
      <w:r>
        <w:rPr>
          <w:rFonts w:ascii="Arial" w:cs="Arial" w:eastAsia="Arial" w:hAnsi="Arial"/>
          <w:sz w:val="17"/>
          <w:szCs w:val="17"/>
          <w:color w:val="auto"/>
        </w:rPr>
        <w:t>are or may be liable for remediation costs associated with alleged contamination or for violations of environmental requirements. This includes 31 sites that are the subject of actions taken by the U.S. government, 20 of which are currently on the Superfund National Priorities List. Certain federal legislation imposes joint and several liability for the remediation of identified sites; consequently, our ultimate environmental liability may include costs relating to activities of other parties, in addition to costs relating to our own activities at each site.</w:t>
      </w:r>
    </w:p>
    <w:p>
      <w:pPr>
        <w:spacing w:after="0" w:line="15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When we identify an environmental issue with respect to property owned, leased, or otherwise used in our business, we perform, with assistance of our consultants, environmental assessments on the property. We expense the cost of the assessments as incurred. We accrue the cost of remediation where our obligation is probable and such costs can be reasonably estimated. Our environmental liability is not discounted to present value due to the uncertainty surrounding the timing of future payments.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Our environmental liability activity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6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3240" w:type="dxa"/>
            <w:vAlign w:val="bottom"/>
            <w:tcBorders>
              <w:top w:val="single" w:sz="8" w:color="7F7F7F"/>
            </w:tcBorders>
          </w:tcPr>
          <w:p>
            <w:pPr>
              <w:spacing w:after="0"/>
              <w:rPr>
                <w:sz w:val="20"/>
                <w:szCs w:val="20"/>
                <w:color w:val="auto"/>
              </w:rPr>
            </w:pPr>
          </w:p>
        </w:tc>
        <w:tc>
          <w:tcPr>
            <w:tcW w:w="840" w:type="dxa"/>
            <w:vAlign w:val="bottom"/>
            <w:tcBorders>
              <w:top w:val="single" w:sz="8" w:color="7F7F7F"/>
            </w:tcBorders>
            <w:vMerge w:val="restart"/>
          </w:tcPr>
          <w:p>
            <w:pPr>
              <w:jc w:val="right"/>
              <w:ind w:right="101"/>
              <w:spacing w:after="0"/>
              <w:rPr>
                <w:sz w:val="20"/>
                <w:szCs w:val="20"/>
                <w:color w:val="auto"/>
              </w:rPr>
            </w:pPr>
            <w:r>
              <w:rPr>
                <w:rFonts w:ascii="Arial" w:cs="Arial" w:eastAsia="Arial" w:hAnsi="Arial"/>
                <w:sz w:val="16"/>
                <w:szCs w:val="16"/>
                <w:b w:val="1"/>
                <w:bCs w:val="1"/>
                <w:i w:val="1"/>
                <w:iCs w:val="1"/>
                <w:color w:val="auto"/>
              </w:rPr>
              <w:t>2020</w:t>
            </w:r>
          </w:p>
        </w:tc>
        <w:tc>
          <w:tcPr>
            <w:tcW w:w="540" w:type="dxa"/>
            <w:vAlign w:val="bottom"/>
            <w:tcBorders>
              <w:top w:val="single" w:sz="8" w:color="7F7F7F"/>
            </w:tcBorders>
          </w:tcPr>
          <w:p>
            <w:pPr>
              <w:spacing w:after="0"/>
              <w:rPr>
                <w:sz w:val="20"/>
                <w:szCs w:val="20"/>
                <w:color w:val="auto"/>
              </w:rPr>
            </w:pPr>
          </w:p>
        </w:tc>
        <w:tc>
          <w:tcPr>
            <w:tcW w:w="660" w:type="dxa"/>
            <w:vAlign w:val="bottom"/>
            <w:tcBorders>
              <w:top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6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3240" w:type="dxa"/>
            <w:vAlign w:val="bottom"/>
            <w:tcBorders>
              <w:bottom w:val="single" w:sz="8" w:color="7F7F7F"/>
            </w:tcBorders>
          </w:tcPr>
          <w:p>
            <w:pPr>
              <w:spacing w:after="0"/>
              <w:rPr>
                <w:sz w:val="16"/>
                <w:szCs w:val="16"/>
                <w:color w:val="auto"/>
              </w:rPr>
            </w:pPr>
          </w:p>
        </w:tc>
        <w:tc>
          <w:tcPr>
            <w:tcW w:w="840" w:type="dxa"/>
            <w:vAlign w:val="bottom"/>
            <w:tcBorders>
              <w:bottom w:val="single" w:sz="8" w:color="7F7F7F"/>
            </w:tcBorders>
            <w:vMerge w:val="continue"/>
          </w:tcPr>
          <w:p>
            <w:pPr>
              <w:spacing w:after="0"/>
              <w:rPr>
                <w:sz w:val="16"/>
                <w:szCs w:val="16"/>
                <w:color w:val="auto"/>
              </w:rPr>
            </w:pPr>
          </w:p>
        </w:tc>
        <w:tc>
          <w:tcPr>
            <w:tcW w:w="54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0" w:type="dxa"/>
            <w:vAlign w:val="bottom"/>
          </w:tcPr>
          <w:p>
            <w:pPr>
              <w:spacing w:after="0"/>
              <w:rPr>
                <w:sz w:val="1"/>
                <w:szCs w:val="1"/>
                <w:color w:val="auto"/>
              </w:rPr>
            </w:pPr>
          </w:p>
        </w:tc>
      </w:tr>
      <w:tr>
        <w:trPr>
          <w:trHeight w:val="197"/>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3240" w:type="dxa"/>
            <w:vAlign w:val="bottom"/>
            <w:shd w:val="clear" w:color="auto" w:fill="CCEEFF"/>
          </w:tcPr>
          <w:p>
            <w:pPr>
              <w:jc w:val="right"/>
              <w:ind w:right="221"/>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227</w:t>
            </w:r>
          </w:p>
        </w:tc>
        <w:tc>
          <w:tcPr>
            <w:tcW w:w="54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09"/>
        </w:trPr>
        <w:tc>
          <w:tcPr>
            <w:tcW w:w="5960" w:type="dxa"/>
            <w:vAlign w:val="bottom"/>
          </w:tcPr>
          <w:p>
            <w:pPr>
              <w:ind w:left="40"/>
              <w:spacing w:after="0"/>
              <w:rPr>
                <w:sz w:val="20"/>
                <w:szCs w:val="20"/>
                <w:color w:val="auto"/>
              </w:rPr>
            </w:pPr>
            <w:r>
              <w:rPr>
                <w:rFonts w:ascii="Arial" w:cs="Arial" w:eastAsia="Arial" w:hAnsi="Arial"/>
                <w:sz w:val="16"/>
                <w:szCs w:val="16"/>
                <w:color w:val="auto"/>
              </w:rPr>
              <w:t>Accruals</w:t>
            </w:r>
          </w:p>
        </w:tc>
        <w:tc>
          <w:tcPr>
            <w:tcW w:w="3240" w:type="dxa"/>
            <w:vAlign w:val="bottom"/>
          </w:tcPr>
          <w:p>
            <w:pPr>
              <w:spacing w:after="0"/>
              <w:rPr>
                <w:sz w:val="18"/>
                <w:szCs w:val="18"/>
                <w:color w:val="auto"/>
              </w:rPr>
            </w:pPr>
          </w:p>
        </w:tc>
        <w:tc>
          <w:tcPr>
            <w:tcW w:w="840" w:type="dxa"/>
            <w:vAlign w:val="bottom"/>
          </w:tcPr>
          <w:p>
            <w:pPr>
              <w:jc w:val="right"/>
              <w:ind w:right="141"/>
              <w:spacing w:after="0"/>
              <w:rPr>
                <w:sz w:val="20"/>
                <w:szCs w:val="20"/>
                <w:color w:val="auto"/>
              </w:rPr>
            </w:pPr>
            <w:r>
              <w:rPr>
                <w:rFonts w:ascii="Arial" w:cs="Arial" w:eastAsia="Arial" w:hAnsi="Arial"/>
                <w:sz w:val="16"/>
                <w:szCs w:val="16"/>
                <w:b w:val="1"/>
                <w:bCs w:val="1"/>
                <w:color w:val="auto"/>
              </w:rPr>
              <w:t>15</w:t>
            </w: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4"/>
        </w:trPr>
        <w:tc>
          <w:tcPr>
            <w:tcW w:w="596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Payments</w:t>
            </w:r>
          </w:p>
        </w:tc>
        <w:tc>
          <w:tcPr>
            <w:tcW w:w="3240" w:type="dxa"/>
            <w:vAlign w:val="bottom"/>
            <w:tcBorders>
              <w:bottom w:val="single" w:sz="8" w:color="7F7F7F"/>
            </w:tcBorders>
            <w:shd w:val="clear" w:color="auto" w:fill="CCEEFF"/>
          </w:tcPr>
          <w:p>
            <w:pPr>
              <w:spacing w:after="0"/>
              <w:rPr>
                <w:sz w:val="17"/>
                <w:szCs w:val="17"/>
                <w:color w:val="auto"/>
              </w:rPr>
            </w:pPr>
          </w:p>
        </w:tc>
        <w:tc>
          <w:tcPr>
            <w:tcW w:w="840" w:type="dxa"/>
            <w:vAlign w:val="bottom"/>
            <w:tcBorders>
              <w:bottom w:val="single" w:sz="8" w:color="7F7F7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(16)</w:t>
            </w:r>
          </w:p>
        </w:tc>
        <w:tc>
          <w:tcPr>
            <w:tcW w:w="540" w:type="dxa"/>
            <w:vAlign w:val="bottom"/>
            <w:tcBorders>
              <w:bottom w:val="single" w:sz="8" w:color="7F7F7F"/>
            </w:tcBorders>
            <w:shd w:val="clear" w:color="auto" w:fill="CCEEFF"/>
          </w:tcPr>
          <w:p>
            <w:pPr>
              <w:spacing w:after="0"/>
              <w:rPr>
                <w:sz w:val="17"/>
                <w:szCs w:val="17"/>
                <w:color w:val="auto"/>
              </w:rPr>
            </w:pPr>
          </w:p>
        </w:tc>
        <w:tc>
          <w:tcPr>
            <w:tcW w:w="6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6"/>
                <w:szCs w:val="16"/>
                <w:color w:val="auto"/>
              </w:rPr>
              <w:t>Ending balance at March 31</w:t>
            </w:r>
          </w:p>
        </w:tc>
        <w:tc>
          <w:tcPr>
            <w:tcW w:w="3240" w:type="dxa"/>
            <w:vAlign w:val="bottom"/>
          </w:tcPr>
          <w:p>
            <w:pPr>
              <w:jc w:val="right"/>
              <w:ind w:right="221"/>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141"/>
              <w:spacing w:after="0"/>
              <w:rPr>
                <w:sz w:val="20"/>
                <w:szCs w:val="20"/>
                <w:color w:val="auto"/>
              </w:rPr>
            </w:pPr>
            <w:r>
              <w:rPr>
                <w:rFonts w:ascii="Arial" w:cs="Arial" w:eastAsia="Arial" w:hAnsi="Arial"/>
                <w:sz w:val="16"/>
                <w:szCs w:val="16"/>
                <w:b w:val="1"/>
                <w:bCs w:val="1"/>
                <w:color w:val="auto"/>
              </w:rPr>
              <w:t>226</w:t>
            </w:r>
          </w:p>
        </w:tc>
        <w:tc>
          <w:tcPr>
            <w:tcW w:w="54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52"/>
        </w:trPr>
        <w:tc>
          <w:tcPr>
            <w:tcW w:w="5960" w:type="dxa"/>
            <w:vAlign w:val="bottom"/>
            <w:tcBorders>
              <w:bottom w:val="single" w:sz="8" w:color="7F7F7F"/>
            </w:tcBorders>
          </w:tcPr>
          <w:p>
            <w:pPr>
              <w:spacing w:after="0"/>
              <w:rPr>
                <w:sz w:val="4"/>
                <w:szCs w:val="4"/>
                <w:color w:val="auto"/>
              </w:rPr>
            </w:pPr>
          </w:p>
        </w:tc>
        <w:tc>
          <w:tcPr>
            <w:tcW w:w="324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54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portion, ending balance at March 31</w:t>
            </w:r>
          </w:p>
        </w:tc>
        <w:tc>
          <w:tcPr>
            <w:tcW w:w="32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64</w:t>
            </w:r>
          </w:p>
        </w:tc>
        <w:tc>
          <w:tcPr>
            <w:tcW w:w="5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9"/>
        </w:trPr>
        <w:tc>
          <w:tcPr>
            <w:tcW w:w="5960" w:type="dxa"/>
            <w:vAlign w:val="bottom"/>
            <w:shd w:val="clear" w:color="auto" w:fill="7F7F7F"/>
          </w:tcPr>
          <w:p>
            <w:pPr>
              <w:spacing w:after="0"/>
              <w:rPr>
                <w:sz w:val="3"/>
                <w:szCs w:val="3"/>
                <w:color w:val="auto"/>
              </w:rPr>
            </w:pPr>
          </w:p>
        </w:tc>
        <w:tc>
          <w:tcPr>
            <w:tcW w:w="3240" w:type="dxa"/>
            <w:vAlign w:val="bottom"/>
            <w:shd w:val="clear" w:color="auto" w:fill="7F7F7F"/>
          </w:tcPr>
          <w:p>
            <w:pPr>
              <w:spacing w:after="0"/>
              <w:rPr>
                <w:sz w:val="3"/>
                <w:szCs w:val="3"/>
                <w:color w:val="auto"/>
              </w:rPr>
            </w:pPr>
          </w:p>
        </w:tc>
        <w:tc>
          <w:tcPr>
            <w:tcW w:w="840" w:type="dxa"/>
            <w:vAlign w:val="bottom"/>
            <w:shd w:val="clear" w:color="auto" w:fill="7F7F7F"/>
          </w:tcPr>
          <w:p>
            <w:pPr>
              <w:spacing w:after="0"/>
              <w:rPr>
                <w:sz w:val="3"/>
                <w:szCs w:val="3"/>
                <w:color w:val="auto"/>
              </w:rPr>
            </w:pPr>
          </w:p>
        </w:tc>
        <w:tc>
          <w:tcPr>
            <w:tcW w:w="540" w:type="dxa"/>
            <w:vAlign w:val="bottom"/>
            <w:shd w:val="clear" w:color="auto" w:fill="7F7F7F"/>
          </w:tcPr>
          <w:p>
            <w:pPr>
              <w:spacing w:after="0"/>
              <w:rPr>
                <w:sz w:val="3"/>
                <w:szCs w:val="3"/>
                <w:color w:val="auto"/>
              </w:rPr>
            </w:pPr>
          </w:p>
        </w:tc>
        <w:tc>
          <w:tcPr>
            <w:tcW w:w="660" w:type="dxa"/>
            <w:vAlign w:val="bottom"/>
            <w:shd w:val="clear" w:color="auto" w:fill="7F7F7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environmental liability includes future costs for remediation and restoration of sites, as well as ongoing monitoring costs, but excludes any anticipated recoveries from third parties. Cost estimates are based on information available for each site, financial viability of other potentially responsible parties, and existing technology, laws, and regulations. The ultimate liability for remediation is difficult to determine because of the number of potentially responsible parties, site-specific cost sharing arrangements with other potentially responsible parties, the degree of contamination by various wastes, the scarcity and quality of volumetric data related to many of the sites, and the speculative nature of remediation costs. Estimates of liability may vary over time due to changes in federal, state, and local laws governing environmental remediation. Current obligations are not expected to have a material adverse effect on our consolidated results of operations, financial condition, or liquidity.</w:t>
      </w:r>
    </w:p>
    <w:p>
      <w:pPr>
        <w:spacing w:after="0" w:line="13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b w:val="1"/>
          <w:bCs w:val="1"/>
          <w:color w:val="auto"/>
        </w:rPr>
        <w:t xml:space="preserve">Insurance </w:t>
      </w:r>
      <w:r>
        <w:rPr>
          <w:rFonts w:ascii="Arial" w:cs="Arial" w:eastAsia="Arial" w:hAnsi="Arial"/>
          <w:sz w:val="17"/>
          <w:szCs w:val="17"/>
          <w:color w:val="auto"/>
        </w:rPr>
        <w:t>– The Company has a consolidated, wholly-owned captive insurance subsidiary (the captive), that provides insurance coverage for</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risks including FELA claims and property coverage which are subject to reinsurance. The captive entered into annual reinsurance treaty agreements that insure workers compensation, general liability, auto liability and FELA risk. The captive cedes a portion of its FELA exposure through the treaty and assumes a proportionate share of the entire risk. The captive receives direct premiums, which are netted against the Company’s premium costs in other expenses in the Condensed Consolidated Statements of Income. The treaty agreements provide for certain protections against the risk of treaty participants’ non-performance, and we do not believe our exposure to treaty participants’ non-performance is material at this time. We record both liabilities and reinsurance receivables using an actuarial analysis based on historical experience in our Condensed Consolidated Statements of Financial Position. Effective January 2019, the captive insurance subsidiary no longer participates in the reinsurance treaty agreement. The Company established a trust in the fourth quarter of 2018 for the purpose of providing collateral as required under the reinsurance treaty agreement for prior years’ participation.</w:t>
      </w:r>
    </w:p>
    <w:p>
      <w:pPr>
        <w:spacing w:after="0" w:line="13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Guarantees </w:t>
      </w:r>
      <w:r>
        <w:rPr>
          <w:rFonts w:ascii="Arial" w:cs="Arial" w:eastAsia="Arial" w:hAnsi="Arial"/>
          <w:sz w:val="17"/>
          <w:szCs w:val="17"/>
          <w:color w:val="auto"/>
        </w:rPr>
        <w:t>– At both March 31, 2020 and December 31, 2019, we were contingently liable for $15 million in guarantees. The fair value of these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as of both March 31, 2020, and December 31, 2019 was $0. We entered into these contingent guarantees in the normal course of business, and they include guaranteed obligations related to our affiliated operations. The final guarantee expires in 2022. We are not aware of any existing event of default that would require us to satisfy these guarantees. We do not expect that these guarantees will have a material adverse effect on our consolidated financial condition, results of operations, or liquidity.</w:t>
      </w:r>
    </w:p>
    <w:p>
      <w:pPr>
        <w:spacing w:after="0" w:line="13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Indemnities </w:t>
      </w:r>
      <w:r>
        <w:rPr>
          <w:rFonts w:ascii="Arial" w:cs="Arial" w:eastAsia="Arial" w:hAnsi="Arial"/>
          <w:sz w:val="17"/>
          <w:szCs w:val="17"/>
          <w:color w:val="auto"/>
        </w:rPr>
        <w:t>– We are contingently obligated under a variety of indemnification arrangements, although in some cases the extent of our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is limited,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Share Repurchase Programs</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Effective April 1, 2019, our Board of Directors authorized the repurchase of up to 150 million shares of our common stock by March 31, 2022. These repurchases may be made on the open market or through other transactions. Our management has sole discretion with respect to determining the timing and amount of these transactions. As of March 31, 2020, we repurchased a total of $39.7 billion of our common stock</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19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since commencement of our repurchase programs in 2007. The table below represents shares repurchased under repurchase programs during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Borders>
              <w:top w:val="single" w:sz="8" w:color="7F7F7F"/>
            </w:tcBorders>
          </w:tcPr>
          <w:p>
            <w:pPr>
              <w:spacing w:after="0"/>
              <w:rPr>
                <w:sz w:val="18"/>
                <w:szCs w:val="18"/>
                <w:color w:val="auto"/>
              </w:rPr>
            </w:pPr>
          </w:p>
        </w:tc>
        <w:tc>
          <w:tcPr>
            <w:tcW w:w="580" w:type="dxa"/>
            <w:vAlign w:val="bottom"/>
            <w:tcBorders>
              <w:top w:val="single" w:sz="8" w:color="7F7F7F"/>
              <w:bottom w:val="single" w:sz="8" w:color="7F7F7F"/>
            </w:tcBorders>
          </w:tcPr>
          <w:p>
            <w:pPr>
              <w:spacing w:after="0"/>
              <w:rPr>
                <w:sz w:val="18"/>
                <w:szCs w:val="18"/>
                <w:color w:val="auto"/>
              </w:rPr>
            </w:pPr>
          </w:p>
        </w:tc>
        <w:tc>
          <w:tcPr>
            <w:tcW w:w="2860" w:type="dxa"/>
            <w:vAlign w:val="bottom"/>
            <w:tcBorders>
              <w:top w:val="single" w:sz="8" w:color="7F7F7F"/>
              <w:bottom w:val="single" w:sz="8" w:color="7F7F7F"/>
            </w:tcBorders>
            <w:gridSpan w:val="2"/>
          </w:tcPr>
          <w:p>
            <w:pPr>
              <w:jc w:val="right"/>
              <w:ind w:right="141"/>
              <w:spacing w:after="0"/>
              <w:rPr>
                <w:sz w:val="20"/>
                <w:szCs w:val="20"/>
                <w:color w:val="auto"/>
              </w:rPr>
            </w:pPr>
            <w:r>
              <w:rPr>
                <w:rFonts w:ascii="Arial" w:cs="Arial" w:eastAsia="Arial" w:hAnsi="Arial"/>
                <w:sz w:val="16"/>
                <w:szCs w:val="16"/>
                <w:i w:val="1"/>
                <w:iCs w:val="1"/>
                <w:color w:val="auto"/>
              </w:rPr>
              <w:t>Number of Shares Purchased</w:t>
            </w:r>
          </w:p>
        </w:tc>
        <w:tc>
          <w:tcPr>
            <w:tcW w:w="500" w:type="dxa"/>
            <w:vAlign w:val="bottom"/>
            <w:tcBorders>
              <w:top w:val="single" w:sz="8" w:color="7F7F7F"/>
              <w:bottom w:val="single" w:sz="8" w:color="7F7F7F"/>
            </w:tcBorders>
          </w:tcPr>
          <w:p>
            <w:pPr>
              <w:spacing w:after="0"/>
              <w:rPr>
                <w:sz w:val="18"/>
                <w:szCs w:val="18"/>
                <w:color w:val="auto"/>
              </w:rPr>
            </w:pPr>
          </w:p>
        </w:tc>
        <w:tc>
          <w:tcPr>
            <w:tcW w:w="740" w:type="dxa"/>
            <w:vAlign w:val="bottom"/>
            <w:tcBorders>
              <w:top w:val="single" w:sz="8" w:color="7F7F7F"/>
              <w:bottom w:val="single" w:sz="8" w:color="7F7F7F"/>
            </w:tcBorders>
          </w:tcPr>
          <w:p>
            <w:pPr>
              <w:spacing w:after="0"/>
              <w:rPr>
                <w:sz w:val="18"/>
                <w:szCs w:val="18"/>
                <w:color w:val="auto"/>
              </w:rPr>
            </w:pPr>
          </w:p>
        </w:tc>
        <w:tc>
          <w:tcPr>
            <w:tcW w:w="1420" w:type="dxa"/>
            <w:vAlign w:val="bottom"/>
            <w:tcBorders>
              <w:top w:val="single" w:sz="8" w:color="7F7F7F"/>
              <w:bottom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w w:val="99"/>
              </w:rPr>
              <w:t>Average Price Paid</w:t>
            </w:r>
          </w:p>
        </w:tc>
      </w:tr>
      <w:tr>
        <w:trPr>
          <w:trHeight w:val="190"/>
        </w:trPr>
        <w:tc>
          <w:tcPr>
            <w:tcW w:w="5140" w:type="dxa"/>
            <w:vAlign w:val="bottom"/>
            <w:tcBorders>
              <w:bottom w:val="single" w:sz="8" w:color="7F7F7F"/>
            </w:tcBorders>
          </w:tcPr>
          <w:p>
            <w:pPr>
              <w:spacing w:after="0"/>
              <w:rPr>
                <w:sz w:val="16"/>
                <w:szCs w:val="16"/>
                <w:color w:val="auto"/>
              </w:rPr>
            </w:pPr>
          </w:p>
        </w:tc>
        <w:tc>
          <w:tcPr>
            <w:tcW w:w="580" w:type="dxa"/>
            <w:vAlign w:val="bottom"/>
            <w:tcBorders>
              <w:bottom w:val="single" w:sz="8" w:color="7F7F7F"/>
            </w:tcBorders>
          </w:tcPr>
          <w:p>
            <w:pPr>
              <w:spacing w:after="0"/>
              <w:rPr>
                <w:sz w:val="16"/>
                <w:szCs w:val="16"/>
                <w:color w:val="auto"/>
              </w:rPr>
            </w:pPr>
          </w:p>
        </w:tc>
        <w:tc>
          <w:tcPr>
            <w:tcW w:w="1440" w:type="dxa"/>
            <w:vAlign w:val="bottom"/>
            <w:tcBorders>
              <w:bottom w:val="single" w:sz="8" w:color="7F7F7F"/>
            </w:tcBorders>
          </w:tcPr>
          <w:p>
            <w:pPr>
              <w:jc w:val="right"/>
              <w:ind w:right="361"/>
              <w:spacing w:after="0"/>
              <w:rPr>
                <w:sz w:val="20"/>
                <w:szCs w:val="20"/>
                <w:color w:val="auto"/>
              </w:rPr>
            </w:pPr>
            <w:r>
              <w:rPr>
                <w:rFonts w:ascii="Arial" w:cs="Arial" w:eastAsia="Arial" w:hAnsi="Arial"/>
                <w:sz w:val="16"/>
                <w:szCs w:val="16"/>
                <w:b w:val="1"/>
                <w:bCs w:val="1"/>
                <w:i w:val="1"/>
                <w:iCs w:val="1"/>
                <w:color w:val="auto"/>
              </w:rPr>
              <w:t>2020</w:t>
            </w:r>
          </w:p>
        </w:tc>
        <w:tc>
          <w:tcPr>
            <w:tcW w:w="1420" w:type="dxa"/>
            <w:vAlign w:val="bottom"/>
            <w:tcBorders>
              <w:bottom w:val="single" w:sz="8" w:color="7F7F7F"/>
            </w:tcBorders>
          </w:tcPr>
          <w:p>
            <w:pPr>
              <w:jc w:val="right"/>
              <w:ind w:right="81"/>
              <w:spacing w:after="0"/>
              <w:rPr>
                <w:sz w:val="20"/>
                <w:szCs w:val="20"/>
                <w:color w:val="auto"/>
              </w:rPr>
            </w:pPr>
            <w:r>
              <w:rPr>
                <w:rFonts w:ascii="Arial" w:cs="Arial" w:eastAsia="Arial" w:hAnsi="Arial"/>
                <w:sz w:val="16"/>
                <w:szCs w:val="16"/>
                <w:i w:val="1"/>
                <w:iCs w:val="1"/>
                <w:color w:val="auto"/>
              </w:rPr>
              <w:t>2019</w:t>
            </w:r>
          </w:p>
        </w:tc>
        <w:tc>
          <w:tcPr>
            <w:tcW w:w="500" w:type="dxa"/>
            <w:vAlign w:val="bottom"/>
            <w:tcBorders>
              <w:bottom w:val="single" w:sz="8" w:color="7F7F7F"/>
            </w:tcBorders>
          </w:tcPr>
          <w:p>
            <w:pPr>
              <w:spacing w:after="0"/>
              <w:rPr>
                <w:sz w:val="16"/>
                <w:szCs w:val="16"/>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2020</w:t>
            </w:r>
          </w:p>
        </w:tc>
        <w:tc>
          <w:tcPr>
            <w:tcW w:w="480" w:type="dxa"/>
            <w:vAlign w:val="bottom"/>
            <w:tcBorders>
              <w:bottom w:val="single" w:sz="8" w:color="7F7F7F"/>
            </w:tcBorders>
          </w:tcPr>
          <w:p>
            <w:pPr>
              <w:spacing w:after="0"/>
              <w:rPr>
                <w:sz w:val="16"/>
                <w:szCs w:val="16"/>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r>
      <w:tr>
        <w:trPr>
          <w:trHeight w:val="197"/>
        </w:trPr>
        <w:tc>
          <w:tcPr>
            <w:tcW w:w="5720" w:type="dxa"/>
            <w:vAlign w:val="bottom"/>
            <w:tcBorders>
              <w:bottom w:val="single" w:sz="8" w:color="808080"/>
            </w:tcBorders>
            <w:gridSpan w:val="2"/>
            <w:shd w:val="clear" w:color="auto" w:fill="CCEEFF"/>
          </w:tcPr>
          <w:p>
            <w:pPr>
              <w:ind w:left="40"/>
              <w:spacing w:after="0"/>
              <w:rPr>
                <w:sz w:val="20"/>
                <w:szCs w:val="20"/>
                <w:color w:val="auto"/>
              </w:rPr>
            </w:pPr>
            <w:r>
              <w:rPr>
                <w:rFonts w:ascii="Arial" w:cs="Arial" w:eastAsia="Arial" w:hAnsi="Arial"/>
                <w:sz w:val="16"/>
                <w:szCs w:val="16"/>
                <w:color w:val="auto"/>
              </w:rPr>
              <w:t>First quarter [a]</w:t>
            </w:r>
          </w:p>
        </w:tc>
        <w:tc>
          <w:tcPr>
            <w:tcW w:w="1440" w:type="dxa"/>
            <w:vAlign w:val="bottom"/>
            <w:tcBorders>
              <w:bottom w:val="single" w:sz="8" w:color="808080"/>
            </w:tcBorders>
            <w:shd w:val="clear" w:color="auto" w:fill="CCEEFF"/>
          </w:tcPr>
          <w:p>
            <w:pPr>
              <w:jc w:val="right"/>
              <w:ind w:right="361"/>
              <w:spacing w:after="0"/>
              <w:rPr>
                <w:sz w:val="20"/>
                <w:szCs w:val="20"/>
                <w:color w:val="auto"/>
              </w:rPr>
            </w:pPr>
            <w:r>
              <w:rPr>
                <w:rFonts w:ascii="Arial" w:cs="Arial" w:eastAsia="Arial" w:hAnsi="Arial"/>
                <w:sz w:val="16"/>
                <w:szCs w:val="16"/>
                <w:b w:val="1"/>
                <w:bCs w:val="1"/>
                <w:color w:val="auto"/>
              </w:rPr>
              <w:t>14,305,793</w:t>
            </w:r>
          </w:p>
        </w:tc>
        <w:tc>
          <w:tcPr>
            <w:tcW w:w="1420" w:type="dxa"/>
            <w:vAlign w:val="bottom"/>
            <w:tcBorders>
              <w:bottom w:val="single" w:sz="8" w:color="808080"/>
            </w:tcBorders>
            <w:shd w:val="clear" w:color="auto" w:fill="CCEEFF"/>
          </w:tcPr>
          <w:p>
            <w:pPr>
              <w:jc w:val="right"/>
              <w:ind w:right="141"/>
              <w:spacing w:after="0"/>
              <w:rPr>
                <w:sz w:val="20"/>
                <w:szCs w:val="20"/>
                <w:color w:val="auto"/>
              </w:rPr>
            </w:pPr>
            <w:r>
              <w:rPr>
                <w:rFonts w:ascii="Arial" w:cs="Arial" w:eastAsia="Arial" w:hAnsi="Arial"/>
                <w:sz w:val="16"/>
                <w:szCs w:val="16"/>
                <w:color w:val="auto"/>
              </w:rPr>
              <w:t>18,149,450</w:t>
            </w:r>
          </w:p>
        </w:tc>
        <w:tc>
          <w:tcPr>
            <w:tcW w:w="500" w:type="dxa"/>
            <w:vAlign w:val="bottom"/>
            <w:tcBorders>
              <w:bottom w:val="single" w:sz="8" w:color="808080"/>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178.66</w:t>
            </w:r>
          </w:p>
        </w:tc>
        <w:tc>
          <w:tcPr>
            <w:tcW w:w="48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165.79</w:t>
            </w:r>
          </w:p>
        </w:tc>
      </w:tr>
      <w:tr>
        <w:trPr>
          <w:trHeight w:val="196"/>
        </w:trPr>
        <w:tc>
          <w:tcPr>
            <w:tcW w:w="5720" w:type="dxa"/>
            <w:vAlign w:val="bottom"/>
            <w:tcBorders>
              <w:bottom w:val="single" w:sz="8" w:color="808080"/>
            </w:tcBorders>
            <w:gridSpan w:val="2"/>
          </w:tcPr>
          <w:p>
            <w:pPr>
              <w:ind w:left="40"/>
              <w:spacing w:after="0" w:line="177" w:lineRule="exact"/>
              <w:rPr>
                <w:sz w:val="20"/>
                <w:szCs w:val="20"/>
                <w:color w:val="auto"/>
              </w:rPr>
            </w:pPr>
            <w:r>
              <w:rPr>
                <w:rFonts w:ascii="Arial" w:cs="Arial" w:eastAsia="Arial" w:hAnsi="Arial"/>
                <w:sz w:val="16"/>
                <w:szCs w:val="16"/>
                <w:color w:val="auto"/>
              </w:rPr>
              <w:t>Remaining number of shares that may be repurchased under current authority</w:t>
            </w:r>
          </w:p>
        </w:tc>
        <w:tc>
          <w:tcPr>
            <w:tcW w:w="1440" w:type="dxa"/>
            <w:vAlign w:val="bottom"/>
            <w:tcBorders>
              <w:bottom w:val="single" w:sz="8" w:color="808080"/>
            </w:tcBorders>
          </w:tcPr>
          <w:p>
            <w:pPr>
              <w:spacing w:after="0"/>
              <w:rPr>
                <w:sz w:val="17"/>
                <w:szCs w:val="17"/>
                <w:color w:val="auto"/>
              </w:rPr>
            </w:pPr>
          </w:p>
        </w:tc>
        <w:tc>
          <w:tcPr>
            <w:tcW w:w="142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jc w:val="right"/>
              <w:spacing w:after="0" w:line="177" w:lineRule="exact"/>
              <w:rPr>
                <w:sz w:val="20"/>
                <w:szCs w:val="20"/>
                <w:color w:val="auto"/>
              </w:rPr>
            </w:pPr>
            <w:r>
              <w:rPr>
                <w:rFonts w:ascii="Arial" w:cs="Arial" w:eastAsia="Arial" w:hAnsi="Arial"/>
                <w:sz w:val="16"/>
                <w:szCs w:val="16"/>
                <w:color w:val="auto"/>
                <w:w w:val="98"/>
              </w:rPr>
              <w:t>118,849,288</w:t>
            </w:r>
          </w:p>
        </w:tc>
      </w:tr>
    </w:tbl>
    <w:p>
      <w:pPr>
        <w:spacing w:after="0" w:line="122"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8,786,380 and 11,795,930 shares repurchased in February 2020 and 2019, respectively, under accelerated share repurchase programs.</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Management's assessments of market conditions and other pertinent factors guide the timing and volume of all repurchases. We expect to fund any share repurchases under this program through cash generated from operations, the sale or lease of various operating and non-operating properties, debt issuances, and cash on hand. Open market repurchases are recorded in treasury stock at cost, which includes any applicable commissions and fees.</w:t>
      </w:r>
    </w:p>
    <w:p>
      <w:pPr>
        <w:spacing w:after="0" w:line="13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Accelerated Share Repurchase Programs </w:t>
      </w:r>
      <w:r>
        <w:rPr>
          <w:rFonts w:ascii="Arial" w:cs="Arial" w:eastAsia="Arial" w:hAnsi="Arial"/>
          <w:sz w:val="17"/>
          <w:szCs w:val="17"/>
          <w:color w:val="auto"/>
        </w:rPr>
        <w:t>– The Company has established accelerated share repurchase programs (ASRs) with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institutions to repurchase shares of our common stock. These ASRs have been structured so that at the time of commencement, we pay a specified amount to the financial institutions and receive an initial delivery of shares. Additional shares may be received at the time of settlement. The final number of shares to be received is based on the volume weighted average price of the Company’s common stock during the ASR term, less a discount and subject to potential adjustments pursuant to the terms of such ASR.</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February 19, 2020, the Company received 8,786,380 shares of its common stock repurchased under ASRs for an aggregate of $2.0 billion. When the shares were received, the exchange was accounted for as an equity transaction with $1.6 billion of the aggregate amount allocated to treasury stock and the remaining $0.4 billion allocated to paid-in-surplus. This delivery of shares represents the initial and likely minimum number of shares that we may receive under the ASRs initiated in 2020. The final settlement is expected to be completed prior to the end of the third quarter of 2020.</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On February 26, 2019, the Company received 11,795,930 shares of its common stock repurchased under ASRs for an aggregate of $2.5 billion.</w:t>
      </w:r>
    </w:p>
    <w:p>
      <w:pPr>
        <w:spacing w:after="0"/>
        <w:rPr>
          <w:sz w:val="20"/>
          <w:szCs w:val="20"/>
          <w:color w:val="auto"/>
        </w:rPr>
      </w:pPr>
      <w:r>
        <w:rPr>
          <w:rFonts w:ascii="Arial" w:cs="Arial" w:eastAsia="Arial" w:hAnsi="Arial"/>
          <w:sz w:val="17"/>
          <w:szCs w:val="17"/>
          <w:color w:val="auto"/>
        </w:rPr>
        <w:t>Upon settlement of these ASRs in the third quarter of 2019, we received 3,172,900 additional shares.</w:t>
      </w:r>
    </w:p>
    <w:p>
      <w:pPr>
        <w:spacing w:after="0" w:line="17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ASRs are accounted for as equity transactions, and at the time of receipt, shares are included in treasury stock at fair market value as of the corresponding initiation or settlement date. The Company reflects shares received as a repurchase of common stock in the weighted average common shares outstanding calculation for basic and diluted earnings per share.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Related Parties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 xml:space="preserve">UPRR and other North American railroad companies jointly own TTX Company (TTX). UPRR has a 36.79% economic and voting interest in TTX while the other North American railroads own the remaining interest. In accordance with ASC 323 </w:t>
      </w:r>
      <w:r>
        <w:rPr>
          <w:rFonts w:ascii="Arial" w:cs="Arial" w:eastAsia="Arial" w:hAnsi="Arial"/>
          <w:sz w:val="17"/>
          <w:szCs w:val="17"/>
          <w:i w:val="1"/>
          <w:iCs w:val="1"/>
          <w:color w:val="auto"/>
        </w:rPr>
        <w:t>Investments - Equity Method and Joint</w:t>
      </w:r>
      <w:r>
        <w:rPr>
          <w:rFonts w:ascii="Arial" w:cs="Arial" w:eastAsia="Arial" w:hAnsi="Arial"/>
          <w:sz w:val="17"/>
          <w:szCs w:val="17"/>
          <w:color w:val="auto"/>
        </w:rPr>
        <w:t xml:space="preserve"> </w:t>
      </w:r>
      <w:r>
        <w:rPr>
          <w:rFonts w:ascii="Arial" w:cs="Arial" w:eastAsia="Arial" w:hAnsi="Arial"/>
          <w:sz w:val="17"/>
          <w:szCs w:val="17"/>
          <w:i w:val="1"/>
          <w:iCs w:val="1"/>
          <w:color w:val="auto"/>
        </w:rPr>
        <w:t>Venture</w:t>
      </w:r>
      <w:r>
        <w:rPr>
          <w:rFonts w:ascii="Arial" w:cs="Arial" w:eastAsia="Arial" w:hAnsi="Arial"/>
          <w:sz w:val="17"/>
          <w:szCs w:val="17"/>
          <w:color w:val="auto"/>
        </w:rPr>
        <w:t>, UPRR applies the equity method of accounting to our investment in TTX.</w:t>
      </w:r>
    </w:p>
    <w:p>
      <w:pPr>
        <w:spacing w:after="0" w:line="15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TTX is a railcar pooling company that owns railcars and intermodal wells to serve North America’s railroads. TTX assists railroads in meeting the needs of their customers by providing railcars in an efficient, pooled environment. All railroads have the ability to utilize TTX railcars through car hire by renting railcars at stated rates.</w:t>
      </w:r>
    </w:p>
    <w:p>
      <w:pPr>
        <w:spacing w:after="0" w:line="15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UPRR had $1.4 billion recognized as investments related to TTX in our Condensed Consolidated Statements of Financial Position as of both March 31, 2020, and December 31, 2019. TTX car hire expenses of $96 million and $105 million for the three months ended March 31, 2020, and 2019, respectively, are included in equipment and other rents in our Condensed Consolidated Statements of Income. In addition, UPRR had accounts payable to TTX of $65 million and $62 million as of March 31, 2020, and December 31, 2019, respectively.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2"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UNION PACIFIC CORPORATION AND SUBSIDIARY COMPANIES</w:t>
      </w:r>
    </w:p>
    <w:p>
      <w:pPr>
        <w:spacing w:after="0" w:line="10"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RESULTS OF OPERATIONS</w:t>
      </w:r>
    </w:p>
    <w:p>
      <w:pPr>
        <w:spacing w:after="0" w:line="150"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Three Months Ended March 31, 2020, Compared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 Ended March 31, 2019</w:t>
      </w:r>
    </w:p>
    <w:p>
      <w:pPr>
        <w:spacing w:after="0" w:line="22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For purposes of this report, unless the context otherwise requires, all references herein to “UPC”, “Corporation”, “Company”, “we”, “us”, and “our” shall mean Union Pacific Corporation and its subsidiaries, including Union Pacific Railroad Company, which we separately refer to as “UPRR” or the “Railroad”.</w:t>
      </w:r>
    </w:p>
    <w:p>
      <w:pPr>
        <w:spacing w:after="0" w:line="105"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following discussion should be read in conjunction with the Condensed Consolidated Financial Statements and applicable notes to the Condensed Consolidated Financial Statements, Item 1, and other information included in this report. Our Condensed Consolidated Financial Statements are unaudited and reflect all adjustments (consisting only of normal and recurring adjustments) that are, in the opinion of management, necessary for their fair presentation in conformity with accounting principles generally accepted in the United States of America (GAAP).</w:t>
      </w:r>
    </w:p>
    <w:p>
      <w:pPr>
        <w:spacing w:after="0" w:line="267"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Railroad, along with its subsidiaries and rail affiliates, is our one reportable business segment. Although we provide and analyze revenue by commodity group, we treat the financial results of the Railroad as one segment due to the integrated nature of our rail network.</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Information</w:t>
      </w:r>
    </w:p>
    <w:p>
      <w:pPr>
        <w:spacing w:after="0" w:line="19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Statements in this Form 10-Q/filing, including forward-looking statements, speak only as of and are based on information we have learned as of April 23, 2020. We assume no obligation to update any such information to reflect subsequent developments, changes in assumptions or changes in other factors affecting forward-looking information. If we do update one or more of these statements, no inference should be drawn that we will make additional updates with respect thereto or with respect to other statements.</w:t>
      </w:r>
    </w:p>
    <w:p>
      <w:pPr>
        <w:spacing w:after="0" w:line="159"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Certain statements in this report, and statements in other reports or information filed or to be filed with the SEC (as well as information included in oral statements or other written statements made or to be made by us), are forward-looking statements within the meaning of Section 27A Securities Act of 1933 and the Section 21E of the Exchange Act. These forward-looking statements and information include, without limitation, the statements and information set forth under the caption “Effects from COVID-19” in Item 2 regarding the impact of the COVID-19 pandemic on our business and operations</w:t>
      </w:r>
      <w:r>
        <w:rPr>
          <w:rFonts w:ascii="Arial" w:cs="Arial" w:eastAsia="Arial" w:hAnsi="Arial"/>
          <w:sz w:val="17"/>
          <w:szCs w:val="17"/>
          <w:b w:val="1"/>
          <w:bCs w:val="1"/>
          <w:color w:val="auto"/>
        </w:rPr>
        <w:t>,</w:t>
      </w:r>
      <w:r>
        <w:rPr>
          <w:rFonts w:ascii="Arial" w:cs="Arial" w:eastAsia="Arial" w:hAnsi="Arial"/>
          <w:sz w:val="17"/>
          <w:szCs w:val="17"/>
          <w:color w:val="auto"/>
        </w:rPr>
        <w:t xml:space="preserve"> “Liquidity and Capital Resources” in Item 2 regarding our capital plan, statements under the caption “Share Repurchase Programs”, statements under the caption “Off-Balance Sheet Arrangements, Contractual Obligations, and Commercial Commitments”, and statements under the caption “Other Matters.” Forward-looking statements and information also include any other statements or information in this report regarding: potential impacts of the COVID-19 pandemic on our business operations, financial results and financial position and on the world economy (including our customers and supply chains), including as a result of decreased volume and carloadings; closing of customer manufacturing; distribution or production facilities; expectations as to operational or service improvements; expectations regarding the effectiveness of steps taken or to be taken to improve operations, service, infrastructure improvements, and transportation plan modifications; expectations as to cost savings, revenue growth, and earnings; the time by which goals, targets, or objectives will be achieved; projections, predictions, expectations, estimates, or forecasts as to our business, financial and operational results, future economic performance, and general economic conditions; proposed new products and services; estimates of costs relating to environmental remediation and restoration; estimates and expectations regarding tax matters, expectations that claims, litigation, environmental costs, commitments, contingent liabilities, labor negotiations or agreements, or other matters will not have a material adverse effect on our consolidated results of operations, financial condition, or liquidity and any other similar expressions concerning matters that are not historical facts.</w:t>
      </w:r>
    </w:p>
    <w:p>
      <w:pPr>
        <w:spacing w:after="0" w:line="16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risks and uncertainties over which management has little or no influence or control, and many of these risks and uncertainties are currently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2" w:name="page23"/>
    <w:bookmarkEnd w:id="22"/>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19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amplified by and may continue to be amplified by, or in the future may be amplified by, the COVID-19 pandemic. The Risk Factors in Item 1A of our 2019 Annual Report on Form 10-K, filed February 7, 2020 and in Part II, Item 1A of this report, could affect our future results and could cause those results or other outcomes to differ materially from those expressed or implied in the forward-looking statements, and this report, including this Item 2, should be read in conjunction with these Risk Factors. To the extent circumstances require or we deem it otherwise necessary, we will update or amend these risk factors in a Form 10-Q or Form 8-K. Forward-looking statements should not be read as a guarantee of future performance or results, and will not necessarily be accurate indications of the times that, or by which, such performance or results will be achieved. Forward-looking information is subject to risks and uncertainties that could cause actual performance or results to differ materially from those expressed in the statements.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94"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We base our discussion and analysis of our financial condition and results of operations upon our Condensed Consolidated Financial Statements. The preparation of these financial statements requires estimation and judgment that affect the reported amounts of revenues, expenses,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If these estimates differ materially from actual results, the impact on the Condensed Consolidated Financial Statements may be material. Our critical accounting policies are available in Item 7 of our 2019 Annual Report on Form 10-K. There have not been any significant changes with respect to these policies during the first three months of 2020.</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Summary</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Company reported earnings of $2.15 per diluted share on net income of $1.5 billion and an all-time record operating ratio of 59.0% in the first quarter of 2020 compared to earnings of $1.93 per diluted share on net income of $1.4 billion for the first quarter of 2019. Freight revenues decreased 3% in the quarter compared to the same period in 2019 driven by a 7% volume decline. Average revenue per car (ARC) was up 5% due to positive mix of traffic and core pricing gains partially offset by lower fuel surcharge revenue. Growth in shipments of petroleum products, construction, metals, liquid petroleum gas (LPG), industrial chemicals, and plastics were more than offset by declines in intermodal, coal and frac sand shipments.</w:t>
      </w:r>
    </w:p>
    <w:p>
      <w:pPr>
        <w:spacing w:after="0" w:line="268"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Productivity initiatives, volume declines, lower fuel prices and elimination of additional costs from weather events in 2019 drove operating expenses down 10% from 2019. These factors, coupled with price increases, more than offset the impact of the revenue decline as operating income increased 9% in the first quarter compared to the same period in 2019.</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from COVID-19</w:t>
      </w:r>
    </w:p>
    <w:p>
      <w:pPr>
        <w:spacing w:after="0" w:line="154"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As COVID-19 spread throughout the world, our first quarter revenue was negatively impacted by the disruptions to China’s supply chain starting in mid-February and the closure of the U.S. automotive plants at the end of March. With the continuation of the pandemic into the second quarter and its further spread, we have seen material volume declines from March in autos, intermodal, chemicals, petroleum, coal and metals offset by increases in grain, construction and pulp and paper products. Demand driven resources will be adjusted to match the volumes and other cost savings initiatives will be implemented in the second quarter. In addition, we have to date incurred and expect to continue to incur additional expenses associated with keeping our employees, customers and communities safe. While we do not currently expect these expenses to have a material negative impact on our second quarter results overall, they may impact trends on certain expense lines.</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auto"/>
        </w:rPr>
        <w:t>Although the pandemic is causing economic disruptions, our rail network remains fluid and we have continued to serve our customers with minimal impact. Safety is our first priority and we are taking precautions to protect the health and wellbeing of our employees, as they play the most critical role in keeping our operations running. Our employees responsible for operating freight trains as well as maintaining rail infrastructure and equipment were deemed essential critical infrastructure workers by the U.S. Department of Homeland Security’s Cybersecurity and Infrastructure Agency (CISA). In addition, the border restrictions on non-essential travel between the U.S., Canada and Mexico do not apply to freight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shipments related to international trade. While our operations are currently not materially negatively affected, it is not possible to predict whether or how they may be negatively affected if the pandemic persists for an extended period. While we respond to this evolving situation, we intend to continue to execute on our strategic Unified Plan 2020.</w:t>
      </w:r>
    </w:p>
    <w:p>
      <w:pPr>
        <w:spacing w:after="0" w:line="158"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We believe the steps we have taken to enhance our capital structure and liquidity have strengthened our ability to operate through current conditions. During the first quarter, we generated $2.2 billion of cash from operations. On March 31, 2020, we had $1.1 billion of cash and cash equivalents and $2 billion of credit available under our revolving credit facility and up to $400 million undrawn on the Receivables Facility. On April 7, 2020, we issued $750 million of long-term debt. We have $949 million of debt maturing before the end of the year. Based on our current cash position and outlook, we do not expect any issue funding our debt maturities in 2020. We have been, and we expect to continue to be, in compliance with our debt covenants. We will utilize some of the tax payment deferral opportunities provided by the IRS and Coronavirus Aid, Relief, and Economic Security Act (CARES Act). Our bad debt provision may increase in 2020 if the creditworthiness of our customers deteriorates. We plan to maintain our dividend but have currently suspended our share repurchase activity with the exception of the final settlement on our $2 billion accelerated share repurchase program initiated on February 18, 2020.</w:t>
      </w:r>
    </w:p>
    <w:p>
      <w:pPr>
        <w:spacing w:after="0" w:line="157"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This situation is fluid and highly uncertain, and, while the industrial sector may begin to rebound in the second quarter, consumer and industrial demand for these goods may have a longer recovery period. Even though the timing is unknown, we have adequate resources that can be put into service quickly when volume returns. Select locomotives, although not currently in use, are stored and maintained so they can be returned to service immediately. We also maintain a program for our train service employees to work a reduced schedule that allows them to stay qualified and return to full time status without additional training (alternate work status). We continue to maintain existing processes and procedures, including but not limited to processes and procedures around protection of our technology systems and proprietary data, even though a significant number of our employees are working from home. During this time of uncertainty, the health and wellbeing of our employees is top of mind as we continue our operating transformation and now navigate the challenges presented by the pandemic. Despite all of the steps taken to mitigate the risk presented by the pandemic, the impact on our 2020 financial and operating results could be material.</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Revenues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2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2600" w:type="dxa"/>
            <w:vAlign w:val="bottom"/>
            <w:tcBorders>
              <w:top w:val="single" w:sz="8" w:color="7F7F7F"/>
            </w:tcBorders>
          </w:tcPr>
          <w:p>
            <w:pPr>
              <w:spacing w:after="0"/>
              <w:rPr>
                <w:sz w:val="20"/>
                <w:szCs w:val="20"/>
                <w:color w:val="auto"/>
              </w:rPr>
            </w:pPr>
          </w:p>
        </w:tc>
        <w:tc>
          <w:tcPr>
            <w:tcW w:w="920" w:type="dxa"/>
            <w:vAlign w:val="bottom"/>
            <w:tcBorders>
              <w:top w:val="single" w:sz="8" w:color="7F7F7F"/>
            </w:tcBorders>
          </w:tcPr>
          <w:p>
            <w:pPr>
              <w:spacing w:after="0"/>
              <w:rPr>
                <w:sz w:val="20"/>
                <w:szCs w:val="20"/>
                <w:color w:val="auto"/>
              </w:rPr>
            </w:pPr>
          </w:p>
        </w:tc>
        <w:tc>
          <w:tcPr>
            <w:tcW w:w="540" w:type="dxa"/>
            <w:vAlign w:val="bottom"/>
            <w:tcBorders>
              <w:top w:val="single" w:sz="8" w:color="7F7F7F"/>
            </w:tcBorders>
          </w:tcPr>
          <w:p>
            <w:pPr>
              <w:spacing w:after="0"/>
              <w:rPr>
                <w:sz w:val="20"/>
                <w:szCs w:val="20"/>
                <w:color w:val="auto"/>
              </w:rPr>
            </w:pPr>
          </w:p>
        </w:tc>
        <w:tc>
          <w:tcPr>
            <w:tcW w:w="1200" w:type="dxa"/>
            <w:vAlign w:val="bottom"/>
            <w:tcBorders>
              <w:top w:val="single" w:sz="8" w:color="7F7F7F"/>
            </w:tcBorders>
          </w:tcPr>
          <w:p>
            <w:pPr>
              <w:spacing w:after="0"/>
              <w:rPr>
                <w:sz w:val="20"/>
                <w:szCs w:val="20"/>
                <w:color w:val="auto"/>
              </w:rPr>
            </w:pPr>
          </w:p>
        </w:tc>
        <w:tc>
          <w:tcPr>
            <w:tcW w:w="820" w:type="dxa"/>
            <w:vAlign w:val="bottom"/>
            <w:tcBorders>
              <w:top w:val="single" w:sz="8" w:color="7F7F7F"/>
            </w:tcBorders>
          </w:tcPr>
          <w:p>
            <w:pPr>
              <w:spacing w:after="0"/>
              <w:rPr>
                <w:sz w:val="20"/>
                <w:szCs w:val="20"/>
                <w:color w:val="auto"/>
              </w:rPr>
            </w:pPr>
          </w:p>
        </w:tc>
        <w:tc>
          <w:tcPr>
            <w:tcW w:w="24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w:t>
            </w:r>
          </w:p>
        </w:tc>
      </w:tr>
      <w:tr>
        <w:trPr>
          <w:trHeight w:val="193"/>
        </w:trPr>
        <w:tc>
          <w:tcPr>
            <w:tcW w:w="492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2600" w:type="dxa"/>
            <w:vAlign w:val="bottom"/>
            <w:tcBorders>
              <w:bottom w:val="single" w:sz="8" w:color="7F7F7F"/>
            </w:tcBorders>
          </w:tcPr>
          <w:p>
            <w:pPr>
              <w:spacing w:after="0"/>
              <w:rPr>
                <w:sz w:val="16"/>
                <w:szCs w:val="16"/>
                <w:color w:val="auto"/>
              </w:rPr>
            </w:pPr>
          </w:p>
        </w:tc>
        <w:tc>
          <w:tcPr>
            <w:tcW w:w="920" w:type="dxa"/>
            <w:vAlign w:val="bottom"/>
            <w:tcBorders>
              <w:bottom w:val="single" w:sz="8" w:color="7F7F7F"/>
            </w:tcBorders>
          </w:tcPr>
          <w:p>
            <w:pPr>
              <w:jc w:val="right"/>
              <w:ind w:right="61"/>
              <w:spacing w:after="0"/>
              <w:rPr>
                <w:sz w:val="20"/>
                <w:szCs w:val="20"/>
                <w:color w:val="auto"/>
              </w:rPr>
            </w:pPr>
            <w:r>
              <w:rPr>
                <w:rFonts w:ascii="Arial" w:cs="Arial" w:eastAsia="Arial" w:hAnsi="Arial"/>
                <w:sz w:val="16"/>
                <w:szCs w:val="16"/>
                <w:b w:val="1"/>
                <w:bCs w:val="1"/>
                <w:i w:val="1"/>
                <w:iCs w:val="1"/>
                <w:color w:val="auto"/>
              </w:rPr>
              <w:t>2020</w:t>
            </w:r>
          </w:p>
        </w:tc>
        <w:tc>
          <w:tcPr>
            <w:tcW w:w="540" w:type="dxa"/>
            <w:vAlign w:val="bottom"/>
            <w:tcBorders>
              <w:bottom w:val="single" w:sz="8" w:color="7F7F7F"/>
            </w:tcBorders>
          </w:tcPr>
          <w:p>
            <w:pPr>
              <w:spacing w:after="0"/>
              <w:rPr>
                <w:sz w:val="16"/>
                <w:szCs w:val="16"/>
                <w:color w:val="auto"/>
              </w:rPr>
            </w:pPr>
          </w:p>
        </w:tc>
        <w:tc>
          <w:tcPr>
            <w:tcW w:w="1200" w:type="dxa"/>
            <w:vAlign w:val="bottom"/>
            <w:tcBorders>
              <w:bottom w:val="single" w:sz="8" w:color="7F7F7F"/>
            </w:tcBorders>
          </w:tcPr>
          <w:p>
            <w:pPr>
              <w:jc w:val="right"/>
              <w:ind w:right="341"/>
              <w:spacing w:after="0"/>
              <w:rPr>
                <w:sz w:val="20"/>
                <w:szCs w:val="20"/>
                <w:color w:val="auto"/>
              </w:rPr>
            </w:pPr>
            <w:r>
              <w:rPr>
                <w:rFonts w:ascii="Arial" w:cs="Arial" w:eastAsia="Arial" w:hAnsi="Arial"/>
                <w:sz w:val="16"/>
                <w:szCs w:val="16"/>
                <w:i w:val="1"/>
                <w:iCs w:val="1"/>
                <w:color w:val="auto"/>
              </w:rPr>
              <w:t>2019</w:t>
            </w:r>
          </w:p>
        </w:tc>
        <w:tc>
          <w:tcPr>
            <w:tcW w:w="106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197"/>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Freight revenues</w:t>
            </w:r>
          </w:p>
        </w:tc>
        <w:tc>
          <w:tcPr>
            <w:tcW w:w="260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4,880</w:t>
            </w:r>
          </w:p>
        </w:tc>
        <w:tc>
          <w:tcPr>
            <w:tcW w:w="5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5,010</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09"/>
        </w:trPr>
        <w:tc>
          <w:tcPr>
            <w:tcW w:w="4920" w:type="dxa"/>
            <w:vAlign w:val="bottom"/>
          </w:tcPr>
          <w:p>
            <w:pPr>
              <w:ind w:left="40"/>
              <w:spacing w:after="0"/>
              <w:rPr>
                <w:sz w:val="20"/>
                <w:szCs w:val="20"/>
                <w:color w:val="auto"/>
              </w:rPr>
            </w:pPr>
            <w:r>
              <w:rPr>
                <w:rFonts w:ascii="Arial" w:cs="Arial" w:eastAsia="Arial" w:hAnsi="Arial"/>
                <w:sz w:val="16"/>
                <w:szCs w:val="16"/>
                <w:color w:val="auto"/>
              </w:rPr>
              <w:t>Other subsidiary revenues</w:t>
            </w:r>
          </w:p>
        </w:tc>
        <w:tc>
          <w:tcPr>
            <w:tcW w:w="2600" w:type="dxa"/>
            <w:vAlign w:val="bottom"/>
          </w:tcPr>
          <w:p>
            <w:pPr>
              <w:spacing w:after="0"/>
              <w:rPr>
                <w:sz w:val="18"/>
                <w:szCs w:val="18"/>
                <w:color w:val="auto"/>
              </w:rPr>
            </w:pPr>
          </w:p>
        </w:tc>
        <w:tc>
          <w:tcPr>
            <w:tcW w:w="920" w:type="dxa"/>
            <w:vAlign w:val="bottom"/>
          </w:tcPr>
          <w:p>
            <w:pPr>
              <w:jc w:val="right"/>
              <w:ind w:right="101"/>
              <w:spacing w:after="0"/>
              <w:rPr>
                <w:sz w:val="20"/>
                <w:szCs w:val="20"/>
                <w:color w:val="auto"/>
              </w:rPr>
            </w:pPr>
            <w:r>
              <w:rPr>
                <w:rFonts w:ascii="Arial" w:cs="Arial" w:eastAsia="Arial" w:hAnsi="Arial"/>
                <w:sz w:val="16"/>
                <w:szCs w:val="16"/>
                <w:b w:val="1"/>
                <w:bCs w:val="1"/>
                <w:color w:val="auto"/>
              </w:rPr>
              <w:t>214</w:t>
            </w:r>
          </w:p>
        </w:tc>
        <w:tc>
          <w:tcPr>
            <w:tcW w:w="540" w:type="dxa"/>
            <w:vAlign w:val="bottom"/>
          </w:tcPr>
          <w:p>
            <w:pPr>
              <w:spacing w:after="0"/>
              <w:rPr>
                <w:sz w:val="18"/>
                <w:szCs w:val="18"/>
                <w:color w:val="auto"/>
              </w:rPr>
            </w:pPr>
          </w:p>
        </w:tc>
        <w:tc>
          <w:tcPr>
            <w:tcW w:w="1200" w:type="dxa"/>
            <w:vAlign w:val="bottom"/>
          </w:tcPr>
          <w:p>
            <w:pPr>
              <w:jc w:val="right"/>
              <w:ind w:right="381"/>
              <w:spacing w:after="0"/>
              <w:rPr>
                <w:sz w:val="20"/>
                <w:szCs w:val="20"/>
                <w:color w:val="auto"/>
              </w:rPr>
            </w:pPr>
            <w:r>
              <w:rPr>
                <w:rFonts w:ascii="Arial" w:cs="Arial" w:eastAsia="Arial" w:hAnsi="Arial"/>
                <w:sz w:val="16"/>
                <w:szCs w:val="16"/>
                <w:color w:val="auto"/>
              </w:rPr>
              <w:t>223</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(4)</w:t>
            </w:r>
          </w:p>
        </w:tc>
        <w:tc>
          <w:tcPr>
            <w:tcW w:w="240" w:type="dxa"/>
            <w:vAlign w:val="bottom"/>
          </w:tcPr>
          <w:p>
            <w:pPr>
              <w:spacing w:after="0"/>
              <w:rPr>
                <w:sz w:val="18"/>
                <w:szCs w:val="18"/>
                <w:color w:val="auto"/>
              </w:rPr>
            </w:pPr>
          </w:p>
        </w:tc>
      </w:tr>
      <w:tr>
        <w:trPr>
          <w:trHeight w:val="211"/>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Accessorial revenues</w:t>
            </w:r>
          </w:p>
        </w:tc>
        <w:tc>
          <w:tcPr>
            <w:tcW w:w="2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117</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133</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(12)</w:t>
            </w:r>
          </w:p>
        </w:tc>
        <w:tc>
          <w:tcPr>
            <w:tcW w:w="240" w:type="dxa"/>
            <w:vAlign w:val="bottom"/>
            <w:shd w:val="clear" w:color="auto" w:fill="CCEEFF"/>
          </w:tcPr>
          <w:p>
            <w:pPr>
              <w:spacing w:after="0"/>
              <w:rPr>
                <w:sz w:val="18"/>
                <w:szCs w:val="18"/>
                <w:color w:val="auto"/>
              </w:rPr>
            </w:pPr>
          </w:p>
        </w:tc>
      </w:tr>
      <w:tr>
        <w:trPr>
          <w:trHeight w:val="203"/>
        </w:trPr>
        <w:tc>
          <w:tcPr>
            <w:tcW w:w="492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Other</w:t>
            </w:r>
          </w:p>
        </w:tc>
        <w:tc>
          <w:tcPr>
            <w:tcW w:w="2600" w:type="dxa"/>
            <w:vAlign w:val="bottom"/>
            <w:tcBorders>
              <w:bottom w:val="single" w:sz="8" w:color="7F7F7F"/>
            </w:tcBorders>
          </w:tcPr>
          <w:p>
            <w:pPr>
              <w:spacing w:after="0"/>
              <w:rPr>
                <w:sz w:val="17"/>
                <w:szCs w:val="17"/>
                <w:color w:val="auto"/>
              </w:rPr>
            </w:pPr>
          </w:p>
        </w:tc>
        <w:tc>
          <w:tcPr>
            <w:tcW w:w="920" w:type="dxa"/>
            <w:vAlign w:val="bottom"/>
            <w:tcBorders>
              <w:bottom w:val="single" w:sz="8" w:color="7F7F7F"/>
            </w:tcBorders>
          </w:tcPr>
          <w:p>
            <w:pPr>
              <w:jc w:val="right"/>
              <w:ind w:right="101"/>
              <w:spacing w:after="0"/>
              <w:rPr>
                <w:sz w:val="20"/>
                <w:szCs w:val="20"/>
                <w:color w:val="auto"/>
              </w:rPr>
            </w:pPr>
            <w:r>
              <w:rPr>
                <w:rFonts w:ascii="Arial" w:cs="Arial" w:eastAsia="Arial" w:hAnsi="Arial"/>
                <w:sz w:val="16"/>
                <w:szCs w:val="16"/>
                <w:b w:val="1"/>
                <w:bCs w:val="1"/>
                <w:color w:val="auto"/>
              </w:rPr>
              <w:t>18</w:t>
            </w:r>
          </w:p>
        </w:tc>
        <w:tc>
          <w:tcPr>
            <w:tcW w:w="540" w:type="dxa"/>
            <w:vAlign w:val="bottom"/>
            <w:tcBorders>
              <w:bottom w:val="single" w:sz="8" w:color="7F7F7F"/>
            </w:tcBorders>
          </w:tcPr>
          <w:p>
            <w:pPr>
              <w:spacing w:after="0"/>
              <w:rPr>
                <w:sz w:val="17"/>
                <w:szCs w:val="17"/>
                <w:color w:val="auto"/>
              </w:rPr>
            </w:pPr>
          </w:p>
        </w:tc>
        <w:tc>
          <w:tcPr>
            <w:tcW w:w="1200" w:type="dxa"/>
            <w:vAlign w:val="bottom"/>
            <w:tcBorders>
              <w:bottom w:val="single" w:sz="8" w:color="7F7F7F"/>
            </w:tcBorders>
          </w:tcPr>
          <w:p>
            <w:pPr>
              <w:jc w:val="right"/>
              <w:ind w:right="381"/>
              <w:spacing w:after="0"/>
              <w:rPr>
                <w:sz w:val="20"/>
                <w:szCs w:val="20"/>
                <w:color w:val="auto"/>
              </w:rPr>
            </w:pPr>
            <w:r>
              <w:rPr>
                <w:rFonts w:ascii="Arial" w:cs="Arial" w:eastAsia="Arial" w:hAnsi="Arial"/>
                <w:sz w:val="16"/>
                <w:szCs w:val="16"/>
                <w:color w:val="auto"/>
              </w:rPr>
              <w:t>18</w:t>
            </w:r>
          </w:p>
        </w:tc>
        <w:tc>
          <w:tcPr>
            <w:tcW w:w="820" w:type="dxa"/>
            <w:vAlign w:val="bottom"/>
            <w:tcBorders>
              <w:bottom w:val="single" w:sz="8" w:color="7F7F7F"/>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7F7F7F"/>
            </w:tcBorders>
          </w:tcPr>
          <w:p>
            <w:pPr>
              <w:spacing w:after="0"/>
              <w:rPr>
                <w:sz w:val="17"/>
                <w:szCs w:val="17"/>
                <w:color w:val="auto"/>
              </w:rPr>
            </w:pPr>
          </w:p>
        </w:tc>
      </w:tr>
      <w:tr>
        <w:trPr>
          <w:trHeight w:val="268"/>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5,229</w:t>
            </w:r>
          </w:p>
        </w:tc>
        <w:tc>
          <w:tcPr>
            <w:tcW w:w="54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5,384</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39"/>
        </w:trPr>
        <w:tc>
          <w:tcPr>
            <w:tcW w:w="4920" w:type="dxa"/>
            <w:vAlign w:val="bottom"/>
            <w:shd w:val="clear" w:color="auto" w:fill="7F7F7F"/>
          </w:tcPr>
          <w:p>
            <w:pPr>
              <w:spacing w:after="0"/>
              <w:rPr>
                <w:sz w:val="3"/>
                <w:szCs w:val="3"/>
                <w:color w:val="auto"/>
              </w:rPr>
            </w:pPr>
          </w:p>
        </w:tc>
        <w:tc>
          <w:tcPr>
            <w:tcW w:w="2600" w:type="dxa"/>
            <w:vAlign w:val="bottom"/>
            <w:shd w:val="clear" w:color="auto" w:fill="7F7F7F"/>
          </w:tcPr>
          <w:p>
            <w:pPr>
              <w:spacing w:after="0"/>
              <w:rPr>
                <w:sz w:val="3"/>
                <w:szCs w:val="3"/>
                <w:color w:val="auto"/>
              </w:rPr>
            </w:pPr>
          </w:p>
        </w:tc>
        <w:tc>
          <w:tcPr>
            <w:tcW w:w="920" w:type="dxa"/>
            <w:vAlign w:val="bottom"/>
            <w:shd w:val="clear" w:color="auto" w:fill="7F7F7F"/>
          </w:tcPr>
          <w:p>
            <w:pPr>
              <w:spacing w:after="0"/>
              <w:rPr>
                <w:sz w:val="3"/>
                <w:szCs w:val="3"/>
                <w:color w:val="auto"/>
              </w:rPr>
            </w:pPr>
          </w:p>
        </w:tc>
        <w:tc>
          <w:tcPr>
            <w:tcW w:w="540" w:type="dxa"/>
            <w:vAlign w:val="bottom"/>
            <w:shd w:val="clear" w:color="auto" w:fill="7F7F7F"/>
          </w:tcPr>
          <w:p>
            <w:pPr>
              <w:spacing w:after="0"/>
              <w:rPr>
                <w:sz w:val="3"/>
                <w:szCs w:val="3"/>
                <w:color w:val="auto"/>
              </w:rPr>
            </w:pPr>
          </w:p>
        </w:tc>
        <w:tc>
          <w:tcPr>
            <w:tcW w:w="1200" w:type="dxa"/>
            <w:vAlign w:val="bottom"/>
            <w:shd w:val="clear" w:color="auto" w:fill="7F7F7F"/>
          </w:tcPr>
          <w:p>
            <w:pPr>
              <w:spacing w:after="0"/>
              <w:rPr>
                <w:sz w:val="3"/>
                <w:szCs w:val="3"/>
                <w:color w:val="auto"/>
              </w:rPr>
            </w:pPr>
          </w:p>
        </w:tc>
        <w:tc>
          <w:tcPr>
            <w:tcW w:w="820" w:type="dxa"/>
            <w:vAlign w:val="bottom"/>
            <w:shd w:val="clear" w:color="auto" w:fill="7F7F7F"/>
          </w:tcPr>
          <w:p>
            <w:pPr>
              <w:spacing w:after="0"/>
              <w:rPr>
                <w:sz w:val="3"/>
                <w:szCs w:val="3"/>
                <w:color w:val="auto"/>
              </w:rPr>
            </w:pPr>
          </w:p>
        </w:tc>
        <w:tc>
          <w:tcPr>
            <w:tcW w:w="240" w:type="dxa"/>
            <w:vAlign w:val="bottom"/>
            <w:shd w:val="clear" w:color="auto" w:fill="7F7F7F"/>
          </w:tcPr>
          <w:p>
            <w:pPr>
              <w:spacing w:after="0"/>
              <w:rPr>
                <w:sz w:val="3"/>
                <w:szCs w:val="3"/>
                <w:color w:val="auto"/>
              </w:rPr>
            </w:pPr>
          </w:p>
        </w:tc>
      </w:tr>
    </w:tbl>
    <w:p>
      <w:pPr>
        <w:spacing w:after="0" w:line="170"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We generate freight revenues by transporting freight or other materials from our three commodity groups. Prior to 2020, we reported on four commodity groups, thus 2020 commodity, ARC, and carloadings have been realigned to the new reporting format. Freight revenues vary with volume (carloads) and ARC. Changes in price, traffic mix and fuel surcharges drive ARC. Customer incentives, which are primarily provided for shipping to/from specific locations or based on cumulative volumes, are recorded as a reduction to operating revenues. Customer incentives that include variable consideration based on cumulative volumes are estimated using the expected value method, which is based on available historical, current, and forecasted volumes, and recognized as the related performance obligation is satisfied. We recognize freight revenues over time as shipments move from origin to destination. The allocation of revenue between reporting periods is based on the relative transit time in each reporting period with expenses recognized as incurred.</w:t>
      </w:r>
    </w:p>
    <w:p>
      <w:pPr>
        <w:spacing w:after="0" w:line="13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Other revenues consist primarily of revenues earned by our other subsidiaries (primarily logistics and commuter rail operations) and accessorial revenues. Other subsidiary revenues are generally recognized over time as shipments move from origin to destination. The allocation of revenue between reporting periods is based on the relative transit time in each reporting period with expenses recognized as incurred. Accessorial revenues are recognized at a point in time as performance obligations are satisfied.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4" w:name="page25"/>
    <w:bookmarkEnd w:id="24"/>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7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Freight revenue decreased 3% during the first quarter of 2020 compared to 2019, resulting from a 7% volume decline and lower fuel surcharge, partially offset by positive mix of traffic and core pricing gains. Fewer shipments of intermodal, coal and frac sand partially offset by increases in petroleum products, construction, metals, LPG, industrial chemicals, and plastics shipments drove the volume declines.</w:t>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Each of our commodity groups includes revenue from fuel surcharges. Freight revenues from fuel surcharge programs were $ 351 million in the first quarter of 2020 compared to $398 million in the same period of 2019. The decline was driven by reduced volume and lower fuel prices.</w:t>
      </w:r>
    </w:p>
    <w:p>
      <w:pPr>
        <w:spacing w:after="0" w:line="11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Other revenue decreased in the first quarter compared to 2019 due to volume declines in intermodal. Lower revenue at our subsidiaries, primarily those that broker intermodal, transload, and refrigerated warehousing logistics services also contributed to the first quarter decrease compared to 2019.</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year-over-year changes in freight revenues, revenue carloads, and ARC by commodity type: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00" w:type="dxa"/>
            <w:vAlign w:val="bottom"/>
            <w:tcBorders>
              <w:top w:val="single" w:sz="8" w:color="808080"/>
            </w:tcBorders>
          </w:tcPr>
          <w:p>
            <w:pPr>
              <w:ind w:left="40"/>
              <w:spacing w:after="0"/>
              <w:rPr>
                <w:sz w:val="20"/>
                <w:szCs w:val="20"/>
                <w:color w:val="auto"/>
              </w:rPr>
            </w:pPr>
            <w:r>
              <w:rPr>
                <w:rFonts w:ascii="Arial" w:cs="Arial" w:eastAsia="Arial" w:hAnsi="Arial"/>
                <w:sz w:val="16"/>
                <w:szCs w:val="16"/>
                <w:b w:val="1"/>
                <w:bCs w:val="1"/>
                <w:i w:val="1"/>
                <w:iCs w:val="1"/>
                <w:color w:val="auto"/>
              </w:rPr>
              <w:t>Freight Revenues</w:t>
            </w:r>
          </w:p>
        </w:tc>
        <w:tc>
          <w:tcPr>
            <w:tcW w:w="60" w:type="dxa"/>
            <w:vAlign w:val="bottom"/>
            <w:tcBorders>
              <w:top w:val="single" w:sz="8" w:color="808080"/>
            </w:tcBorders>
          </w:tcPr>
          <w:p>
            <w:pPr>
              <w:spacing w:after="0"/>
              <w:rPr>
                <w:sz w:val="21"/>
                <w:szCs w:val="21"/>
                <w:color w:val="auto"/>
              </w:rPr>
            </w:pPr>
          </w:p>
        </w:tc>
        <w:tc>
          <w:tcPr>
            <w:tcW w:w="660" w:type="dxa"/>
            <w:vAlign w:val="bottom"/>
            <w:tcBorders>
              <w:top w:val="single" w:sz="8" w:color="808080"/>
            </w:tcBorders>
          </w:tcPr>
          <w:p>
            <w:pPr>
              <w:spacing w:after="0"/>
              <w:rPr>
                <w:sz w:val="21"/>
                <w:szCs w:val="21"/>
                <w:color w:val="auto"/>
              </w:rPr>
            </w:pPr>
          </w:p>
        </w:tc>
        <w:tc>
          <w:tcPr>
            <w:tcW w:w="800" w:type="dxa"/>
            <w:vAlign w:val="bottom"/>
            <w:tcBorders>
              <w:top w:val="single" w:sz="8" w:color="808080"/>
            </w:tcBorders>
          </w:tcPr>
          <w:p>
            <w:pPr>
              <w:spacing w:after="0"/>
              <w:rPr>
                <w:sz w:val="21"/>
                <w:szCs w:val="21"/>
                <w:color w:val="auto"/>
              </w:rPr>
            </w:pPr>
          </w:p>
        </w:tc>
        <w:tc>
          <w:tcPr>
            <w:tcW w:w="360" w:type="dxa"/>
            <w:vAlign w:val="bottom"/>
            <w:tcBorders>
              <w:top w:val="single" w:sz="8" w:color="808080"/>
            </w:tcBorders>
          </w:tcPr>
          <w:p>
            <w:pPr>
              <w:spacing w:after="0"/>
              <w:rPr>
                <w:sz w:val="21"/>
                <w:szCs w:val="21"/>
                <w:color w:val="auto"/>
              </w:rPr>
            </w:pPr>
          </w:p>
        </w:tc>
        <w:tc>
          <w:tcPr>
            <w:tcW w:w="1120" w:type="dxa"/>
            <w:vAlign w:val="bottom"/>
            <w:tcBorders>
              <w:top w:val="single" w:sz="8" w:color="808080"/>
            </w:tcBorders>
          </w:tcPr>
          <w:p>
            <w:pPr>
              <w:spacing w:after="0"/>
              <w:rPr>
                <w:sz w:val="21"/>
                <w:szCs w:val="21"/>
                <w:color w:val="auto"/>
              </w:rPr>
            </w:pPr>
          </w:p>
        </w:tc>
        <w:tc>
          <w:tcPr>
            <w:tcW w:w="420" w:type="dxa"/>
            <w:vAlign w:val="bottom"/>
            <w:tcBorders>
              <w:top w:val="single" w:sz="8" w:color="808080"/>
            </w:tcBorders>
          </w:tcPr>
          <w:p>
            <w:pPr>
              <w:spacing w:after="0"/>
              <w:rPr>
                <w:sz w:val="21"/>
                <w:szCs w:val="21"/>
                <w:color w:val="auto"/>
              </w:rPr>
            </w:pPr>
          </w:p>
        </w:tc>
        <w:tc>
          <w:tcPr>
            <w:tcW w:w="740" w:type="dxa"/>
            <w:vAlign w:val="bottom"/>
            <w:tcBorders>
              <w:top w:val="single" w:sz="8" w:color="808080"/>
            </w:tcBorders>
          </w:tcPr>
          <w:p>
            <w:pPr>
              <w:spacing w:after="0"/>
              <w:rPr>
                <w:sz w:val="21"/>
                <w:szCs w:val="21"/>
                <w:color w:val="auto"/>
              </w:rPr>
            </w:pPr>
          </w:p>
        </w:tc>
        <w:tc>
          <w:tcPr>
            <w:tcW w:w="280" w:type="dxa"/>
            <w:vAlign w:val="bottom"/>
            <w:tcBorders>
              <w:top w:val="single" w:sz="8" w:color="808080"/>
            </w:tcBorders>
          </w:tcPr>
          <w:p>
            <w:pPr>
              <w:spacing w:after="0"/>
              <w:rPr>
                <w:sz w:val="21"/>
                <w:szCs w:val="21"/>
                <w:color w:val="auto"/>
              </w:rPr>
            </w:pPr>
          </w:p>
        </w:tc>
      </w:tr>
      <w:tr>
        <w:trPr>
          <w:trHeight w:val="197"/>
        </w:trPr>
        <w:tc>
          <w:tcPr>
            <w:tcW w:w="6800" w:type="dxa"/>
            <w:vAlign w:val="bottom"/>
          </w:tcPr>
          <w:p>
            <w:pPr>
              <w:ind w:left="40"/>
              <w:spacing w:after="0"/>
              <w:rPr>
                <w:sz w:val="20"/>
                <w:szCs w:val="20"/>
                <w:color w:val="auto"/>
              </w:rPr>
            </w:pPr>
            <w:r>
              <w:rPr>
                <w:rFonts w:ascii="Arial" w:cs="Arial" w:eastAsia="Arial" w:hAnsi="Arial"/>
                <w:sz w:val="16"/>
                <w:szCs w:val="16"/>
                <w:i w:val="1"/>
                <w:iCs w:val="1"/>
                <w:color w:val="auto"/>
              </w:rPr>
              <w:t>Millions,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w:t>
            </w:r>
          </w:p>
        </w:tc>
      </w:tr>
      <w:tr>
        <w:trPr>
          <w:trHeight w:val="193"/>
        </w:trPr>
        <w:tc>
          <w:tcPr>
            <w:tcW w:w="680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6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spacing w:after="0"/>
              <w:rPr>
                <w:sz w:val="16"/>
                <w:szCs w:val="16"/>
                <w:color w:val="auto"/>
              </w:rPr>
            </w:pPr>
          </w:p>
        </w:tc>
        <w:tc>
          <w:tcPr>
            <w:tcW w:w="8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2020</w:t>
            </w:r>
          </w:p>
        </w:tc>
        <w:tc>
          <w:tcPr>
            <w:tcW w:w="360" w:type="dxa"/>
            <w:vAlign w:val="bottom"/>
            <w:tcBorders>
              <w:bottom w:val="single" w:sz="8" w:color="7F7F7F"/>
            </w:tcBorders>
          </w:tcPr>
          <w:p>
            <w:pPr>
              <w:spacing w:after="0"/>
              <w:rPr>
                <w:sz w:val="16"/>
                <w:szCs w:val="16"/>
                <w:color w:val="auto"/>
              </w:rPr>
            </w:pPr>
          </w:p>
        </w:tc>
        <w:tc>
          <w:tcPr>
            <w:tcW w:w="1540" w:type="dxa"/>
            <w:vAlign w:val="bottom"/>
            <w:tcBorders>
              <w:bottom w:val="single" w:sz="8" w:color="7F7F7F"/>
            </w:tcBorders>
            <w:gridSpan w:val="2"/>
          </w:tcPr>
          <w:p>
            <w:pPr>
              <w:jc w:val="right"/>
              <w:ind w:right="380"/>
              <w:spacing w:after="0"/>
              <w:rPr>
                <w:sz w:val="20"/>
                <w:szCs w:val="20"/>
                <w:color w:val="auto"/>
              </w:rPr>
            </w:pPr>
            <w:r>
              <w:rPr>
                <w:rFonts w:ascii="Arial" w:cs="Arial" w:eastAsia="Arial" w:hAnsi="Arial"/>
                <w:sz w:val="16"/>
                <w:szCs w:val="16"/>
                <w:i w:val="1"/>
                <w:iCs w:val="1"/>
                <w:color w:val="auto"/>
              </w:rPr>
              <w:t>2019</w:t>
            </w:r>
          </w:p>
        </w:tc>
        <w:tc>
          <w:tcPr>
            <w:tcW w:w="102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197"/>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Grain &amp; grain products</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689</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800" w:type="dxa"/>
            <w:vAlign w:val="bottom"/>
          </w:tcPr>
          <w:p>
            <w:pPr>
              <w:ind w:left="260"/>
              <w:spacing w:after="0"/>
              <w:rPr>
                <w:sz w:val="20"/>
                <w:szCs w:val="20"/>
                <w:color w:val="auto"/>
              </w:rPr>
            </w:pPr>
            <w:r>
              <w:rPr>
                <w:rFonts w:ascii="Arial" w:cs="Arial" w:eastAsia="Arial" w:hAnsi="Arial"/>
                <w:sz w:val="16"/>
                <w:szCs w:val="16"/>
                <w:color w:val="auto"/>
              </w:rPr>
              <w:t>Fertilizer</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174</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w:t>
            </w:r>
          </w:p>
        </w:tc>
        <w:tc>
          <w:tcPr>
            <w:tcW w:w="420" w:type="dxa"/>
            <w:vAlign w:val="bottom"/>
          </w:tcPr>
          <w:p>
            <w:pPr>
              <w:spacing w:after="0"/>
              <w:rPr>
                <w:sz w:val="18"/>
                <w:szCs w:val="18"/>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9</w:t>
            </w:r>
          </w:p>
        </w:tc>
        <w:tc>
          <w:tcPr>
            <w:tcW w:w="280" w:type="dxa"/>
            <w:vAlign w:val="bottom"/>
          </w:tcPr>
          <w:p>
            <w:pPr>
              <w:spacing w:after="0"/>
              <w:rPr>
                <w:sz w:val="18"/>
                <w:szCs w:val="18"/>
                <w:color w:val="auto"/>
              </w:rPr>
            </w:pPr>
          </w:p>
        </w:tc>
      </w:tr>
      <w:tr>
        <w:trPr>
          <w:trHeight w:val="211"/>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Food &amp; refrigerated</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250</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w:t>
            </w:r>
          </w:p>
        </w:tc>
        <w:tc>
          <w:tcPr>
            <w:tcW w:w="280" w:type="dxa"/>
            <w:vAlign w:val="bottom"/>
            <w:shd w:val="clear" w:color="auto" w:fill="CCEEFF"/>
          </w:tcPr>
          <w:p>
            <w:pPr>
              <w:spacing w:after="0"/>
              <w:rPr>
                <w:sz w:val="18"/>
                <w:szCs w:val="18"/>
                <w:color w:val="auto"/>
              </w:rPr>
            </w:pPr>
          </w:p>
        </w:tc>
      </w:tr>
      <w:tr>
        <w:trPr>
          <w:trHeight w:val="203"/>
        </w:trPr>
        <w:tc>
          <w:tcPr>
            <w:tcW w:w="680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Coal &amp; renewables</w:t>
            </w:r>
          </w:p>
        </w:tc>
        <w:tc>
          <w:tcPr>
            <w:tcW w:w="6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421</w:t>
            </w:r>
          </w:p>
        </w:tc>
        <w:tc>
          <w:tcPr>
            <w:tcW w:w="360" w:type="dxa"/>
            <w:vAlign w:val="bottom"/>
            <w:tcBorders>
              <w:bottom w:val="single" w:sz="8" w:color="7F7F7F"/>
            </w:tcBorders>
          </w:tcPr>
          <w:p>
            <w:pPr>
              <w:spacing w:after="0"/>
              <w:rPr>
                <w:sz w:val="17"/>
                <w:szCs w:val="17"/>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554</w:t>
            </w:r>
          </w:p>
        </w:tc>
        <w:tc>
          <w:tcPr>
            <w:tcW w:w="42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jc w:val="right"/>
              <w:ind w:right="1"/>
              <w:spacing w:after="0"/>
              <w:rPr>
                <w:sz w:val="20"/>
                <w:szCs w:val="20"/>
                <w:color w:val="auto"/>
              </w:rPr>
            </w:pPr>
            <w:r>
              <w:rPr>
                <w:rFonts w:ascii="Arial" w:cs="Arial" w:eastAsia="Arial" w:hAnsi="Arial"/>
                <w:sz w:val="16"/>
                <w:szCs w:val="16"/>
                <w:b w:val="1"/>
                <w:bCs w:val="1"/>
                <w:color w:val="auto"/>
              </w:rPr>
              <w:t>(24)</w:t>
            </w:r>
          </w:p>
        </w:tc>
        <w:tc>
          <w:tcPr>
            <w:tcW w:w="280" w:type="dxa"/>
            <w:vAlign w:val="bottom"/>
            <w:tcBorders>
              <w:bottom w:val="single" w:sz="8" w:color="808080"/>
            </w:tcBorders>
          </w:tcPr>
          <w:p>
            <w:pPr>
              <w:spacing w:after="0"/>
              <w:rPr>
                <w:sz w:val="17"/>
                <w:szCs w:val="17"/>
                <w:color w:val="auto"/>
              </w:rPr>
            </w:pPr>
          </w:p>
        </w:tc>
      </w:tr>
      <w:tr>
        <w:trPr>
          <w:trHeight w:val="190"/>
        </w:trPr>
        <w:tc>
          <w:tcPr>
            <w:tcW w:w="6800" w:type="dxa"/>
            <w:vAlign w:val="bottom"/>
            <w:tcBorders>
              <w:bottom w:val="single" w:sz="8" w:color="7F7F7F"/>
            </w:tcBorders>
            <w:shd w:val="clear" w:color="auto" w:fill="CCEEFF"/>
          </w:tcPr>
          <w:p>
            <w:pPr>
              <w:ind w:left="180"/>
              <w:spacing w:after="0"/>
              <w:rPr>
                <w:sz w:val="20"/>
                <w:szCs w:val="20"/>
                <w:color w:val="auto"/>
              </w:rPr>
            </w:pPr>
            <w:r>
              <w:rPr>
                <w:rFonts w:ascii="Arial" w:cs="Arial" w:eastAsia="Arial" w:hAnsi="Arial"/>
                <w:sz w:val="16"/>
                <w:szCs w:val="16"/>
                <w:color w:val="auto"/>
              </w:rPr>
              <w:t>Bulk</w:t>
            </w:r>
          </w:p>
        </w:tc>
        <w:tc>
          <w:tcPr>
            <w:tcW w:w="60" w:type="dxa"/>
            <w:vAlign w:val="bottom"/>
            <w:tcBorders>
              <w:bottom w:val="single" w:sz="8" w:color="808080"/>
            </w:tcBorders>
            <w:shd w:val="clear" w:color="auto" w:fill="CCEEFF"/>
          </w:tcPr>
          <w:p>
            <w:pPr>
              <w:spacing w:after="0"/>
              <w:rPr>
                <w:sz w:val="16"/>
                <w:szCs w:val="16"/>
                <w:color w:val="auto"/>
              </w:rPr>
            </w:pPr>
          </w:p>
        </w:tc>
        <w:tc>
          <w:tcPr>
            <w:tcW w:w="660" w:type="dxa"/>
            <w:vAlign w:val="bottom"/>
            <w:tcBorders>
              <w:bottom w:val="single" w:sz="8" w:color="808080"/>
            </w:tcBorders>
            <w:shd w:val="clear" w:color="auto" w:fill="CCEEFF"/>
          </w:tcPr>
          <w:p>
            <w:pPr>
              <w:spacing w:after="0"/>
              <w:rPr>
                <w:sz w:val="16"/>
                <w:szCs w:val="16"/>
                <w:color w:val="auto"/>
              </w:rPr>
            </w:pPr>
          </w:p>
        </w:tc>
        <w:tc>
          <w:tcPr>
            <w:tcW w:w="80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1,534</w:t>
            </w:r>
          </w:p>
        </w:tc>
        <w:tc>
          <w:tcPr>
            <w:tcW w:w="360" w:type="dxa"/>
            <w:vAlign w:val="bottom"/>
            <w:tcBorders>
              <w:bottom w:val="single" w:sz="8" w:color="7F7F7F"/>
            </w:tcBorders>
            <w:shd w:val="clear" w:color="auto" w:fill="CCEEFF"/>
          </w:tcPr>
          <w:p>
            <w:pPr>
              <w:spacing w:after="0"/>
              <w:rPr>
                <w:sz w:val="16"/>
                <w:szCs w:val="16"/>
                <w:color w:val="auto"/>
              </w:rPr>
            </w:pPr>
          </w:p>
        </w:tc>
        <w:tc>
          <w:tcPr>
            <w:tcW w:w="112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420" w:type="dxa"/>
            <w:vAlign w:val="bottom"/>
            <w:tcBorders>
              <w:bottom w:val="single" w:sz="8" w:color="808080"/>
            </w:tcBorders>
            <w:shd w:val="clear" w:color="auto" w:fill="CCEEFF"/>
          </w:tcPr>
          <w:p>
            <w:pPr>
              <w:spacing w:after="0"/>
              <w:rPr>
                <w:sz w:val="16"/>
                <w:szCs w:val="16"/>
                <w:color w:val="auto"/>
              </w:rPr>
            </w:pPr>
          </w:p>
        </w:tc>
        <w:tc>
          <w:tcPr>
            <w:tcW w:w="740" w:type="dxa"/>
            <w:vAlign w:val="bottom"/>
            <w:tcBorders>
              <w:bottom w:val="single" w:sz="8" w:color="808080"/>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w:t>
            </w:r>
          </w:p>
        </w:tc>
        <w:tc>
          <w:tcPr>
            <w:tcW w:w="280" w:type="dxa"/>
            <w:vAlign w:val="bottom"/>
            <w:tcBorders>
              <w:bottom w:val="single" w:sz="8" w:color="808080"/>
            </w:tcBorders>
            <w:shd w:val="clear" w:color="auto" w:fill="CCEEFF"/>
          </w:tcPr>
          <w:p>
            <w:pPr>
              <w:spacing w:after="0"/>
              <w:rPr>
                <w:sz w:val="16"/>
                <w:szCs w:val="16"/>
                <w:color w:val="auto"/>
              </w:rPr>
            </w:pPr>
          </w:p>
        </w:tc>
      </w:tr>
      <w:tr>
        <w:trPr>
          <w:trHeight w:val="197"/>
        </w:trPr>
        <w:tc>
          <w:tcPr>
            <w:tcW w:w="6800" w:type="dxa"/>
            <w:vAlign w:val="bottom"/>
          </w:tcPr>
          <w:p>
            <w:pPr>
              <w:ind w:left="260"/>
              <w:spacing w:after="0"/>
              <w:rPr>
                <w:sz w:val="20"/>
                <w:szCs w:val="20"/>
                <w:color w:val="auto"/>
              </w:rPr>
            </w:pPr>
            <w:r>
              <w:rPr>
                <w:rFonts w:ascii="Arial" w:cs="Arial" w:eastAsia="Arial" w:hAnsi="Arial"/>
                <w:sz w:val="16"/>
                <w:szCs w:val="16"/>
                <w:color w:val="auto"/>
              </w:rPr>
              <w:t>Industrial chemicals &amp; plastics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495</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452</w:t>
            </w:r>
          </w:p>
        </w:tc>
        <w:tc>
          <w:tcPr>
            <w:tcW w:w="420" w:type="dxa"/>
            <w:vAlign w:val="bottom"/>
          </w:tcPr>
          <w:p>
            <w:pPr>
              <w:spacing w:after="0"/>
              <w:rPr>
                <w:sz w:val="17"/>
                <w:szCs w:val="17"/>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10</w:t>
            </w:r>
          </w:p>
        </w:tc>
        <w:tc>
          <w:tcPr>
            <w:tcW w:w="280" w:type="dxa"/>
            <w:vAlign w:val="bottom"/>
          </w:tcPr>
          <w:p>
            <w:pPr>
              <w:spacing w:after="0"/>
              <w:rPr>
                <w:sz w:val="17"/>
                <w:szCs w:val="17"/>
                <w:color w:val="auto"/>
              </w:rPr>
            </w:pPr>
          </w:p>
        </w:tc>
      </w:tr>
      <w:tr>
        <w:trPr>
          <w:trHeight w:val="210"/>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Metals &amp; minerals</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469</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(13)</w:t>
            </w:r>
          </w:p>
        </w:tc>
        <w:tc>
          <w:tcPr>
            <w:tcW w:w="280" w:type="dxa"/>
            <w:vAlign w:val="bottom"/>
            <w:shd w:val="clear" w:color="auto" w:fill="CCEEFF"/>
          </w:tcPr>
          <w:p>
            <w:pPr>
              <w:spacing w:after="0"/>
              <w:rPr>
                <w:sz w:val="18"/>
                <w:szCs w:val="18"/>
                <w:color w:val="auto"/>
              </w:rPr>
            </w:pPr>
          </w:p>
        </w:tc>
      </w:tr>
      <w:tr>
        <w:trPr>
          <w:trHeight w:val="209"/>
        </w:trPr>
        <w:tc>
          <w:tcPr>
            <w:tcW w:w="6800" w:type="dxa"/>
            <w:vAlign w:val="bottom"/>
          </w:tcPr>
          <w:p>
            <w:pPr>
              <w:ind w:left="260"/>
              <w:spacing w:after="0"/>
              <w:rPr>
                <w:sz w:val="20"/>
                <w:szCs w:val="20"/>
                <w:color w:val="auto"/>
              </w:rPr>
            </w:pPr>
            <w:r>
              <w:rPr>
                <w:rFonts w:ascii="Arial" w:cs="Arial" w:eastAsia="Arial" w:hAnsi="Arial"/>
                <w:sz w:val="16"/>
                <w:szCs w:val="16"/>
                <w:color w:val="auto"/>
              </w:rPr>
              <w:t>Forest products</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303</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285</w:t>
            </w:r>
          </w:p>
        </w:tc>
        <w:tc>
          <w:tcPr>
            <w:tcW w:w="420" w:type="dxa"/>
            <w:vAlign w:val="bottom"/>
          </w:tcPr>
          <w:p>
            <w:pPr>
              <w:spacing w:after="0"/>
              <w:rPr>
                <w:sz w:val="18"/>
                <w:szCs w:val="18"/>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b w:val="1"/>
                <w:bCs w:val="1"/>
                <w:color w:val="auto"/>
              </w:rPr>
              <w:t>6</w:t>
            </w:r>
          </w:p>
        </w:tc>
        <w:tc>
          <w:tcPr>
            <w:tcW w:w="280" w:type="dxa"/>
            <w:vAlign w:val="bottom"/>
          </w:tcPr>
          <w:p>
            <w:pPr>
              <w:spacing w:after="0"/>
              <w:rPr>
                <w:sz w:val="18"/>
                <w:szCs w:val="18"/>
                <w:color w:val="auto"/>
              </w:rPr>
            </w:pPr>
          </w:p>
        </w:tc>
      </w:tr>
      <w:tr>
        <w:trPr>
          <w:trHeight w:val="204"/>
        </w:trPr>
        <w:tc>
          <w:tcPr>
            <w:tcW w:w="680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Energy &amp; specialized markets</w:t>
            </w:r>
          </w:p>
        </w:tc>
        <w:tc>
          <w:tcPr>
            <w:tcW w:w="60" w:type="dxa"/>
            <w:vAlign w:val="bottom"/>
            <w:tcBorders>
              <w:bottom w:val="single" w:sz="8" w:color="808080"/>
            </w:tcBorders>
            <w:shd w:val="clear" w:color="auto" w:fill="CCEEFF"/>
          </w:tcPr>
          <w:p>
            <w:pPr>
              <w:spacing w:after="0"/>
              <w:rPr>
                <w:sz w:val="17"/>
                <w:szCs w:val="17"/>
                <w:color w:val="auto"/>
              </w:rPr>
            </w:pPr>
          </w:p>
        </w:tc>
        <w:tc>
          <w:tcPr>
            <w:tcW w:w="660" w:type="dxa"/>
            <w:vAlign w:val="bottom"/>
            <w:tcBorders>
              <w:bottom w:val="single" w:sz="8" w:color="808080"/>
            </w:tcBorders>
            <w:shd w:val="clear" w:color="auto" w:fill="CCEEFF"/>
          </w:tcPr>
          <w:p>
            <w:pPr>
              <w:spacing w:after="0"/>
              <w:rPr>
                <w:sz w:val="17"/>
                <w:szCs w:val="17"/>
                <w:color w:val="auto"/>
              </w:rPr>
            </w:pPr>
          </w:p>
        </w:tc>
        <w:tc>
          <w:tcPr>
            <w:tcW w:w="80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627</w:t>
            </w:r>
          </w:p>
        </w:tc>
        <w:tc>
          <w:tcPr>
            <w:tcW w:w="360" w:type="dxa"/>
            <w:vAlign w:val="bottom"/>
            <w:tcBorders>
              <w:bottom w:val="single" w:sz="8" w:color="7F7F7F"/>
            </w:tcBorders>
            <w:shd w:val="clear" w:color="auto" w:fill="CCEEFF"/>
          </w:tcPr>
          <w:p>
            <w:pPr>
              <w:spacing w:after="0"/>
              <w:rPr>
                <w:sz w:val="17"/>
                <w:szCs w:val="17"/>
                <w:color w:val="auto"/>
              </w:rPr>
            </w:pPr>
          </w:p>
        </w:tc>
        <w:tc>
          <w:tcPr>
            <w:tcW w:w="112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420" w:type="dxa"/>
            <w:vAlign w:val="bottom"/>
            <w:tcBorders>
              <w:bottom w:val="single" w:sz="8" w:color="808080"/>
            </w:tcBorders>
            <w:shd w:val="clear" w:color="auto" w:fill="CCEEFF"/>
          </w:tcPr>
          <w:p>
            <w:pPr>
              <w:spacing w:after="0"/>
              <w:rPr>
                <w:sz w:val="17"/>
                <w:szCs w:val="17"/>
                <w:color w:val="auto"/>
              </w:rPr>
            </w:pPr>
          </w:p>
        </w:tc>
        <w:tc>
          <w:tcPr>
            <w:tcW w:w="740" w:type="dxa"/>
            <w:vAlign w:val="bottom"/>
            <w:tcBorders>
              <w:bottom w:val="single" w:sz="8" w:color="808080"/>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w:t>
            </w:r>
          </w:p>
        </w:tc>
        <w:tc>
          <w:tcPr>
            <w:tcW w:w="280" w:type="dxa"/>
            <w:vAlign w:val="bottom"/>
            <w:tcBorders>
              <w:bottom w:val="single" w:sz="8" w:color="808080"/>
            </w:tcBorders>
            <w:shd w:val="clear" w:color="auto" w:fill="CCEEFF"/>
          </w:tcPr>
          <w:p>
            <w:pPr>
              <w:spacing w:after="0"/>
              <w:rPr>
                <w:sz w:val="17"/>
                <w:szCs w:val="17"/>
                <w:color w:val="auto"/>
              </w:rPr>
            </w:pPr>
          </w:p>
        </w:tc>
      </w:tr>
      <w:tr>
        <w:trPr>
          <w:trHeight w:val="190"/>
        </w:trPr>
        <w:tc>
          <w:tcPr>
            <w:tcW w:w="6800" w:type="dxa"/>
            <w:vAlign w:val="bottom"/>
            <w:tcBorders>
              <w:bottom w:val="single" w:sz="8" w:color="7F7F7F"/>
            </w:tcBorders>
          </w:tcPr>
          <w:p>
            <w:pPr>
              <w:ind w:left="180"/>
              <w:spacing w:after="0"/>
              <w:rPr>
                <w:sz w:val="20"/>
                <w:szCs w:val="20"/>
                <w:color w:val="auto"/>
              </w:rPr>
            </w:pPr>
            <w:r>
              <w:rPr>
                <w:rFonts w:ascii="Arial" w:cs="Arial" w:eastAsia="Arial" w:hAnsi="Arial"/>
                <w:sz w:val="16"/>
                <w:szCs w:val="16"/>
                <w:color w:val="auto"/>
              </w:rPr>
              <w:t>Industrial</w:t>
            </w:r>
          </w:p>
        </w:tc>
        <w:tc>
          <w:tcPr>
            <w:tcW w:w="6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1,894</w:t>
            </w:r>
          </w:p>
        </w:tc>
        <w:tc>
          <w:tcPr>
            <w:tcW w:w="360" w:type="dxa"/>
            <w:vAlign w:val="bottom"/>
            <w:tcBorders>
              <w:bottom w:val="single" w:sz="8" w:color="7F7F7F"/>
            </w:tcBorders>
          </w:tcPr>
          <w:p>
            <w:pPr>
              <w:spacing w:after="0"/>
              <w:rPr>
                <w:sz w:val="16"/>
                <w:szCs w:val="16"/>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1,839</w:t>
            </w:r>
          </w:p>
        </w:tc>
        <w:tc>
          <w:tcPr>
            <w:tcW w:w="42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jc w:val="right"/>
              <w:ind w:right="41"/>
              <w:spacing w:after="0"/>
              <w:rPr>
                <w:sz w:val="20"/>
                <w:szCs w:val="20"/>
                <w:color w:val="auto"/>
              </w:rPr>
            </w:pPr>
            <w:r>
              <w:rPr>
                <w:rFonts w:ascii="Arial" w:cs="Arial" w:eastAsia="Arial" w:hAnsi="Arial"/>
                <w:sz w:val="16"/>
                <w:szCs w:val="16"/>
                <w:b w:val="1"/>
                <w:bCs w:val="1"/>
                <w:color w:val="auto"/>
              </w:rPr>
              <w:t>3</w:t>
            </w:r>
          </w:p>
        </w:tc>
        <w:tc>
          <w:tcPr>
            <w:tcW w:w="280" w:type="dxa"/>
            <w:vAlign w:val="bottom"/>
            <w:tcBorders>
              <w:bottom w:val="single" w:sz="8" w:color="808080"/>
            </w:tcBorders>
          </w:tcPr>
          <w:p>
            <w:pPr>
              <w:spacing w:after="0"/>
              <w:rPr>
                <w:sz w:val="16"/>
                <w:szCs w:val="16"/>
                <w:color w:val="auto"/>
              </w:rPr>
            </w:pPr>
          </w:p>
        </w:tc>
      </w:tr>
      <w:tr>
        <w:trPr>
          <w:trHeight w:val="197"/>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524</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280" w:type="dxa"/>
            <w:vAlign w:val="bottom"/>
            <w:shd w:val="clear" w:color="auto" w:fill="CCEEFF"/>
          </w:tcPr>
          <w:p>
            <w:pPr>
              <w:spacing w:after="0"/>
              <w:rPr>
                <w:sz w:val="17"/>
                <w:szCs w:val="17"/>
                <w:color w:val="auto"/>
              </w:rPr>
            </w:pPr>
          </w:p>
        </w:tc>
      </w:tr>
      <w:tr>
        <w:trPr>
          <w:trHeight w:val="203"/>
        </w:trPr>
        <w:tc>
          <w:tcPr>
            <w:tcW w:w="680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Intermodal</w:t>
            </w:r>
          </w:p>
        </w:tc>
        <w:tc>
          <w:tcPr>
            <w:tcW w:w="6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928</w:t>
            </w:r>
          </w:p>
        </w:tc>
        <w:tc>
          <w:tcPr>
            <w:tcW w:w="360" w:type="dxa"/>
            <w:vAlign w:val="bottom"/>
            <w:tcBorders>
              <w:bottom w:val="single" w:sz="8" w:color="7F7F7F"/>
            </w:tcBorders>
          </w:tcPr>
          <w:p>
            <w:pPr>
              <w:spacing w:after="0"/>
              <w:rPr>
                <w:sz w:val="17"/>
                <w:szCs w:val="17"/>
                <w:color w:val="auto"/>
              </w:rPr>
            </w:pPr>
          </w:p>
        </w:tc>
        <w:tc>
          <w:tcPr>
            <w:tcW w:w="112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1,031</w:t>
            </w:r>
          </w:p>
        </w:tc>
        <w:tc>
          <w:tcPr>
            <w:tcW w:w="42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jc w:val="right"/>
              <w:ind w:right="1"/>
              <w:spacing w:after="0"/>
              <w:rPr>
                <w:sz w:val="20"/>
                <w:szCs w:val="20"/>
                <w:color w:val="auto"/>
              </w:rPr>
            </w:pPr>
            <w:r>
              <w:rPr>
                <w:rFonts w:ascii="Arial" w:cs="Arial" w:eastAsia="Arial" w:hAnsi="Arial"/>
                <w:sz w:val="16"/>
                <w:szCs w:val="16"/>
                <w:b w:val="1"/>
                <w:bCs w:val="1"/>
                <w:color w:val="auto"/>
              </w:rPr>
              <w:t>(10)</w:t>
            </w:r>
          </w:p>
        </w:tc>
        <w:tc>
          <w:tcPr>
            <w:tcW w:w="280" w:type="dxa"/>
            <w:vAlign w:val="bottom"/>
            <w:tcBorders>
              <w:bottom w:val="single" w:sz="8" w:color="808080"/>
            </w:tcBorders>
          </w:tcPr>
          <w:p>
            <w:pPr>
              <w:spacing w:after="0"/>
              <w:rPr>
                <w:sz w:val="17"/>
                <w:szCs w:val="17"/>
                <w:color w:val="auto"/>
              </w:rPr>
            </w:pPr>
          </w:p>
        </w:tc>
      </w:tr>
      <w:tr>
        <w:trPr>
          <w:trHeight w:val="190"/>
        </w:trPr>
        <w:tc>
          <w:tcPr>
            <w:tcW w:w="6800" w:type="dxa"/>
            <w:vAlign w:val="bottom"/>
            <w:tcBorders>
              <w:bottom w:val="single" w:sz="8" w:color="7F7F7F"/>
            </w:tcBorders>
            <w:shd w:val="clear" w:color="auto" w:fill="CCEEFF"/>
          </w:tcPr>
          <w:p>
            <w:pPr>
              <w:ind w:left="180"/>
              <w:spacing w:after="0"/>
              <w:rPr>
                <w:sz w:val="20"/>
                <w:szCs w:val="20"/>
                <w:color w:val="auto"/>
              </w:rPr>
            </w:pPr>
            <w:r>
              <w:rPr>
                <w:rFonts w:ascii="Arial" w:cs="Arial" w:eastAsia="Arial" w:hAnsi="Arial"/>
                <w:sz w:val="16"/>
                <w:szCs w:val="16"/>
                <w:color w:val="auto"/>
              </w:rPr>
              <w:t>Premium</w:t>
            </w:r>
          </w:p>
        </w:tc>
        <w:tc>
          <w:tcPr>
            <w:tcW w:w="60" w:type="dxa"/>
            <w:vAlign w:val="bottom"/>
            <w:tcBorders>
              <w:bottom w:val="single" w:sz="8" w:color="808080"/>
            </w:tcBorders>
            <w:shd w:val="clear" w:color="auto" w:fill="CCEEFF"/>
          </w:tcPr>
          <w:p>
            <w:pPr>
              <w:spacing w:after="0"/>
              <w:rPr>
                <w:sz w:val="16"/>
                <w:szCs w:val="16"/>
                <w:color w:val="auto"/>
              </w:rPr>
            </w:pPr>
          </w:p>
        </w:tc>
        <w:tc>
          <w:tcPr>
            <w:tcW w:w="660" w:type="dxa"/>
            <w:vAlign w:val="bottom"/>
            <w:tcBorders>
              <w:bottom w:val="single" w:sz="8" w:color="808080"/>
            </w:tcBorders>
            <w:shd w:val="clear" w:color="auto" w:fill="CCEEFF"/>
          </w:tcPr>
          <w:p>
            <w:pPr>
              <w:spacing w:after="0"/>
              <w:rPr>
                <w:sz w:val="16"/>
                <w:szCs w:val="16"/>
                <w:color w:val="auto"/>
              </w:rPr>
            </w:pPr>
          </w:p>
        </w:tc>
        <w:tc>
          <w:tcPr>
            <w:tcW w:w="80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1,452</w:t>
            </w:r>
          </w:p>
        </w:tc>
        <w:tc>
          <w:tcPr>
            <w:tcW w:w="360" w:type="dxa"/>
            <w:vAlign w:val="bottom"/>
            <w:tcBorders>
              <w:bottom w:val="single" w:sz="8" w:color="7F7F7F"/>
            </w:tcBorders>
            <w:shd w:val="clear" w:color="auto" w:fill="CCEEFF"/>
          </w:tcPr>
          <w:p>
            <w:pPr>
              <w:spacing w:after="0"/>
              <w:rPr>
                <w:sz w:val="16"/>
                <w:szCs w:val="16"/>
                <w:color w:val="auto"/>
              </w:rPr>
            </w:pPr>
          </w:p>
        </w:tc>
        <w:tc>
          <w:tcPr>
            <w:tcW w:w="112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420" w:type="dxa"/>
            <w:vAlign w:val="bottom"/>
            <w:tcBorders>
              <w:bottom w:val="single" w:sz="8" w:color="808080"/>
            </w:tcBorders>
            <w:shd w:val="clear" w:color="auto" w:fill="CCEEFF"/>
          </w:tcPr>
          <w:p>
            <w:pPr>
              <w:spacing w:after="0"/>
              <w:rPr>
                <w:sz w:val="16"/>
                <w:szCs w:val="16"/>
                <w:color w:val="auto"/>
              </w:rPr>
            </w:pPr>
          </w:p>
        </w:tc>
        <w:tc>
          <w:tcPr>
            <w:tcW w:w="740" w:type="dxa"/>
            <w:vAlign w:val="bottom"/>
            <w:tcBorders>
              <w:bottom w:val="single" w:sz="8" w:color="808080"/>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(6)</w:t>
            </w:r>
          </w:p>
        </w:tc>
        <w:tc>
          <w:tcPr>
            <w:tcW w:w="280" w:type="dxa"/>
            <w:vAlign w:val="bottom"/>
            <w:tcBorders>
              <w:bottom w:val="single" w:sz="8" w:color="808080"/>
            </w:tcBorders>
            <w:shd w:val="clear" w:color="auto" w:fill="CCEEFF"/>
          </w:tcPr>
          <w:p>
            <w:pPr>
              <w:spacing w:after="0"/>
              <w:rPr>
                <w:sz w:val="16"/>
                <w:szCs w:val="16"/>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6"/>
                <w:szCs w:val="16"/>
                <w:color w:val="auto"/>
              </w:rPr>
              <w:t>Total</w:t>
            </w:r>
          </w:p>
        </w:tc>
        <w:tc>
          <w:tcPr>
            <w:tcW w:w="7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4,880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5,010</w:t>
            </w:r>
          </w:p>
        </w:tc>
        <w:tc>
          <w:tcPr>
            <w:tcW w:w="420" w:type="dxa"/>
            <w:vAlign w:val="bottom"/>
          </w:tcPr>
          <w:p>
            <w:pPr>
              <w:spacing w:after="0"/>
              <w:rPr>
                <w:sz w:val="21"/>
                <w:szCs w:val="21"/>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b w:val="1"/>
                <w:bCs w:val="1"/>
                <w:color w:val="auto"/>
              </w:rPr>
              <w:t>(3)</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65"/>
        </w:trPr>
        <w:tc>
          <w:tcPr>
            <w:tcW w:w="68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r>
      <w:tr>
        <w:trPr>
          <w:trHeight w:val="387"/>
        </w:trPr>
        <w:tc>
          <w:tcPr>
            <w:tcW w:w="68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r>
      <w:tr>
        <w:trPr>
          <w:trHeight w:val="206"/>
        </w:trPr>
        <w:tc>
          <w:tcPr>
            <w:tcW w:w="6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Revenue Carloads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7"/>
        </w:trPr>
        <w:tc>
          <w:tcPr>
            <w:tcW w:w="6800" w:type="dxa"/>
            <w:vAlign w:val="bottom"/>
          </w:tcPr>
          <w:p>
            <w:pPr>
              <w:ind w:left="40"/>
              <w:spacing w:after="0"/>
              <w:rPr>
                <w:sz w:val="20"/>
                <w:szCs w:val="20"/>
                <w:color w:val="auto"/>
              </w:rPr>
            </w:pPr>
            <w:r>
              <w:rPr>
                <w:rFonts w:ascii="Arial" w:cs="Arial" w:eastAsia="Arial" w:hAnsi="Arial"/>
                <w:sz w:val="16"/>
                <w:szCs w:val="16"/>
                <w:i w:val="1"/>
                <w:iCs w:val="1"/>
                <w:color w:val="auto"/>
              </w:rPr>
              <w:t>Thousands,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w:t>
            </w:r>
          </w:p>
        </w:tc>
      </w:tr>
      <w:tr>
        <w:trPr>
          <w:trHeight w:val="193"/>
        </w:trPr>
        <w:tc>
          <w:tcPr>
            <w:tcW w:w="680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6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spacing w:after="0"/>
              <w:rPr>
                <w:sz w:val="16"/>
                <w:szCs w:val="16"/>
                <w:color w:val="auto"/>
              </w:rPr>
            </w:pPr>
          </w:p>
        </w:tc>
        <w:tc>
          <w:tcPr>
            <w:tcW w:w="8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2020</w:t>
            </w:r>
          </w:p>
        </w:tc>
        <w:tc>
          <w:tcPr>
            <w:tcW w:w="360" w:type="dxa"/>
            <w:vAlign w:val="bottom"/>
            <w:tcBorders>
              <w:bottom w:val="single" w:sz="8" w:color="7F7F7F"/>
            </w:tcBorders>
          </w:tcPr>
          <w:p>
            <w:pPr>
              <w:spacing w:after="0"/>
              <w:rPr>
                <w:sz w:val="16"/>
                <w:szCs w:val="16"/>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420" w:type="dxa"/>
            <w:vAlign w:val="bottom"/>
            <w:tcBorders>
              <w:bottom w:val="single" w:sz="8" w:color="7F7F7F"/>
            </w:tcBorders>
          </w:tcPr>
          <w:p>
            <w:pPr>
              <w:spacing w:after="0"/>
              <w:rPr>
                <w:sz w:val="16"/>
                <w:szCs w:val="16"/>
                <w:color w:val="auto"/>
              </w:rPr>
            </w:pPr>
          </w:p>
        </w:tc>
        <w:tc>
          <w:tcPr>
            <w:tcW w:w="102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197"/>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Grain &amp; grain products</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09"/>
        </w:trPr>
        <w:tc>
          <w:tcPr>
            <w:tcW w:w="6800" w:type="dxa"/>
            <w:vAlign w:val="bottom"/>
          </w:tcPr>
          <w:p>
            <w:pPr>
              <w:ind w:left="260"/>
              <w:spacing w:after="0"/>
              <w:rPr>
                <w:sz w:val="20"/>
                <w:szCs w:val="20"/>
                <w:color w:val="auto"/>
              </w:rPr>
            </w:pPr>
            <w:r>
              <w:rPr>
                <w:rFonts w:ascii="Arial" w:cs="Arial" w:eastAsia="Arial" w:hAnsi="Arial"/>
                <w:sz w:val="16"/>
                <w:szCs w:val="16"/>
                <w:color w:val="auto"/>
              </w:rPr>
              <w:t>Fertilizer</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w:t>
            </w:r>
          </w:p>
        </w:tc>
        <w:tc>
          <w:tcPr>
            <w:tcW w:w="42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7</w:t>
            </w:r>
          </w:p>
        </w:tc>
        <w:tc>
          <w:tcPr>
            <w:tcW w:w="280" w:type="dxa"/>
            <w:vAlign w:val="bottom"/>
          </w:tcPr>
          <w:p>
            <w:pPr>
              <w:spacing w:after="0"/>
              <w:rPr>
                <w:sz w:val="18"/>
                <w:szCs w:val="18"/>
                <w:color w:val="auto"/>
              </w:rPr>
            </w:pPr>
          </w:p>
        </w:tc>
      </w:tr>
      <w:tr>
        <w:trPr>
          <w:trHeight w:val="211"/>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Food &amp; refrigerated</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w:t>
            </w:r>
          </w:p>
        </w:tc>
        <w:tc>
          <w:tcPr>
            <w:tcW w:w="280" w:type="dxa"/>
            <w:vAlign w:val="bottom"/>
            <w:shd w:val="clear" w:color="auto" w:fill="CCEEFF"/>
          </w:tcPr>
          <w:p>
            <w:pPr>
              <w:spacing w:after="0"/>
              <w:rPr>
                <w:sz w:val="18"/>
                <w:szCs w:val="18"/>
                <w:color w:val="auto"/>
              </w:rPr>
            </w:pPr>
          </w:p>
        </w:tc>
      </w:tr>
      <w:tr>
        <w:trPr>
          <w:trHeight w:val="203"/>
        </w:trPr>
        <w:tc>
          <w:tcPr>
            <w:tcW w:w="680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Coal &amp; renewables</w:t>
            </w:r>
          </w:p>
        </w:tc>
        <w:tc>
          <w:tcPr>
            <w:tcW w:w="60" w:type="dxa"/>
            <w:vAlign w:val="bottom"/>
            <w:tcBorders>
              <w:bottom w:val="single" w:sz="8" w:color="7F7F7F"/>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208</w:t>
            </w:r>
          </w:p>
        </w:tc>
        <w:tc>
          <w:tcPr>
            <w:tcW w:w="360" w:type="dxa"/>
            <w:vAlign w:val="bottom"/>
            <w:tcBorders>
              <w:bottom w:val="single" w:sz="8" w:color="7F7F7F"/>
            </w:tcBorders>
          </w:tcPr>
          <w:p>
            <w:pPr>
              <w:spacing w:after="0"/>
              <w:rPr>
                <w:sz w:val="17"/>
                <w:szCs w:val="17"/>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256</w:t>
            </w:r>
          </w:p>
        </w:tc>
        <w:tc>
          <w:tcPr>
            <w:tcW w:w="42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jc w:val="right"/>
              <w:ind w:right="21"/>
              <w:spacing w:after="0"/>
              <w:rPr>
                <w:sz w:val="20"/>
                <w:szCs w:val="20"/>
                <w:color w:val="auto"/>
              </w:rPr>
            </w:pPr>
            <w:r>
              <w:rPr>
                <w:rFonts w:ascii="Arial" w:cs="Arial" w:eastAsia="Arial" w:hAnsi="Arial"/>
                <w:sz w:val="16"/>
                <w:szCs w:val="16"/>
                <w:b w:val="1"/>
                <w:bCs w:val="1"/>
                <w:color w:val="auto"/>
              </w:rPr>
              <w:t>(19)</w:t>
            </w:r>
          </w:p>
        </w:tc>
        <w:tc>
          <w:tcPr>
            <w:tcW w:w="280" w:type="dxa"/>
            <w:vAlign w:val="bottom"/>
            <w:tcBorders>
              <w:bottom w:val="single" w:sz="8" w:color="808080"/>
            </w:tcBorders>
          </w:tcPr>
          <w:p>
            <w:pPr>
              <w:spacing w:after="0"/>
              <w:rPr>
                <w:sz w:val="17"/>
                <w:szCs w:val="17"/>
                <w:color w:val="auto"/>
              </w:rPr>
            </w:pPr>
          </w:p>
        </w:tc>
      </w:tr>
      <w:tr>
        <w:trPr>
          <w:trHeight w:val="190"/>
        </w:trPr>
        <w:tc>
          <w:tcPr>
            <w:tcW w:w="6800" w:type="dxa"/>
            <w:vAlign w:val="bottom"/>
            <w:tcBorders>
              <w:bottom w:val="single" w:sz="8" w:color="7F7F7F"/>
            </w:tcBorders>
            <w:shd w:val="clear" w:color="auto" w:fill="CCEEFF"/>
          </w:tcPr>
          <w:p>
            <w:pPr>
              <w:ind w:left="180"/>
              <w:spacing w:after="0"/>
              <w:rPr>
                <w:sz w:val="20"/>
                <w:szCs w:val="20"/>
                <w:color w:val="auto"/>
              </w:rPr>
            </w:pPr>
            <w:r>
              <w:rPr>
                <w:rFonts w:ascii="Arial" w:cs="Arial" w:eastAsia="Arial" w:hAnsi="Arial"/>
                <w:sz w:val="16"/>
                <w:szCs w:val="16"/>
                <w:color w:val="auto"/>
              </w:rPr>
              <w:t>Bulk</w:t>
            </w:r>
          </w:p>
        </w:tc>
        <w:tc>
          <w:tcPr>
            <w:tcW w:w="60" w:type="dxa"/>
            <w:vAlign w:val="bottom"/>
            <w:tcBorders>
              <w:bottom w:val="single" w:sz="8" w:color="7F7F7F"/>
            </w:tcBorders>
            <w:shd w:val="clear" w:color="auto" w:fill="CCEEFF"/>
          </w:tcPr>
          <w:p>
            <w:pPr>
              <w:spacing w:after="0"/>
              <w:rPr>
                <w:sz w:val="16"/>
                <w:szCs w:val="16"/>
                <w:color w:val="auto"/>
              </w:rPr>
            </w:pPr>
          </w:p>
        </w:tc>
        <w:tc>
          <w:tcPr>
            <w:tcW w:w="660" w:type="dxa"/>
            <w:vAlign w:val="bottom"/>
            <w:tcBorders>
              <w:bottom w:val="single" w:sz="8" w:color="808080"/>
            </w:tcBorders>
            <w:shd w:val="clear" w:color="auto" w:fill="CCEEFF"/>
          </w:tcPr>
          <w:p>
            <w:pPr>
              <w:spacing w:after="0"/>
              <w:rPr>
                <w:sz w:val="16"/>
                <w:szCs w:val="16"/>
                <w:color w:val="auto"/>
              </w:rPr>
            </w:pPr>
          </w:p>
        </w:tc>
        <w:tc>
          <w:tcPr>
            <w:tcW w:w="80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477</w:t>
            </w:r>
          </w:p>
        </w:tc>
        <w:tc>
          <w:tcPr>
            <w:tcW w:w="360" w:type="dxa"/>
            <w:vAlign w:val="bottom"/>
            <w:tcBorders>
              <w:bottom w:val="single" w:sz="8" w:color="7F7F7F"/>
            </w:tcBorders>
            <w:shd w:val="clear" w:color="auto" w:fill="CCEEFF"/>
          </w:tcPr>
          <w:p>
            <w:pPr>
              <w:spacing w:after="0"/>
              <w:rPr>
                <w:sz w:val="16"/>
                <w:szCs w:val="16"/>
                <w:color w:val="auto"/>
              </w:rPr>
            </w:pPr>
          </w:p>
        </w:tc>
        <w:tc>
          <w:tcPr>
            <w:tcW w:w="1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420" w:type="dxa"/>
            <w:vAlign w:val="bottom"/>
            <w:tcBorders>
              <w:bottom w:val="single" w:sz="8" w:color="808080"/>
            </w:tcBorders>
            <w:shd w:val="clear" w:color="auto" w:fill="CCEEFF"/>
          </w:tcPr>
          <w:p>
            <w:pPr>
              <w:spacing w:after="0"/>
              <w:rPr>
                <w:sz w:val="16"/>
                <w:szCs w:val="16"/>
                <w:color w:val="auto"/>
              </w:rPr>
            </w:pPr>
          </w:p>
        </w:tc>
        <w:tc>
          <w:tcPr>
            <w:tcW w:w="740" w:type="dxa"/>
            <w:vAlign w:val="bottom"/>
            <w:tcBorders>
              <w:bottom w:val="single" w:sz="8" w:color="808080"/>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(7)</w:t>
            </w:r>
          </w:p>
        </w:tc>
        <w:tc>
          <w:tcPr>
            <w:tcW w:w="280" w:type="dxa"/>
            <w:vAlign w:val="bottom"/>
            <w:tcBorders>
              <w:bottom w:val="single" w:sz="8" w:color="808080"/>
            </w:tcBorders>
            <w:shd w:val="clear" w:color="auto" w:fill="CCEEFF"/>
          </w:tcPr>
          <w:p>
            <w:pPr>
              <w:spacing w:after="0"/>
              <w:rPr>
                <w:sz w:val="16"/>
                <w:szCs w:val="16"/>
                <w:color w:val="auto"/>
              </w:rPr>
            </w:pPr>
          </w:p>
        </w:tc>
      </w:tr>
      <w:tr>
        <w:trPr>
          <w:trHeight w:val="197"/>
        </w:trPr>
        <w:tc>
          <w:tcPr>
            <w:tcW w:w="6800" w:type="dxa"/>
            <w:vAlign w:val="bottom"/>
          </w:tcPr>
          <w:p>
            <w:pPr>
              <w:ind w:left="260"/>
              <w:spacing w:after="0"/>
              <w:rPr>
                <w:sz w:val="20"/>
                <w:szCs w:val="20"/>
                <w:color w:val="auto"/>
              </w:rPr>
            </w:pPr>
            <w:r>
              <w:rPr>
                <w:rFonts w:ascii="Arial" w:cs="Arial" w:eastAsia="Arial" w:hAnsi="Arial"/>
                <w:sz w:val="16"/>
                <w:szCs w:val="16"/>
                <w:color w:val="auto"/>
              </w:rPr>
              <w:t>Industrial chemicals &amp; plastics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w:t>
            </w:r>
          </w:p>
        </w:tc>
        <w:tc>
          <w:tcPr>
            <w:tcW w:w="420" w:type="dxa"/>
            <w:vAlign w:val="bottom"/>
          </w:tcPr>
          <w:p>
            <w:pPr>
              <w:spacing w:after="0"/>
              <w:rPr>
                <w:sz w:val="17"/>
                <w:szCs w:val="17"/>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b w:val="1"/>
                <w:bCs w:val="1"/>
                <w:color w:val="auto"/>
              </w:rPr>
              <w:t>4</w:t>
            </w:r>
          </w:p>
        </w:tc>
        <w:tc>
          <w:tcPr>
            <w:tcW w:w="280" w:type="dxa"/>
            <w:vAlign w:val="bottom"/>
          </w:tcPr>
          <w:p>
            <w:pPr>
              <w:spacing w:after="0"/>
              <w:rPr>
                <w:sz w:val="17"/>
                <w:szCs w:val="17"/>
                <w:color w:val="auto"/>
              </w:rPr>
            </w:pPr>
          </w:p>
        </w:tc>
      </w:tr>
      <w:tr>
        <w:trPr>
          <w:trHeight w:val="210"/>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Metals &amp; minerals</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(3)</w:t>
            </w:r>
          </w:p>
        </w:tc>
        <w:tc>
          <w:tcPr>
            <w:tcW w:w="280" w:type="dxa"/>
            <w:vAlign w:val="bottom"/>
            <w:shd w:val="clear" w:color="auto" w:fill="CCEEFF"/>
          </w:tcPr>
          <w:p>
            <w:pPr>
              <w:spacing w:after="0"/>
              <w:rPr>
                <w:sz w:val="18"/>
                <w:szCs w:val="18"/>
                <w:color w:val="auto"/>
              </w:rPr>
            </w:pPr>
          </w:p>
        </w:tc>
      </w:tr>
      <w:tr>
        <w:trPr>
          <w:trHeight w:val="209"/>
        </w:trPr>
        <w:tc>
          <w:tcPr>
            <w:tcW w:w="6800" w:type="dxa"/>
            <w:vAlign w:val="bottom"/>
          </w:tcPr>
          <w:p>
            <w:pPr>
              <w:ind w:left="260"/>
              <w:spacing w:after="0"/>
              <w:rPr>
                <w:sz w:val="20"/>
                <w:szCs w:val="20"/>
                <w:color w:val="auto"/>
              </w:rPr>
            </w:pPr>
            <w:r>
              <w:rPr>
                <w:rFonts w:ascii="Arial" w:cs="Arial" w:eastAsia="Arial" w:hAnsi="Arial"/>
                <w:sz w:val="16"/>
                <w:szCs w:val="16"/>
                <w:color w:val="auto"/>
              </w:rPr>
              <w:t>Forest products</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w:t>
            </w:r>
          </w:p>
        </w:tc>
        <w:tc>
          <w:tcPr>
            <w:tcW w:w="420" w:type="dxa"/>
            <w:vAlign w:val="bottom"/>
          </w:tcPr>
          <w:p>
            <w:pPr>
              <w:spacing w:after="0"/>
              <w:rPr>
                <w:sz w:val="18"/>
                <w:szCs w:val="18"/>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r>
      <w:tr>
        <w:trPr>
          <w:trHeight w:val="204"/>
        </w:trPr>
        <w:tc>
          <w:tcPr>
            <w:tcW w:w="680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Energy &amp; specialized markets</w:t>
            </w:r>
          </w:p>
        </w:tc>
        <w:tc>
          <w:tcPr>
            <w:tcW w:w="60" w:type="dxa"/>
            <w:vAlign w:val="bottom"/>
            <w:tcBorders>
              <w:bottom w:val="single" w:sz="8" w:color="7F7F7F"/>
            </w:tcBorders>
            <w:shd w:val="clear" w:color="auto" w:fill="CCEEFF"/>
          </w:tcPr>
          <w:p>
            <w:pPr>
              <w:spacing w:after="0"/>
              <w:rPr>
                <w:sz w:val="17"/>
                <w:szCs w:val="17"/>
                <w:color w:val="auto"/>
              </w:rPr>
            </w:pPr>
          </w:p>
        </w:tc>
        <w:tc>
          <w:tcPr>
            <w:tcW w:w="660" w:type="dxa"/>
            <w:vAlign w:val="bottom"/>
            <w:tcBorders>
              <w:bottom w:val="single" w:sz="8" w:color="808080"/>
            </w:tcBorders>
            <w:shd w:val="clear" w:color="auto" w:fill="CCEEFF"/>
          </w:tcPr>
          <w:p>
            <w:pPr>
              <w:spacing w:after="0"/>
              <w:rPr>
                <w:sz w:val="17"/>
                <w:szCs w:val="17"/>
                <w:color w:val="auto"/>
              </w:rPr>
            </w:pPr>
          </w:p>
        </w:tc>
        <w:tc>
          <w:tcPr>
            <w:tcW w:w="80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162</w:t>
            </w:r>
          </w:p>
        </w:tc>
        <w:tc>
          <w:tcPr>
            <w:tcW w:w="360" w:type="dxa"/>
            <w:vAlign w:val="bottom"/>
            <w:tcBorders>
              <w:bottom w:val="single" w:sz="8" w:color="7F7F7F"/>
            </w:tcBorders>
            <w:shd w:val="clear" w:color="auto" w:fill="CCEEFF"/>
          </w:tcPr>
          <w:p>
            <w:pPr>
              <w:spacing w:after="0"/>
              <w:rPr>
                <w:sz w:val="17"/>
                <w:szCs w:val="17"/>
                <w:color w:val="auto"/>
              </w:rPr>
            </w:pPr>
          </w:p>
        </w:tc>
        <w:tc>
          <w:tcPr>
            <w:tcW w:w="1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420" w:type="dxa"/>
            <w:vAlign w:val="bottom"/>
            <w:tcBorders>
              <w:bottom w:val="single" w:sz="8" w:color="808080"/>
            </w:tcBorders>
            <w:shd w:val="clear" w:color="auto" w:fill="CCEEFF"/>
          </w:tcPr>
          <w:p>
            <w:pPr>
              <w:spacing w:after="0"/>
              <w:rPr>
                <w:sz w:val="17"/>
                <w:szCs w:val="17"/>
                <w:color w:val="auto"/>
              </w:rPr>
            </w:pPr>
          </w:p>
        </w:tc>
        <w:tc>
          <w:tcPr>
            <w:tcW w:w="740" w:type="dxa"/>
            <w:vAlign w:val="bottom"/>
            <w:tcBorders>
              <w:bottom w:val="single" w:sz="8" w:color="808080"/>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10</w:t>
            </w:r>
          </w:p>
        </w:tc>
        <w:tc>
          <w:tcPr>
            <w:tcW w:w="280" w:type="dxa"/>
            <w:vAlign w:val="bottom"/>
            <w:tcBorders>
              <w:bottom w:val="single" w:sz="8" w:color="808080"/>
            </w:tcBorders>
            <w:shd w:val="clear" w:color="auto" w:fill="CCEEFF"/>
          </w:tcPr>
          <w:p>
            <w:pPr>
              <w:spacing w:after="0"/>
              <w:rPr>
                <w:sz w:val="17"/>
                <w:szCs w:val="17"/>
                <w:color w:val="auto"/>
              </w:rPr>
            </w:pPr>
          </w:p>
        </w:tc>
      </w:tr>
      <w:tr>
        <w:trPr>
          <w:trHeight w:val="190"/>
        </w:trPr>
        <w:tc>
          <w:tcPr>
            <w:tcW w:w="6800" w:type="dxa"/>
            <w:vAlign w:val="bottom"/>
            <w:tcBorders>
              <w:bottom w:val="single" w:sz="8" w:color="7F7F7F"/>
            </w:tcBorders>
          </w:tcPr>
          <w:p>
            <w:pPr>
              <w:ind w:left="180"/>
              <w:spacing w:after="0"/>
              <w:rPr>
                <w:sz w:val="20"/>
                <w:szCs w:val="20"/>
                <w:color w:val="auto"/>
              </w:rPr>
            </w:pPr>
            <w:r>
              <w:rPr>
                <w:rFonts w:ascii="Arial" w:cs="Arial" w:eastAsia="Arial" w:hAnsi="Arial"/>
                <w:sz w:val="16"/>
                <w:szCs w:val="16"/>
                <w:color w:val="auto"/>
              </w:rPr>
              <w:t>Industrial</w:t>
            </w:r>
          </w:p>
        </w:tc>
        <w:tc>
          <w:tcPr>
            <w:tcW w:w="60" w:type="dxa"/>
            <w:vAlign w:val="bottom"/>
            <w:tcBorders>
              <w:bottom w:val="single" w:sz="8" w:color="7F7F7F"/>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546</w:t>
            </w:r>
          </w:p>
        </w:tc>
        <w:tc>
          <w:tcPr>
            <w:tcW w:w="360" w:type="dxa"/>
            <w:vAlign w:val="bottom"/>
            <w:tcBorders>
              <w:bottom w:val="single" w:sz="8" w:color="7F7F7F"/>
            </w:tcBorders>
          </w:tcPr>
          <w:p>
            <w:pPr>
              <w:spacing w:after="0"/>
              <w:rPr>
                <w:sz w:val="16"/>
                <w:szCs w:val="16"/>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531</w:t>
            </w:r>
          </w:p>
        </w:tc>
        <w:tc>
          <w:tcPr>
            <w:tcW w:w="42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jc w:val="right"/>
              <w:ind w:right="61"/>
              <w:spacing w:after="0"/>
              <w:rPr>
                <w:sz w:val="20"/>
                <w:szCs w:val="20"/>
                <w:color w:val="auto"/>
              </w:rPr>
            </w:pPr>
            <w:r>
              <w:rPr>
                <w:rFonts w:ascii="Arial" w:cs="Arial" w:eastAsia="Arial" w:hAnsi="Arial"/>
                <w:sz w:val="16"/>
                <w:szCs w:val="16"/>
                <w:b w:val="1"/>
                <w:bCs w:val="1"/>
                <w:color w:val="auto"/>
              </w:rPr>
              <w:t>3</w:t>
            </w:r>
          </w:p>
        </w:tc>
        <w:tc>
          <w:tcPr>
            <w:tcW w:w="280" w:type="dxa"/>
            <w:vAlign w:val="bottom"/>
            <w:tcBorders>
              <w:bottom w:val="single" w:sz="8" w:color="808080"/>
            </w:tcBorders>
          </w:tcPr>
          <w:p>
            <w:pPr>
              <w:spacing w:after="0"/>
              <w:rPr>
                <w:sz w:val="16"/>
                <w:szCs w:val="16"/>
                <w:color w:val="auto"/>
              </w:rPr>
            </w:pPr>
          </w:p>
        </w:tc>
      </w:tr>
      <w:tr>
        <w:trPr>
          <w:trHeight w:val="197"/>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208</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w:t>
            </w:r>
          </w:p>
        </w:tc>
        <w:tc>
          <w:tcPr>
            <w:tcW w:w="280" w:type="dxa"/>
            <w:vAlign w:val="bottom"/>
            <w:shd w:val="clear" w:color="auto" w:fill="CCEEFF"/>
          </w:tcPr>
          <w:p>
            <w:pPr>
              <w:spacing w:after="0"/>
              <w:rPr>
                <w:sz w:val="17"/>
                <w:szCs w:val="17"/>
                <w:color w:val="auto"/>
              </w:rPr>
            </w:pPr>
          </w:p>
        </w:tc>
      </w:tr>
      <w:tr>
        <w:trPr>
          <w:trHeight w:val="203"/>
        </w:trPr>
        <w:tc>
          <w:tcPr>
            <w:tcW w:w="680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Intermodal [a]</w:t>
            </w:r>
          </w:p>
        </w:tc>
        <w:tc>
          <w:tcPr>
            <w:tcW w:w="60" w:type="dxa"/>
            <w:vAlign w:val="bottom"/>
            <w:tcBorders>
              <w:bottom w:val="single" w:sz="8" w:color="7F7F7F"/>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709</w:t>
            </w:r>
          </w:p>
        </w:tc>
        <w:tc>
          <w:tcPr>
            <w:tcW w:w="360" w:type="dxa"/>
            <w:vAlign w:val="bottom"/>
            <w:tcBorders>
              <w:bottom w:val="single" w:sz="8" w:color="7F7F7F"/>
            </w:tcBorders>
          </w:tcPr>
          <w:p>
            <w:pPr>
              <w:spacing w:after="0"/>
              <w:rPr>
                <w:sz w:val="17"/>
                <w:szCs w:val="17"/>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831</w:t>
            </w:r>
          </w:p>
        </w:tc>
        <w:tc>
          <w:tcPr>
            <w:tcW w:w="42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jc w:val="right"/>
              <w:ind w:right="21"/>
              <w:spacing w:after="0"/>
              <w:rPr>
                <w:sz w:val="20"/>
                <w:szCs w:val="20"/>
                <w:color w:val="auto"/>
              </w:rPr>
            </w:pPr>
            <w:r>
              <w:rPr>
                <w:rFonts w:ascii="Arial" w:cs="Arial" w:eastAsia="Arial" w:hAnsi="Arial"/>
                <w:sz w:val="16"/>
                <w:szCs w:val="16"/>
                <w:b w:val="1"/>
                <w:bCs w:val="1"/>
                <w:color w:val="auto"/>
              </w:rPr>
              <w:t>(15)</w:t>
            </w:r>
          </w:p>
        </w:tc>
        <w:tc>
          <w:tcPr>
            <w:tcW w:w="280" w:type="dxa"/>
            <w:vAlign w:val="bottom"/>
            <w:tcBorders>
              <w:bottom w:val="single" w:sz="8" w:color="808080"/>
            </w:tcBorders>
          </w:tcPr>
          <w:p>
            <w:pPr>
              <w:spacing w:after="0"/>
              <w:rPr>
                <w:sz w:val="17"/>
                <w:szCs w:val="17"/>
                <w:color w:val="auto"/>
              </w:rPr>
            </w:pPr>
          </w:p>
        </w:tc>
      </w:tr>
      <w:tr>
        <w:trPr>
          <w:trHeight w:val="190"/>
        </w:trPr>
        <w:tc>
          <w:tcPr>
            <w:tcW w:w="6800" w:type="dxa"/>
            <w:vAlign w:val="bottom"/>
            <w:tcBorders>
              <w:bottom w:val="single" w:sz="8" w:color="7F7F7F"/>
            </w:tcBorders>
            <w:shd w:val="clear" w:color="auto" w:fill="CCEEFF"/>
          </w:tcPr>
          <w:p>
            <w:pPr>
              <w:ind w:left="180"/>
              <w:spacing w:after="0"/>
              <w:rPr>
                <w:sz w:val="20"/>
                <w:szCs w:val="20"/>
                <w:color w:val="auto"/>
              </w:rPr>
            </w:pPr>
            <w:r>
              <w:rPr>
                <w:rFonts w:ascii="Arial" w:cs="Arial" w:eastAsia="Arial" w:hAnsi="Arial"/>
                <w:sz w:val="16"/>
                <w:szCs w:val="16"/>
                <w:color w:val="auto"/>
              </w:rPr>
              <w:t>Premium</w:t>
            </w:r>
          </w:p>
        </w:tc>
        <w:tc>
          <w:tcPr>
            <w:tcW w:w="60" w:type="dxa"/>
            <w:vAlign w:val="bottom"/>
            <w:tcBorders>
              <w:bottom w:val="single" w:sz="8" w:color="7F7F7F"/>
            </w:tcBorders>
            <w:shd w:val="clear" w:color="auto" w:fill="CCEEFF"/>
          </w:tcPr>
          <w:p>
            <w:pPr>
              <w:spacing w:after="0"/>
              <w:rPr>
                <w:sz w:val="16"/>
                <w:szCs w:val="16"/>
                <w:color w:val="auto"/>
              </w:rPr>
            </w:pPr>
          </w:p>
        </w:tc>
        <w:tc>
          <w:tcPr>
            <w:tcW w:w="660" w:type="dxa"/>
            <w:vAlign w:val="bottom"/>
            <w:tcBorders>
              <w:bottom w:val="single" w:sz="8" w:color="808080"/>
            </w:tcBorders>
            <w:shd w:val="clear" w:color="auto" w:fill="CCEEFF"/>
          </w:tcPr>
          <w:p>
            <w:pPr>
              <w:spacing w:after="0"/>
              <w:rPr>
                <w:sz w:val="16"/>
                <w:szCs w:val="16"/>
                <w:color w:val="auto"/>
              </w:rPr>
            </w:pPr>
          </w:p>
        </w:tc>
        <w:tc>
          <w:tcPr>
            <w:tcW w:w="80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917</w:t>
            </w:r>
          </w:p>
        </w:tc>
        <w:tc>
          <w:tcPr>
            <w:tcW w:w="360" w:type="dxa"/>
            <w:vAlign w:val="bottom"/>
            <w:tcBorders>
              <w:bottom w:val="single" w:sz="8" w:color="7F7F7F"/>
            </w:tcBorders>
            <w:shd w:val="clear" w:color="auto" w:fill="CCEEFF"/>
          </w:tcPr>
          <w:p>
            <w:pPr>
              <w:spacing w:after="0"/>
              <w:rPr>
                <w:sz w:val="16"/>
                <w:szCs w:val="16"/>
                <w:color w:val="auto"/>
              </w:rPr>
            </w:pPr>
          </w:p>
        </w:tc>
        <w:tc>
          <w:tcPr>
            <w:tcW w:w="112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420" w:type="dxa"/>
            <w:vAlign w:val="bottom"/>
            <w:tcBorders>
              <w:bottom w:val="single" w:sz="8" w:color="808080"/>
            </w:tcBorders>
            <w:shd w:val="clear" w:color="auto" w:fill="CCEEFF"/>
          </w:tcPr>
          <w:p>
            <w:pPr>
              <w:spacing w:after="0"/>
              <w:rPr>
                <w:sz w:val="16"/>
                <w:szCs w:val="16"/>
                <w:color w:val="auto"/>
              </w:rPr>
            </w:pPr>
          </w:p>
        </w:tc>
        <w:tc>
          <w:tcPr>
            <w:tcW w:w="740" w:type="dxa"/>
            <w:vAlign w:val="bottom"/>
            <w:tcBorders>
              <w:bottom w:val="single" w:sz="8" w:color="808080"/>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(12)</w:t>
            </w:r>
          </w:p>
        </w:tc>
        <w:tc>
          <w:tcPr>
            <w:tcW w:w="280" w:type="dxa"/>
            <w:vAlign w:val="bottom"/>
            <w:tcBorders>
              <w:bottom w:val="single" w:sz="8" w:color="808080"/>
            </w:tcBorders>
            <w:shd w:val="clear" w:color="auto" w:fill="CCEEFF"/>
          </w:tcPr>
          <w:p>
            <w:pPr>
              <w:spacing w:after="0"/>
              <w:rPr>
                <w:sz w:val="16"/>
                <w:szCs w:val="16"/>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6"/>
                <w:szCs w:val="16"/>
                <w:color w:val="auto"/>
              </w:rPr>
              <w:t>Total</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1,940</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2,087</w:t>
            </w:r>
          </w:p>
        </w:tc>
        <w:tc>
          <w:tcPr>
            <w:tcW w:w="420" w:type="dxa"/>
            <w:vAlign w:val="bottom"/>
          </w:tcPr>
          <w:p>
            <w:pPr>
              <w:spacing w:after="0"/>
              <w:rPr>
                <w:sz w:val="21"/>
                <w:szCs w:val="21"/>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b w:val="1"/>
                <w:bCs w:val="1"/>
                <w:color w:val="auto"/>
              </w:rPr>
              <w:t>(7)</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65"/>
        </w:trPr>
        <w:tc>
          <w:tcPr>
            <w:tcW w:w="68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For intermodal shipments each container or trailer equals one carload.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00" w:type="dxa"/>
            <w:vAlign w:val="bottom"/>
            <w:tcBorders>
              <w:top w:val="single" w:sz="8" w:color="7F7F7F"/>
            </w:tcBorders>
          </w:tcPr>
          <w:p>
            <w:pPr>
              <w:ind w:left="40"/>
              <w:spacing w:after="0"/>
              <w:rPr>
                <w:sz w:val="20"/>
                <w:szCs w:val="20"/>
                <w:color w:val="auto"/>
              </w:rPr>
            </w:pPr>
            <w:r>
              <w:rPr>
                <w:rFonts w:ascii="Arial" w:cs="Arial" w:eastAsia="Arial" w:hAnsi="Arial"/>
                <w:sz w:val="16"/>
                <w:szCs w:val="16"/>
                <w:b w:val="1"/>
                <w:bCs w:val="1"/>
                <w:i w:val="1"/>
                <w:iCs w:val="1"/>
                <w:color w:val="auto"/>
              </w:rPr>
              <w:t>Average Revenue per Car</w:t>
            </w:r>
          </w:p>
        </w:tc>
        <w:tc>
          <w:tcPr>
            <w:tcW w:w="720" w:type="dxa"/>
            <w:vAlign w:val="bottom"/>
            <w:tcBorders>
              <w:top w:val="single" w:sz="8" w:color="7F7F7F"/>
            </w:tcBorders>
          </w:tcPr>
          <w:p>
            <w:pPr>
              <w:spacing w:after="0"/>
              <w:rPr>
                <w:sz w:val="20"/>
                <w:szCs w:val="20"/>
                <w:color w:val="auto"/>
              </w:rPr>
            </w:pPr>
          </w:p>
        </w:tc>
        <w:tc>
          <w:tcPr>
            <w:tcW w:w="800" w:type="dxa"/>
            <w:vAlign w:val="bottom"/>
            <w:tcBorders>
              <w:top w:val="single" w:sz="8" w:color="7F7F7F"/>
            </w:tcBorders>
          </w:tcPr>
          <w:p>
            <w:pPr>
              <w:spacing w:after="0"/>
              <w:rPr>
                <w:sz w:val="20"/>
                <w:szCs w:val="20"/>
                <w:color w:val="auto"/>
              </w:rPr>
            </w:pPr>
          </w:p>
        </w:tc>
        <w:tc>
          <w:tcPr>
            <w:tcW w:w="360" w:type="dxa"/>
            <w:vAlign w:val="bottom"/>
            <w:tcBorders>
              <w:top w:val="single" w:sz="8" w:color="7F7F7F"/>
            </w:tcBorders>
          </w:tcPr>
          <w:p>
            <w:pPr>
              <w:spacing w:after="0"/>
              <w:rPr>
                <w:sz w:val="20"/>
                <w:szCs w:val="20"/>
                <w:color w:val="auto"/>
              </w:rPr>
            </w:pPr>
          </w:p>
        </w:tc>
        <w:tc>
          <w:tcPr>
            <w:tcW w:w="1580" w:type="dxa"/>
            <w:vAlign w:val="bottom"/>
            <w:tcBorders>
              <w:top w:val="single" w:sz="8" w:color="7F7F7F"/>
            </w:tcBorders>
          </w:tcPr>
          <w:p>
            <w:pPr>
              <w:spacing w:after="0"/>
              <w:rPr>
                <w:sz w:val="20"/>
                <w:szCs w:val="20"/>
                <w:color w:val="auto"/>
              </w:rPr>
            </w:pPr>
          </w:p>
        </w:tc>
        <w:tc>
          <w:tcPr>
            <w:tcW w:w="720" w:type="dxa"/>
            <w:vAlign w:val="bottom"/>
            <w:tcBorders>
              <w:top w:val="single" w:sz="8" w:color="7F7F7F"/>
            </w:tcBorders>
          </w:tcPr>
          <w:p>
            <w:pPr>
              <w:spacing w:after="0"/>
              <w:rPr>
                <w:sz w:val="20"/>
                <w:szCs w:val="20"/>
                <w:color w:val="auto"/>
              </w:rPr>
            </w:pPr>
          </w:p>
        </w:tc>
        <w:tc>
          <w:tcPr>
            <w:tcW w:w="260" w:type="dxa"/>
            <w:vAlign w:val="bottom"/>
            <w:tcBorders>
              <w:top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w:t>
            </w:r>
          </w:p>
        </w:tc>
      </w:tr>
      <w:tr>
        <w:trPr>
          <w:trHeight w:val="193"/>
        </w:trPr>
        <w:tc>
          <w:tcPr>
            <w:tcW w:w="680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720" w:type="dxa"/>
            <w:vAlign w:val="bottom"/>
            <w:tcBorders>
              <w:bottom w:val="single" w:sz="8" w:color="7F7F7F"/>
            </w:tcBorders>
          </w:tcPr>
          <w:p>
            <w:pPr>
              <w:spacing w:after="0"/>
              <w:rPr>
                <w:sz w:val="16"/>
                <w:szCs w:val="16"/>
                <w:color w:val="auto"/>
              </w:rPr>
            </w:pPr>
          </w:p>
        </w:tc>
        <w:tc>
          <w:tcPr>
            <w:tcW w:w="80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2020</w:t>
            </w:r>
          </w:p>
        </w:tc>
        <w:tc>
          <w:tcPr>
            <w:tcW w:w="360" w:type="dxa"/>
            <w:vAlign w:val="bottom"/>
            <w:tcBorders>
              <w:bottom w:val="single" w:sz="8" w:color="7F7F7F"/>
            </w:tcBorders>
          </w:tcPr>
          <w:p>
            <w:pPr>
              <w:spacing w:after="0"/>
              <w:rPr>
                <w:sz w:val="16"/>
                <w:szCs w:val="16"/>
                <w:color w:val="auto"/>
              </w:rPr>
            </w:pPr>
          </w:p>
        </w:tc>
        <w:tc>
          <w:tcPr>
            <w:tcW w:w="1580" w:type="dxa"/>
            <w:vAlign w:val="bottom"/>
            <w:tcBorders>
              <w:bottom w:val="single" w:sz="8" w:color="7F7F7F"/>
            </w:tcBorders>
          </w:tcPr>
          <w:p>
            <w:pPr>
              <w:jc w:val="right"/>
              <w:ind w:right="341"/>
              <w:spacing w:after="0"/>
              <w:rPr>
                <w:sz w:val="20"/>
                <w:szCs w:val="20"/>
                <w:color w:val="auto"/>
              </w:rPr>
            </w:pPr>
            <w:r>
              <w:rPr>
                <w:rFonts w:ascii="Arial" w:cs="Arial" w:eastAsia="Arial" w:hAnsi="Arial"/>
                <w:sz w:val="16"/>
                <w:szCs w:val="16"/>
                <w:i w:val="1"/>
                <w:iCs w:val="1"/>
                <w:color w:val="auto"/>
              </w:rPr>
              <w:t>2019</w:t>
            </w:r>
          </w:p>
        </w:tc>
        <w:tc>
          <w:tcPr>
            <w:tcW w:w="98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197"/>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Grain &amp; grain products</w:t>
            </w:r>
          </w:p>
        </w:tc>
        <w:tc>
          <w:tcPr>
            <w:tcW w:w="720" w:type="dxa"/>
            <w:vAlign w:val="bottom"/>
            <w:shd w:val="clear" w:color="auto" w:fill="CCEEFF"/>
          </w:tcPr>
          <w:p>
            <w:pPr>
              <w:jc w:val="right"/>
              <w:ind w:right="281"/>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3,940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3,924</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800" w:type="dxa"/>
            <w:vAlign w:val="bottom"/>
          </w:tcPr>
          <w:p>
            <w:pPr>
              <w:ind w:left="260"/>
              <w:spacing w:after="0"/>
              <w:rPr>
                <w:sz w:val="20"/>
                <w:szCs w:val="20"/>
                <w:color w:val="auto"/>
              </w:rPr>
            </w:pPr>
            <w:r>
              <w:rPr>
                <w:rFonts w:ascii="Arial" w:cs="Arial" w:eastAsia="Arial" w:hAnsi="Arial"/>
                <w:sz w:val="16"/>
                <w:szCs w:val="16"/>
                <w:color w:val="auto"/>
              </w:rPr>
              <w:t>Fertilizer</w:t>
            </w: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3,768</w:t>
            </w:r>
          </w:p>
        </w:tc>
        <w:tc>
          <w:tcPr>
            <w:tcW w:w="360" w:type="dxa"/>
            <w:vAlign w:val="bottom"/>
          </w:tcPr>
          <w:p>
            <w:pPr>
              <w:spacing w:after="0"/>
              <w:rPr>
                <w:sz w:val="18"/>
                <w:szCs w:val="18"/>
                <w:color w:val="auto"/>
              </w:rPr>
            </w:pPr>
          </w:p>
        </w:tc>
        <w:tc>
          <w:tcPr>
            <w:tcW w:w="1580" w:type="dxa"/>
            <w:vAlign w:val="bottom"/>
          </w:tcPr>
          <w:p>
            <w:pPr>
              <w:jc w:val="right"/>
              <w:ind w:right="381"/>
              <w:spacing w:after="0"/>
              <w:rPr>
                <w:sz w:val="20"/>
                <w:szCs w:val="20"/>
                <w:color w:val="auto"/>
              </w:rPr>
            </w:pPr>
            <w:r>
              <w:rPr>
                <w:rFonts w:ascii="Arial" w:cs="Arial" w:eastAsia="Arial" w:hAnsi="Arial"/>
                <w:sz w:val="16"/>
                <w:szCs w:val="16"/>
                <w:color w:val="auto"/>
              </w:rPr>
              <w:t>3,718</w:t>
            </w: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1</w:t>
            </w:r>
          </w:p>
        </w:tc>
        <w:tc>
          <w:tcPr>
            <w:tcW w:w="260" w:type="dxa"/>
            <w:vAlign w:val="bottom"/>
          </w:tcPr>
          <w:p>
            <w:pPr>
              <w:spacing w:after="0"/>
              <w:rPr>
                <w:sz w:val="18"/>
                <w:szCs w:val="18"/>
                <w:color w:val="auto"/>
              </w:rPr>
            </w:pPr>
          </w:p>
        </w:tc>
      </w:tr>
      <w:tr>
        <w:trPr>
          <w:trHeight w:val="211"/>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Food &amp; refrigerated</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5,277</w:t>
            </w: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5,219</w:t>
            </w: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w:t>
            </w:r>
          </w:p>
        </w:tc>
        <w:tc>
          <w:tcPr>
            <w:tcW w:w="260" w:type="dxa"/>
            <w:vAlign w:val="bottom"/>
            <w:shd w:val="clear" w:color="auto" w:fill="CCEEFF"/>
          </w:tcPr>
          <w:p>
            <w:pPr>
              <w:spacing w:after="0"/>
              <w:rPr>
                <w:sz w:val="18"/>
                <w:szCs w:val="18"/>
                <w:color w:val="auto"/>
              </w:rPr>
            </w:pPr>
          </w:p>
        </w:tc>
      </w:tr>
      <w:tr>
        <w:trPr>
          <w:trHeight w:val="203"/>
        </w:trPr>
        <w:tc>
          <w:tcPr>
            <w:tcW w:w="680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Coal &amp; renewables</w:t>
            </w:r>
          </w:p>
        </w:tc>
        <w:tc>
          <w:tcPr>
            <w:tcW w:w="72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7F7F7F"/>
            </w:tcBorders>
          </w:tcPr>
          <w:p>
            <w:pPr>
              <w:spacing w:after="0"/>
              <w:rPr>
                <w:sz w:val="17"/>
                <w:szCs w:val="17"/>
                <w:color w:val="auto"/>
              </w:rPr>
            </w:pPr>
          </w:p>
        </w:tc>
        <w:tc>
          <w:tcPr>
            <w:tcW w:w="1580" w:type="dxa"/>
            <w:vAlign w:val="bottom"/>
            <w:tcBorders>
              <w:bottom w:val="single" w:sz="8" w:color="808080"/>
            </w:tcBorders>
          </w:tcPr>
          <w:p>
            <w:pPr>
              <w:jc w:val="right"/>
              <w:ind w:right="381"/>
              <w:spacing w:after="0"/>
              <w:rPr>
                <w:sz w:val="20"/>
                <w:szCs w:val="20"/>
                <w:color w:val="auto"/>
              </w:rPr>
            </w:pPr>
            <w:r>
              <w:rPr>
                <w:rFonts w:ascii="Arial" w:cs="Arial" w:eastAsia="Arial" w:hAnsi="Arial"/>
                <w:sz w:val="16"/>
                <w:szCs w:val="16"/>
                <w:color w:val="auto"/>
              </w:rPr>
              <w:t>2,162</w:t>
            </w:r>
          </w:p>
        </w:tc>
        <w:tc>
          <w:tcPr>
            <w:tcW w:w="720" w:type="dxa"/>
            <w:vAlign w:val="bottom"/>
            <w:tcBorders>
              <w:bottom w:val="single" w:sz="8" w:color="808080"/>
            </w:tcBorders>
          </w:tcPr>
          <w:p>
            <w:pPr>
              <w:jc w:val="right"/>
              <w:ind w:right="21"/>
              <w:spacing w:after="0"/>
              <w:rPr>
                <w:sz w:val="20"/>
                <w:szCs w:val="20"/>
                <w:color w:val="auto"/>
              </w:rPr>
            </w:pPr>
            <w:r>
              <w:rPr>
                <w:rFonts w:ascii="Arial" w:cs="Arial" w:eastAsia="Arial" w:hAnsi="Arial"/>
                <w:sz w:val="16"/>
                <w:szCs w:val="16"/>
                <w:b w:val="1"/>
                <w:bCs w:val="1"/>
                <w:color w:val="auto"/>
              </w:rPr>
              <w:t>(6)</w:t>
            </w:r>
          </w:p>
        </w:tc>
        <w:tc>
          <w:tcPr>
            <w:tcW w:w="260" w:type="dxa"/>
            <w:vAlign w:val="bottom"/>
            <w:tcBorders>
              <w:bottom w:val="single" w:sz="8" w:color="808080"/>
            </w:tcBorders>
          </w:tcPr>
          <w:p>
            <w:pPr>
              <w:spacing w:after="0"/>
              <w:rPr>
                <w:sz w:val="17"/>
                <w:szCs w:val="17"/>
                <w:color w:val="auto"/>
              </w:rPr>
            </w:pPr>
          </w:p>
        </w:tc>
      </w:tr>
      <w:tr>
        <w:trPr>
          <w:trHeight w:val="190"/>
        </w:trPr>
        <w:tc>
          <w:tcPr>
            <w:tcW w:w="6800" w:type="dxa"/>
            <w:vAlign w:val="bottom"/>
            <w:tcBorders>
              <w:bottom w:val="single" w:sz="8" w:color="7F7F7F"/>
            </w:tcBorders>
            <w:shd w:val="clear" w:color="auto" w:fill="CCEEFF"/>
          </w:tcPr>
          <w:p>
            <w:pPr>
              <w:ind w:left="180"/>
              <w:spacing w:after="0"/>
              <w:rPr>
                <w:sz w:val="20"/>
                <w:szCs w:val="20"/>
                <w:color w:val="auto"/>
              </w:rPr>
            </w:pPr>
            <w:r>
              <w:rPr>
                <w:rFonts w:ascii="Arial" w:cs="Arial" w:eastAsia="Arial" w:hAnsi="Arial"/>
                <w:sz w:val="16"/>
                <w:szCs w:val="16"/>
                <w:color w:val="auto"/>
              </w:rPr>
              <w:t>Bulk</w:t>
            </w:r>
          </w:p>
        </w:tc>
        <w:tc>
          <w:tcPr>
            <w:tcW w:w="720" w:type="dxa"/>
            <w:vAlign w:val="bottom"/>
            <w:tcBorders>
              <w:bottom w:val="single" w:sz="8" w:color="808080"/>
            </w:tcBorders>
            <w:shd w:val="clear" w:color="auto" w:fill="CCEEFF"/>
          </w:tcPr>
          <w:p>
            <w:pPr>
              <w:spacing w:after="0"/>
              <w:rPr>
                <w:sz w:val="16"/>
                <w:szCs w:val="16"/>
                <w:color w:val="auto"/>
              </w:rPr>
            </w:pPr>
          </w:p>
        </w:tc>
        <w:tc>
          <w:tcPr>
            <w:tcW w:w="80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3,219</w:t>
            </w:r>
          </w:p>
        </w:tc>
        <w:tc>
          <w:tcPr>
            <w:tcW w:w="360" w:type="dxa"/>
            <w:vAlign w:val="bottom"/>
            <w:tcBorders>
              <w:bottom w:val="single" w:sz="8" w:color="7F7F7F"/>
            </w:tcBorders>
            <w:shd w:val="clear" w:color="auto" w:fill="CCEEFF"/>
          </w:tcPr>
          <w:p>
            <w:pPr>
              <w:spacing w:after="0"/>
              <w:rPr>
                <w:sz w:val="16"/>
                <w:szCs w:val="16"/>
                <w:color w:val="auto"/>
              </w:rPr>
            </w:pPr>
          </w:p>
        </w:tc>
        <w:tc>
          <w:tcPr>
            <w:tcW w:w="1580" w:type="dxa"/>
            <w:vAlign w:val="bottom"/>
            <w:tcBorders>
              <w:bottom w:val="single" w:sz="8" w:color="808080"/>
            </w:tcBorders>
            <w:shd w:val="clear" w:color="auto" w:fill="CCEEFF"/>
          </w:tcPr>
          <w:p>
            <w:pPr>
              <w:jc w:val="right"/>
              <w:ind w:right="381"/>
              <w:spacing w:after="0"/>
              <w:rPr>
                <w:sz w:val="20"/>
                <w:szCs w:val="20"/>
                <w:color w:val="auto"/>
              </w:rPr>
            </w:pPr>
            <w:r>
              <w:rPr>
                <w:rFonts w:ascii="Arial" w:cs="Arial" w:eastAsia="Arial" w:hAnsi="Arial"/>
                <w:sz w:val="16"/>
                <w:szCs w:val="16"/>
                <w:color w:val="auto"/>
              </w:rPr>
              <w:t>3,146</w:t>
            </w:r>
          </w:p>
        </w:tc>
        <w:tc>
          <w:tcPr>
            <w:tcW w:w="720" w:type="dxa"/>
            <w:vAlign w:val="bottom"/>
            <w:tcBorders>
              <w:bottom w:val="single" w:sz="8" w:color="808080"/>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w:t>
            </w:r>
          </w:p>
        </w:tc>
        <w:tc>
          <w:tcPr>
            <w:tcW w:w="260" w:type="dxa"/>
            <w:vAlign w:val="bottom"/>
            <w:tcBorders>
              <w:bottom w:val="single" w:sz="8" w:color="808080"/>
            </w:tcBorders>
            <w:shd w:val="clear" w:color="auto" w:fill="CCEEFF"/>
          </w:tcPr>
          <w:p>
            <w:pPr>
              <w:spacing w:after="0"/>
              <w:rPr>
                <w:sz w:val="16"/>
                <w:szCs w:val="16"/>
                <w:color w:val="auto"/>
              </w:rPr>
            </w:pPr>
          </w:p>
        </w:tc>
      </w:tr>
      <w:tr>
        <w:trPr>
          <w:trHeight w:val="197"/>
        </w:trPr>
        <w:tc>
          <w:tcPr>
            <w:tcW w:w="6800" w:type="dxa"/>
            <w:vAlign w:val="bottom"/>
          </w:tcPr>
          <w:p>
            <w:pPr>
              <w:ind w:left="260"/>
              <w:spacing w:after="0"/>
              <w:rPr>
                <w:sz w:val="20"/>
                <w:szCs w:val="20"/>
                <w:color w:val="auto"/>
              </w:rPr>
            </w:pPr>
            <w:r>
              <w:rPr>
                <w:rFonts w:ascii="Arial" w:cs="Arial" w:eastAsia="Arial" w:hAnsi="Arial"/>
                <w:sz w:val="16"/>
                <w:szCs w:val="16"/>
                <w:color w:val="auto"/>
              </w:rPr>
              <w:t>Industrial chemicals &amp; plastics</w:t>
            </w:r>
          </w:p>
        </w:tc>
        <w:tc>
          <w:tcPr>
            <w:tcW w:w="7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3,205</w:t>
            </w:r>
          </w:p>
        </w:tc>
        <w:tc>
          <w:tcPr>
            <w:tcW w:w="360" w:type="dxa"/>
            <w:vAlign w:val="bottom"/>
          </w:tcPr>
          <w:p>
            <w:pPr>
              <w:spacing w:after="0"/>
              <w:rPr>
                <w:sz w:val="17"/>
                <w:szCs w:val="17"/>
                <w:color w:val="auto"/>
              </w:rPr>
            </w:pPr>
          </w:p>
        </w:tc>
        <w:tc>
          <w:tcPr>
            <w:tcW w:w="1580" w:type="dxa"/>
            <w:vAlign w:val="bottom"/>
          </w:tcPr>
          <w:p>
            <w:pPr>
              <w:jc w:val="right"/>
              <w:ind w:right="381"/>
              <w:spacing w:after="0"/>
              <w:rPr>
                <w:sz w:val="20"/>
                <w:szCs w:val="20"/>
                <w:color w:val="auto"/>
              </w:rPr>
            </w:pPr>
            <w:r>
              <w:rPr>
                <w:rFonts w:ascii="Arial" w:cs="Arial" w:eastAsia="Arial" w:hAnsi="Arial"/>
                <w:sz w:val="16"/>
                <w:szCs w:val="16"/>
                <w:color w:val="auto"/>
              </w:rPr>
              <w:t>3,047</w:t>
            </w: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5</w:t>
            </w:r>
          </w:p>
        </w:tc>
        <w:tc>
          <w:tcPr>
            <w:tcW w:w="260" w:type="dxa"/>
            <w:vAlign w:val="bottom"/>
          </w:tcPr>
          <w:p>
            <w:pPr>
              <w:spacing w:after="0"/>
              <w:rPr>
                <w:sz w:val="17"/>
                <w:szCs w:val="17"/>
                <w:color w:val="auto"/>
              </w:rPr>
            </w:pPr>
          </w:p>
        </w:tc>
      </w:tr>
      <w:tr>
        <w:trPr>
          <w:trHeight w:val="210"/>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Metals &amp; minerals</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2,697</w:t>
            </w: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2,968</w:t>
            </w:r>
          </w:p>
        </w:tc>
        <w:tc>
          <w:tcPr>
            <w:tcW w:w="7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(9)</w:t>
            </w:r>
          </w:p>
        </w:tc>
        <w:tc>
          <w:tcPr>
            <w:tcW w:w="260" w:type="dxa"/>
            <w:vAlign w:val="bottom"/>
            <w:shd w:val="clear" w:color="auto" w:fill="CCEEFF"/>
          </w:tcPr>
          <w:p>
            <w:pPr>
              <w:spacing w:after="0"/>
              <w:rPr>
                <w:sz w:val="18"/>
                <w:szCs w:val="18"/>
                <w:color w:val="auto"/>
              </w:rPr>
            </w:pPr>
          </w:p>
        </w:tc>
      </w:tr>
      <w:tr>
        <w:trPr>
          <w:trHeight w:val="209"/>
        </w:trPr>
        <w:tc>
          <w:tcPr>
            <w:tcW w:w="6800" w:type="dxa"/>
            <w:vAlign w:val="bottom"/>
          </w:tcPr>
          <w:p>
            <w:pPr>
              <w:ind w:left="260"/>
              <w:spacing w:after="0"/>
              <w:rPr>
                <w:sz w:val="20"/>
                <w:szCs w:val="20"/>
                <w:color w:val="auto"/>
              </w:rPr>
            </w:pPr>
            <w:r>
              <w:rPr>
                <w:rFonts w:ascii="Arial" w:cs="Arial" w:eastAsia="Arial" w:hAnsi="Arial"/>
                <w:sz w:val="16"/>
                <w:szCs w:val="16"/>
                <w:color w:val="auto"/>
              </w:rPr>
              <w:t>Forest products</w:t>
            </w:r>
          </w:p>
        </w:tc>
        <w:tc>
          <w:tcPr>
            <w:tcW w:w="7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5,457</w:t>
            </w:r>
          </w:p>
        </w:tc>
        <w:tc>
          <w:tcPr>
            <w:tcW w:w="360" w:type="dxa"/>
            <w:vAlign w:val="bottom"/>
          </w:tcPr>
          <w:p>
            <w:pPr>
              <w:spacing w:after="0"/>
              <w:rPr>
                <w:sz w:val="18"/>
                <w:szCs w:val="18"/>
                <w:color w:val="auto"/>
              </w:rPr>
            </w:pPr>
          </w:p>
        </w:tc>
        <w:tc>
          <w:tcPr>
            <w:tcW w:w="1580" w:type="dxa"/>
            <w:vAlign w:val="bottom"/>
          </w:tcPr>
          <w:p>
            <w:pPr>
              <w:jc w:val="right"/>
              <w:ind w:right="381"/>
              <w:spacing w:after="0"/>
              <w:rPr>
                <w:sz w:val="20"/>
                <w:szCs w:val="20"/>
                <w:color w:val="auto"/>
              </w:rPr>
            </w:pPr>
            <w:r>
              <w:rPr>
                <w:rFonts w:ascii="Arial" w:cs="Arial" w:eastAsia="Arial" w:hAnsi="Arial"/>
                <w:sz w:val="16"/>
                <w:szCs w:val="16"/>
                <w:color w:val="auto"/>
              </w:rPr>
              <w:t>5,145</w:t>
            </w: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6</w:t>
            </w:r>
          </w:p>
        </w:tc>
        <w:tc>
          <w:tcPr>
            <w:tcW w:w="260" w:type="dxa"/>
            <w:vAlign w:val="bottom"/>
          </w:tcPr>
          <w:p>
            <w:pPr>
              <w:spacing w:after="0"/>
              <w:rPr>
                <w:sz w:val="18"/>
                <w:szCs w:val="18"/>
                <w:color w:val="auto"/>
              </w:rPr>
            </w:pPr>
          </w:p>
        </w:tc>
      </w:tr>
      <w:tr>
        <w:trPr>
          <w:trHeight w:val="204"/>
        </w:trPr>
        <w:tc>
          <w:tcPr>
            <w:tcW w:w="6800" w:type="dxa"/>
            <w:vAlign w:val="bottom"/>
            <w:tcBorders>
              <w:bottom w:val="single" w:sz="8" w:color="7F7F7F"/>
            </w:tcBorders>
            <w:shd w:val="clear" w:color="auto" w:fill="CCEEFF"/>
          </w:tcPr>
          <w:p>
            <w:pPr>
              <w:ind w:left="260"/>
              <w:spacing w:after="0"/>
              <w:rPr>
                <w:sz w:val="20"/>
                <w:szCs w:val="20"/>
                <w:color w:val="auto"/>
              </w:rPr>
            </w:pPr>
            <w:r>
              <w:rPr>
                <w:rFonts w:ascii="Arial" w:cs="Arial" w:eastAsia="Arial" w:hAnsi="Arial"/>
                <w:sz w:val="16"/>
                <w:szCs w:val="16"/>
                <w:color w:val="auto"/>
              </w:rPr>
              <w:t>Energy &amp; specialized markets</w:t>
            </w:r>
          </w:p>
        </w:tc>
        <w:tc>
          <w:tcPr>
            <w:tcW w:w="720" w:type="dxa"/>
            <w:vAlign w:val="bottom"/>
            <w:tcBorders>
              <w:bottom w:val="single" w:sz="8" w:color="808080"/>
            </w:tcBorders>
            <w:shd w:val="clear" w:color="auto" w:fill="CCEEFF"/>
          </w:tcPr>
          <w:p>
            <w:pPr>
              <w:spacing w:after="0"/>
              <w:rPr>
                <w:sz w:val="17"/>
                <w:szCs w:val="17"/>
                <w:color w:val="auto"/>
              </w:rPr>
            </w:pPr>
          </w:p>
        </w:tc>
        <w:tc>
          <w:tcPr>
            <w:tcW w:w="80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3,866</w:t>
            </w:r>
          </w:p>
        </w:tc>
        <w:tc>
          <w:tcPr>
            <w:tcW w:w="360" w:type="dxa"/>
            <w:vAlign w:val="bottom"/>
            <w:tcBorders>
              <w:bottom w:val="single" w:sz="8" w:color="7F7F7F"/>
            </w:tcBorders>
            <w:shd w:val="clear" w:color="auto" w:fill="CCEEFF"/>
          </w:tcPr>
          <w:p>
            <w:pPr>
              <w:spacing w:after="0"/>
              <w:rPr>
                <w:sz w:val="17"/>
                <w:szCs w:val="17"/>
                <w:color w:val="auto"/>
              </w:rPr>
            </w:pPr>
          </w:p>
        </w:tc>
        <w:tc>
          <w:tcPr>
            <w:tcW w:w="1580" w:type="dxa"/>
            <w:vAlign w:val="bottom"/>
            <w:tcBorders>
              <w:bottom w:val="single" w:sz="8" w:color="808080"/>
            </w:tcBorders>
            <w:shd w:val="clear" w:color="auto" w:fill="CCEEFF"/>
          </w:tcPr>
          <w:p>
            <w:pPr>
              <w:jc w:val="right"/>
              <w:ind w:right="381"/>
              <w:spacing w:after="0"/>
              <w:rPr>
                <w:sz w:val="20"/>
                <w:szCs w:val="20"/>
                <w:color w:val="auto"/>
              </w:rPr>
            </w:pPr>
            <w:r>
              <w:rPr>
                <w:rFonts w:ascii="Arial" w:cs="Arial" w:eastAsia="Arial" w:hAnsi="Arial"/>
                <w:sz w:val="16"/>
                <w:szCs w:val="16"/>
                <w:color w:val="auto"/>
              </w:rPr>
              <w:t>3,865</w:t>
            </w:r>
          </w:p>
        </w:tc>
        <w:tc>
          <w:tcPr>
            <w:tcW w:w="720" w:type="dxa"/>
            <w:vAlign w:val="bottom"/>
            <w:tcBorders>
              <w:bottom w:val="single" w:sz="8" w:color="808080"/>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808080"/>
            </w:tcBorders>
            <w:shd w:val="clear" w:color="auto" w:fill="CCEEFF"/>
          </w:tcPr>
          <w:p>
            <w:pPr>
              <w:spacing w:after="0"/>
              <w:rPr>
                <w:sz w:val="17"/>
                <w:szCs w:val="17"/>
                <w:color w:val="auto"/>
              </w:rPr>
            </w:pPr>
          </w:p>
        </w:tc>
      </w:tr>
      <w:tr>
        <w:trPr>
          <w:trHeight w:val="190"/>
        </w:trPr>
        <w:tc>
          <w:tcPr>
            <w:tcW w:w="6800" w:type="dxa"/>
            <w:vAlign w:val="bottom"/>
            <w:tcBorders>
              <w:bottom w:val="single" w:sz="8" w:color="7F7F7F"/>
            </w:tcBorders>
          </w:tcPr>
          <w:p>
            <w:pPr>
              <w:ind w:left="180"/>
              <w:spacing w:after="0"/>
              <w:rPr>
                <w:sz w:val="20"/>
                <w:szCs w:val="20"/>
                <w:color w:val="auto"/>
              </w:rPr>
            </w:pPr>
            <w:r>
              <w:rPr>
                <w:rFonts w:ascii="Arial" w:cs="Arial" w:eastAsia="Arial" w:hAnsi="Arial"/>
                <w:sz w:val="16"/>
                <w:szCs w:val="16"/>
                <w:color w:val="auto"/>
              </w:rPr>
              <w:t>Industrial</w:t>
            </w:r>
          </w:p>
        </w:tc>
        <w:tc>
          <w:tcPr>
            <w:tcW w:w="72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3,469</w:t>
            </w:r>
          </w:p>
        </w:tc>
        <w:tc>
          <w:tcPr>
            <w:tcW w:w="360" w:type="dxa"/>
            <w:vAlign w:val="bottom"/>
            <w:tcBorders>
              <w:bottom w:val="single" w:sz="8" w:color="7F7F7F"/>
            </w:tcBorders>
          </w:tcPr>
          <w:p>
            <w:pPr>
              <w:spacing w:after="0"/>
              <w:rPr>
                <w:sz w:val="16"/>
                <w:szCs w:val="16"/>
                <w:color w:val="auto"/>
              </w:rPr>
            </w:pPr>
          </w:p>
        </w:tc>
        <w:tc>
          <w:tcPr>
            <w:tcW w:w="1580" w:type="dxa"/>
            <w:vAlign w:val="bottom"/>
            <w:tcBorders>
              <w:bottom w:val="single" w:sz="8" w:color="808080"/>
            </w:tcBorders>
          </w:tcPr>
          <w:p>
            <w:pPr>
              <w:jc w:val="right"/>
              <w:ind w:right="381"/>
              <w:spacing w:after="0"/>
              <w:rPr>
                <w:sz w:val="20"/>
                <w:szCs w:val="20"/>
                <w:color w:val="auto"/>
              </w:rPr>
            </w:pPr>
            <w:r>
              <w:rPr>
                <w:rFonts w:ascii="Arial" w:cs="Arial" w:eastAsia="Arial" w:hAnsi="Arial"/>
                <w:sz w:val="16"/>
                <w:szCs w:val="16"/>
                <w:color w:val="auto"/>
              </w:rPr>
              <w:t>3,465</w:t>
            </w:r>
          </w:p>
        </w:tc>
        <w:tc>
          <w:tcPr>
            <w:tcW w:w="720" w:type="dxa"/>
            <w:vAlign w:val="bottom"/>
            <w:tcBorders>
              <w:bottom w:val="single" w:sz="8" w:color="808080"/>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808080"/>
            </w:tcBorders>
          </w:tcPr>
          <w:p>
            <w:pPr>
              <w:spacing w:after="0"/>
              <w:rPr>
                <w:sz w:val="16"/>
                <w:szCs w:val="16"/>
                <w:color w:val="auto"/>
              </w:rPr>
            </w:pPr>
          </w:p>
        </w:tc>
      </w:tr>
      <w:tr>
        <w:trPr>
          <w:trHeight w:val="197"/>
        </w:trPr>
        <w:tc>
          <w:tcPr>
            <w:tcW w:w="6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2,525</w:t>
            </w:r>
          </w:p>
        </w:tc>
        <w:tc>
          <w:tcPr>
            <w:tcW w:w="36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2,472</w:t>
            </w: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w:t>
            </w:r>
          </w:p>
        </w:tc>
        <w:tc>
          <w:tcPr>
            <w:tcW w:w="260" w:type="dxa"/>
            <w:vAlign w:val="bottom"/>
            <w:shd w:val="clear" w:color="auto" w:fill="CCEEFF"/>
          </w:tcPr>
          <w:p>
            <w:pPr>
              <w:spacing w:after="0"/>
              <w:rPr>
                <w:sz w:val="17"/>
                <w:szCs w:val="17"/>
                <w:color w:val="auto"/>
              </w:rPr>
            </w:pPr>
          </w:p>
        </w:tc>
      </w:tr>
      <w:tr>
        <w:trPr>
          <w:trHeight w:val="203"/>
        </w:trPr>
        <w:tc>
          <w:tcPr>
            <w:tcW w:w="6800" w:type="dxa"/>
            <w:vAlign w:val="bottom"/>
            <w:tcBorders>
              <w:bottom w:val="single" w:sz="8" w:color="7F7F7F"/>
            </w:tcBorders>
          </w:tcPr>
          <w:p>
            <w:pPr>
              <w:ind w:left="260"/>
              <w:spacing w:after="0"/>
              <w:rPr>
                <w:sz w:val="20"/>
                <w:szCs w:val="20"/>
                <w:color w:val="auto"/>
              </w:rPr>
            </w:pPr>
            <w:r>
              <w:rPr>
                <w:rFonts w:ascii="Arial" w:cs="Arial" w:eastAsia="Arial" w:hAnsi="Arial"/>
                <w:sz w:val="16"/>
                <w:szCs w:val="16"/>
                <w:color w:val="auto"/>
              </w:rPr>
              <w:t>Intermodal [a]</w:t>
            </w:r>
          </w:p>
        </w:tc>
        <w:tc>
          <w:tcPr>
            <w:tcW w:w="72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1,307</w:t>
            </w:r>
          </w:p>
        </w:tc>
        <w:tc>
          <w:tcPr>
            <w:tcW w:w="360" w:type="dxa"/>
            <w:vAlign w:val="bottom"/>
            <w:tcBorders>
              <w:bottom w:val="single" w:sz="8" w:color="7F7F7F"/>
            </w:tcBorders>
          </w:tcPr>
          <w:p>
            <w:pPr>
              <w:spacing w:after="0"/>
              <w:rPr>
                <w:sz w:val="17"/>
                <w:szCs w:val="17"/>
                <w:color w:val="auto"/>
              </w:rPr>
            </w:pPr>
          </w:p>
        </w:tc>
        <w:tc>
          <w:tcPr>
            <w:tcW w:w="1580" w:type="dxa"/>
            <w:vAlign w:val="bottom"/>
            <w:tcBorders>
              <w:bottom w:val="single" w:sz="8" w:color="808080"/>
            </w:tcBorders>
          </w:tcPr>
          <w:p>
            <w:pPr>
              <w:jc w:val="right"/>
              <w:ind w:right="381"/>
              <w:spacing w:after="0"/>
              <w:rPr>
                <w:sz w:val="20"/>
                <w:szCs w:val="20"/>
                <w:color w:val="auto"/>
              </w:rPr>
            </w:pPr>
            <w:r>
              <w:rPr>
                <w:rFonts w:ascii="Arial" w:cs="Arial" w:eastAsia="Arial" w:hAnsi="Arial"/>
                <w:sz w:val="16"/>
                <w:szCs w:val="16"/>
                <w:color w:val="auto"/>
              </w:rPr>
              <w:t>1,241</w:t>
            </w:r>
          </w:p>
        </w:tc>
        <w:tc>
          <w:tcPr>
            <w:tcW w:w="720" w:type="dxa"/>
            <w:vAlign w:val="bottom"/>
            <w:tcBorders>
              <w:bottom w:val="single" w:sz="8" w:color="808080"/>
            </w:tcBorders>
          </w:tcPr>
          <w:p>
            <w:pPr>
              <w:jc w:val="right"/>
              <w:ind w:right="61"/>
              <w:spacing w:after="0"/>
              <w:rPr>
                <w:sz w:val="20"/>
                <w:szCs w:val="20"/>
                <w:color w:val="auto"/>
              </w:rPr>
            </w:pPr>
            <w:r>
              <w:rPr>
                <w:rFonts w:ascii="Arial" w:cs="Arial" w:eastAsia="Arial" w:hAnsi="Arial"/>
                <w:sz w:val="16"/>
                <w:szCs w:val="16"/>
                <w:b w:val="1"/>
                <w:bCs w:val="1"/>
                <w:color w:val="auto"/>
              </w:rPr>
              <w:t>5</w:t>
            </w:r>
          </w:p>
        </w:tc>
        <w:tc>
          <w:tcPr>
            <w:tcW w:w="260" w:type="dxa"/>
            <w:vAlign w:val="bottom"/>
            <w:tcBorders>
              <w:bottom w:val="single" w:sz="8" w:color="808080"/>
            </w:tcBorders>
          </w:tcPr>
          <w:p>
            <w:pPr>
              <w:spacing w:after="0"/>
              <w:rPr>
                <w:sz w:val="17"/>
                <w:szCs w:val="17"/>
                <w:color w:val="auto"/>
              </w:rPr>
            </w:pPr>
          </w:p>
        </w:tc>
      </w:tr>
      <w:tr>
        <w:trPr>
          <w:trHeight w:val="190"/>
        </w:trPr>
        <w:tc>
          <w:tcPr>
            <w:tcW w:w="6800" w:type="dxa"/>
            <w:vAlign w:val="bottom"/>
            <w:tcBorders>
              <w:bottom w:val="single" w:sz="8" w:color="7F7F7F"/>
            </w:tcBorders>
            <w:shd w:val="clear" w:color="auto" w:fill="CCEEFF"/>
          </w:tcPr>
          <w:p>
            <w:pPr>
              <w:ind w:left="180"/>
              <w:spacing w:after="0"/>
              <w:rPr>
                <w:sz w:val="20"/>
                <w:szCs w:val="20"/>
                <w:color w:val="auto"/>
              </w:rPr>
            </w:pPr>
            <w:r>
              <w:rPr>
                <w:rFonts w:ascii="Arial" w:cs="Arial" w:eastAsia="Arial" w:hAnsi="Arial"/>
                <w:sz w:val="16"/>
                <w:szCs w:val="16"/>
                <w:color w:val="auto"/>
              </w:rPr>
              <w:t>Premium</w:t>
            </w:r>
          </w:p>
        </w:tc>
        <w:tc>
          <w:tcPr>
            <w:tcW w:w="720" w:type="dxa"/>
            <w:vAlign w:val="bottom"/>
            <w:tcBorders>
              <w:bottom w:val="single" w:sz="8" w:color="808080"/>
            </w:tcBorders>
            <w:shd w:val="clear" w:color="auto" w:fill="CCEEFF"/>
          </w:tcPr>
          <w:p>
            <w:pPr>
              <w:spacing w:after="0"/>
              <w:rPr>
                <w:sz w:val="16"/>
                <w:szCs w:val="16"/>
                <w:color w:val="auto"/>
              </w:rPr>
            </w:pPr>
          </w:p>
        </w:tc>
        <w:tc>
          <w:tcPr>
            <w:tcW w:w="80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1,583</w:t>
            </w:r>
          </w:p>
        </w:tc>
        <w:tc>
          <w:tcPr>
            <w:tcW w:w="360" w:type="dxa"/>
            <w:vAlign w:val="bottom"/>
            <w:tcBorders>
              <w:bottom w:val="single" w:sz="8" w:color="7F7F7F"/>
            </w:tcBorders>
            <w:shd w:val="clear" w:color="auto" w:fill="CCEEFF"/>
          </w:tcPr>
          <w:p>
            <w:pPr>
              <w:spacing w:after="0"/>
              <w:rPr>
                <w:sz w:val="16"/>
                <w:szCs w:val="16"/>
                <w:color w:val="auto"/>
              </w:rPr>
            </w:pPr>
          </w:p>
        </w:tc>
        <w:tc>
          <w:tcPr>
            <w:tcW w:w="1580" w:type="dxa"/>
            <w:vAlign w:val="bottom"/>
            <w:tcBorders>
              <w:bottom w:val="single" w:sz="8" w:color="808080"/>
            </w:tcBorders>
            <w:shd w:val="clear" w:color="auto" w:fill="CCEEFF"/>
          </w:tcPr>
          <w:p>
            <w:pPr>
              <w:jc w:val="right"/>
              <w:ind w:right="381"/>
              <w:spacing w:after="0"/>
              <w:rPr>
                <w:sz w:val="20"/>
                <w:szCs w:val="20"/>
                <w:color w:val="auto"/>
              </w:rPr>
            </w:pPr>
            <w:r>
              <w:rPr>
                <w:rFonts w:ascii="Arial" w:cs="Arial" w:eastAsia="Arial" w:hAnsi="Arial"/>
                <w:sz w:val="16"/>
                <w:szCs w:val="16"/>
                <w:color w:val="auto"/>
              </w:rPr>
              <w:t>1,489</w:t>
            </w:r>
          </w:p>
        </w:tc>
        <w:tc>
          <w:tcPr>
            <w:tcW w:w="720" w:type="dxa"/>
            <w:vAlign w:val="bottom"/>
            <w:tcBorders>
              <w:bottom w:val="single" w:sz="8" w:color="808080"/>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6</w:t>
            </w:r>
          </w:p>
        </w:tc>
        <w:tc>
          <w:tcPr>
            <w:tcW w:w="260" w:type="dxa"/>
            <w:vAlign w:val="bottom"/>
            <w:tcBorders>
              <w:bottom w:val="single" w:sz="8" w:color="808080"/>
            </w:tcBorders>
            <w:shd w:val="clear" w:color="auto" w:fill="CCEEFF"/>
          </w:tcPr>
          <w:p>
            <w:pPr>
              <w:spacing w:after="0"/>
              <w:rPr>
                <w:sz w:val="16"/>
                <w:szCs w:val="16"/>
                <w:color w:val="auto"/>
              </w:rPr>
            </w:pPr>
          </w:p>
        </w:tc>
      </w:tr>
      <w:tr>
        <w:trPr>
          <w:trHeight w:val="243"/>
        </w:trPr>
        <w:tc>
          <w:tcPr>
            <w:tcW w:w="6800" w:type="dxa"/>
            <w:vAlign w:val="bottom"/>
          </w:tcPr>
          <w:p>
            <w:pPr>
              <w:ind w:left="40"/>
              <w:spacing w:after="0"/>
              <w:rPr>
                <w:sz w:val="20"/>
                <w:szCs w:val="20"/>
                <w:color w:val="auto"/>
              </w:rPr>
            </w:pPr>
            <w:r>
              <w:rPr>
                <w:rFonts w:ascii="Arial" w:cs="Arial" w:eastAsia="Arial" w:hAnsi="Arial"/>
                <w:sz w:val="16"/>
                <w:szCs w:val="16"/>
                <w:color w:val="auto"/>
              </w:rPr>
              <w:t>Average</w:t>
            </w:r>
          </w:p>
        </w:tc>
        <w:tc>
          <w:tcPr>
            <w:tcW w:w="720" w:type="dxa"/>
            <w:vAlign w:val="bottom"/>
          </w:tcPr>
          <w:p>
            <w:pPr>
              <w:jc w:val="right"/>
              <w:ind w:right="281"/>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2,516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81"/>
              <w:spacing w:after="0"/>
              <w:rPr>
                <w:sz w:val="20"/>
                <w:szCs w:val="20"/>
                <w:color w:val="auto"/>
              </w:rPr>
            </w:pPr>
            <w:r>
              <w:rPr>
                <w:rFonts w:ascii="Arial" w:cs="Arial" w:eastAsia="Arial" w:hAnsi="Arial"/>
                <w:sz w:val="16"/>
                <w:szCs w:val="16"/>
                <w:color w:val="auto"/>
              </w:rPr>
              <w:t>2,401</w:t>
            </w:r>
          </w:p>
        </w:tc>
        <w:tc>
          <w:tcPr>
            <w:tcW w:w="720" w:type="dxa"/>
            <w:vAlign w:val="bottom"/>
          </w:tcPr>
          <w:p>
            <w:pPr>
              <w:jc w:val="right"/>
              <w:ind w:right="61"/>
              <w:spacing w:after="0"/>
              <w:rPr>
                <w:sz w:val="20"/>
                <w:szCs w:val="20"/>
                <w:color w:val="auto"/>
              </w:rPr>
            </w:pPr>
            <w:r>
              <w:rPr>
                <w:rFonts w:ascii="Arial" w:cs="Arial" w:eastAsia="Arial" w:hAnsi="Arial"/>
                <w:sz w:val="16"/>
                <w:szCs w:val="16"/>
                <w:b w:val="1"/>
                <w:bCs w:val="1"/>
                <w:color w:val="auto"/>
              </w:rPr>
              <w:t>5</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65"/>
        </w:trPr>
        <w:tc>
          <w:tcPr>
            <w:tcW w:w="680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58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For intermodal shipments each container or trailer equals one carload.</w:t>
      </w:r>
    </w:p>
    <w:p>
      <w:pPr>
        <w:spacing w:after="0" w:line="113"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color w:val="auto"/>
        </w:rPr>
        <w:t xml:space="preserve">Bulk </w:t>
      </w:r>
      <w:r>
        <w:rPr>
          <w:rFonts w:ascii="Arial" w:cs="Arial" w:eastAsia="Arial" w:hAnsi="Arial"/>
          <w:sz w:val="17"/>
          <w:szCs w:val="17"/>
          <w:color w:val="auto"/>
        </w:rPr>
        <w:t>– Bulk includes shipments of grain and grain products, fertilizer, food and refrigerated goods, and coal and renewables. Freight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from bulk shipments decreased in the first quarter of 2020 compared to 2019 due to a 7% volume decline and lower fuel surcharge revenue, partially offset by positive business mix and core pricing gains. Volume declines were driven by a reduction in coal shipments partially offset by growth in ethanol and fertilizer shipments. Continued softness in market conditions due to historically low natural gas prices, a mild winter and weak export demand drove the 20% decline in coal shipments in the first quarter 2020 compared to the same period in 2019, which was negatively impacted by last year’s weather events.</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i w:val="1"/>
          <w:iCs w:val="1"/>
          <w:color w:val="auto"/>
        </w:rPr>
        <w:t xml:space="preserve">Industrial – </w:t>
      </w:r>
      <w:r>
        <w:rPr>
          <w:rFonts w:ascii="Arial" w:cs="Arial" w:eastAsia="Arial" w:hAnsi="Arial"/>
          <w:sz w:val="17"/>
          <w:szCs w:val="17"/>
          <w:color w:val="auto"/>
        </w:rPr>
        <w:t>Industrial includes shipments of industrial chemicals and plastics, metals and minerals, forest products, and energy and specialized</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Freight revenue from industrial shipments increased 3% in the first quarter compared to 2019 due to a 3% increase in volume and core pricing gains, partially offset by a negative mix of traffic and lower fuel surcharge revenue. Growth in petroleum products, construction, metals, LPG, industrial chemicals and plastics more than offset the declines in frac sand. In the first part of the quarter, favorable Canadian spreads facilitated strength in Canadian crude business to the U.S. Gulf. Mexican market strength drove increased LPG shipments. In addition, volume increases were driven by strong market demand in construction, industrial chemicals and plastics. Strong metals shipments were due to inventory replenishments. Sand shipments decreased due to the use of local sand and drilling declines compared to first quarter 2019.</w:t>
      </w:r>
    </w:p>
    <w:p>
      <w:pPr>
        <w:spacing w:after="0" w:line="9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i w:val="1"/>
          <w:iCs w:val="1"/>
          <w:color w:val="auto"/>
        </w:rPr>
        <w:t xml:space="preserve">Premium </w:t>
      </w:r>
      <w:r>
        <w:rPr>
          <w:rFonts w:ascii="Arial" w:cs="Arial" w:eastAsia="Arial" w:hAnsi="Arial"/>
          <w:sz w:val="17"/>
          <w:szCs w:val="17"/>
          <w:color w:val="auto"/>
        </w:rPr>
        <w:t>– Premium includes shipments of finished automobiles, automotive parts, and various merchandise in intermodal containers, both</w:t>
      </w:r>
      <w:r>
        <w:rPr>
          <w:rFonts w:ascii="Arial" w:cs="Arial" w:eastAsia="Arial" w:hAnsi="Arial"/>
          <w:sz w:val="17"/>
          <w:szCs w:val="17"/>
          <w:i w:val="1"/>
          <w:iCs w:val="1"/>
          <w:color w:val="auto"/>
        </w:rPr>
        <w:t xml:space="preserve"> </w:t>
      </w:r>
      <w:r>
        <w:rPr>
          <w:rFonts w:ascii="Arial" w:cs="Arial" w:eastAsia="Arial" w:hAnsi="Arial"/>
          <w:sz w:val="17"/>
          <w:szCs w:val="17"/>
          <w:color w:val="auto"/>
        </w:rPr>
        <w:t>domestic and international. Premium revenue declined 6% compared to 2019 as a 12% decline in premium volume more than offset a 6% improvement in ARC, driven by positive mix of traffic and core pricing gains. The decrease in premium volume was concentrated in international intermodal shipments, which faced a difficult year-over-year comparison due to trade uncertainty and expected tariffs in early 2019. The 2020 impacts of the COVID-19 pandemic, including the extended Lunar New Year holiday, materially disrupted supply chains in China and the surrounding regions. Domestic shipments were also impacted negatively due to the disrupted supply chain driving weak imports and fewer shipments off the west coast. The surplus in truck capacity also contributed to the weakness in domestic shipments. Automotive shipments were strong for most of the first quarter until the pandemic closed dealerships and manufacturing plants in North America the last few weeks in March and into the second quarter, resulting in a 1% decline in volume compared to first quarter 2019.</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i w:val="1"/>
          <w:iCs w:val="1"/>
          <w:color w:val="auto"/>
        </w:rPr>
        <w:t xml:space="preserve">Mexico Business – </w:t>
      </w:r>
      <w:r>
        <w:rPr>
          <w:rFonts w:ascii="Arial" w:cs="Arial" w:eastAsia="Arial" w:hAnsi="Arial"/>
          <w:sz w:val="17"/>
          <w:szCs w:val="17"/>
          <w:color w:val="auto"/>
        </w:rPr>
        <w:t>Each of our commodity groups includes revenue from shipments to and from Mexico. Revenue from Mexico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1% as positive mix of traffic and pricing gains more than offset the 2% decline in shipments. Growth in beer, LPG and industrial chemical shipments were more than offset by declines in coal and intermodal shipments.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92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2600" w:type="dxa"/>
            <w:vAlign w:val="bottom"/>
            <w:tcBorders>
              <w:top w:val="single" w:sz="8" w:color="7F7F7F"/>
            </w:tcBorders>
          </w:tcPr>
          <w:p>
            <w:pPr>
              <w:spacing w:after="0"/>
              <w:rPr>
                <w:sz w:val="20"/>
                <w:szCs w:val="20"/>
                <w:color w:val="auto"/>
              </w:rPr>
            </w:pPr>
          </w:p>
        </w:tc>
        <w:tc>
          <w:tcPr>
            <w:tcW w:w="920" w:type="dxa"/>
            <w:vAlign w:val="bottom"/>
            <w:tcBorders>
              <w:top w:val="single" w:sz="8" w:color="7F7F7F"/>
            </w:tcBorders>
          </w:tcPr>
          <w:p>
            <w:pPr>
              <w:spacing w:after="0"/>
              <w:rPr>
                <w:sz w:val="20"/>
                <w:szCs w:val="20"/>
                <w:color w:val="auto"/>
              </w:rPr>
            </w:pPr>
          </w:p>
        </w:tc>
        <w:tc>
          <w:tcPr>
            <w:tcW w:w="200" w:type="dxa"/>
            <w:vAlign w:val="bottom"/>
            <w:tcBorders>
              <w:top w:val="single" w:sz="8" w:color="7F7F7F"/>
            </w:tcBorders>
          </w:tcPr>
          <w:p>
            <w:pPr>
              <w:spacing w:after="0"/>
              <w:rPr>
                <w:sz w:val="20"/>
                <w:szCs w:val="20"/>
                <w:color w:val="auto"/>
              </w:rPr>
            </w:pPr>
          </w:p>
        </w:tc>
        <w:tc>
          <w:tcPr>
            <w:tcW w:w="1540" w:type="dxa"/>
            <w:vAlign w:val="bottom"/>
            <w:tcBorders>
              <w:top w:val="single" w:sz="8" w:color="7F7F7F"/>
            </w:tcBorders>
          </w:tcPr>
          <w:p>
            <w:pPr>
              <w:spacing w:after="0"/>
              <w:rPr>
                <w:sz w:val="20"/>
                <w:szCs w:val="20"/>
                <w:color w:val="auto"/>
              </w:rPr>
            </w:pPr>
          </w:p>
        </w:tc>
        <w:tc>
          <w:tcPr>
            <w:tcW w:w="820" w:type="dxa"/>
            <w:vAlign w:val="bottom"/>
            <w:tcBorders>
              <w:top w:val="single" w:sz="8" w:color="7F7F7F"/>
            </w:tcBorders>
          </w:tcPr>
          <w:p>
            <w:pPr>
              <w:spacing w:after="0"/>
              <w:rPr>
                <w:sz w:val="20"/>
                <w:szCs w:val="20"/>
                <w:color w:val="auto"/>
              </w:rPr>
            </w:pPr>
          </w:p>
        </w:tc>
        <w:tc>
          <w:tcPr>
            <w:tcW w:w="240" w:type="dxa"/>
            <w:vAlign w:val="bottom"/>
            <w:tcBorders>
              <w:top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w:t>
            </w:r>
          </w:p>
        </w:tc>
      </w:tr>
      <w:tr>
        <w:trPr>
          <w:trHeight w:val="193"/>
        </w:trPr>
        <w:tc>
          <w:tcPr>
            <w:tcW w:w="492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2600" w:type="dxa"/>
            <w:vAlign w:val="bottom"/>
            <w:tcBorders>
              <w:bottom w:val="single" w:sz="8" w:color="7F7F7F"/>
            </w:tcBorders>
          </w:tcPr>
          <w:p>
            <w:pPr>
              <w:spacing w:after="0"/>
              <w:rPr>
                <w:sz w:val="16"/>
                <w:szCs w:val="16"/>
                <w:color w:val="auto"/>
              </w:rPr>
            </w:pPr>
          </w:p>
        </w:tc>
        <w:tc>
          <w:tcPr>
            <w:tcW w:w="920" w:type="dxa"/>
            <w:vAlign w:val="bottom"/>
            <w:tcBorders>
              <w:bottom w:val="single" w:sz="8" w:color="7F7F7F"/>
            </w:tcBorders>
          </w:tcPr>
          <w:p>
            <w:pPr>
              <w:jc w:val="right"/>
              <w:ind w:right="61"/>
              <w:spacing w:after="0"/>
              <w:rPr>
                <w:sz w:val="20"/>
                <w:szCs w:val="20"/>
                <w:color w:val="auto"/>
              </w:rPr>
            </w:pPr>
            <w:r>
              <w:rPr>
                <w:rFonts w:ascii="Arial" w:cs="Arial" w:eastAsia="Arial" w:hAnsi="Arial"/>
                <w:sz w:val="16"/>
                <w:szCs w:val="16"/>
                <w:b w:val="1"/>
                <w:bCs w:val="1"/>
                <w:i w:val="1"/>
                <w:iCs w:val="1"/>
                <w:color w:val="auto"/>
              </w:rPr>
              <w:t>2020</w:t>
            </w:r>
          </w:p>
        </w:tc>
        <w:tc>
          <w:tcPr>
            <w:tcW w:w="200" w:type="dxa"/>
            <w:vAlign w:val="bottom"/>
            <w:tcBorders>
              <w:bottom w:val="single" w:sz="8" w:color="7F7F7F"/>
            </w:tcBorders>
          </w:tcPr>
          <w:p>
            <w:pPr>
              <w:spacing w:after="0"/>
              <w:rPr>
                <w:sz w:val="16"/>
                <w:szCs w:val="16"/>
                <w:color w:val="auto"/>
              </w:rPr>
            </w:pPr>
          </w:p>
        </w:tc>
        <w:tc>
          <w:tcPr>
            <w:tcW w:w="1540" w:type="dxa"/>
            <w:vAlign w:val="bottom"/>
            <w:tcBorders>
              <w:bottom w:val="single" w:sz="8" w:color="7F7F7F"/>
            </w:tcBorders>
          </w:tcPr>
          <w:p>
            <w:pPr>
              <w:jc w:val="right"/>
              <w:ind w:right="341"/>
              <w:spacing w:after="0"/>
              <w:rPr>
                <w:sz w:val="20"/>
                <w:szCs w:val="20"/>
                <w:color w:val="auto"/>
              </w:rPr>
            </w:pPr>
            <w:r>
              <w:rPr>
                <w:rFonts w:ascii="Arial" w:cs="Arial" w:eastAsia="Arial" w:hAnsi="Arial"/>
                <w:sz w:val="16"/>
                <w:szCs w:val="16"/>
                <w:i w:val="1"/>
                <w:iCs w:val="1"/>
                <w:color w:val="auto"/>
              </w:rPr>
              <w:t>2019</w:t>
            </w:r>
          </w:p>
        </w:tc>
        <w:tc>
          <w:tcPr>
            <w:tcW w:w="106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197"/>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Compensation and benefits</w:t>
            </w:r>
          </w:p>
        </w:tc>
        <w:tc>
          <w:tcPr>
            <w:tcW w:w="260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1,059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1,205</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09"/>
        </w:trPr>
        <w:tc>
          <w:tcPr>
            <w:tcW w:w="492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2600" w:type="dxa"/>
            <w:vAlign w:val="bottom"/>
          </w:tcPr>
          <w:p>
            <w:pPr>
              <w:spacing w:after="0"/>
              <w:rPr>
                <w:sz w:val="18"/>
                <w:szCs w:val="18"/>
                <w:color w:val="auto"/>
              </w:rPr>
            </w:pPr>
          </w:p>
        </w:tc>
        <w:tc>
          <w:tcPr>
            <w:tcW w:w="920" w:type="dxa"/>
            <w:vAlign w:val="bottom"/>
          </w:tcPr>
          <w:p>
            <w:pPr>
              <w:jc w:val="right"/>
              <w:ind w:right="101"/>
              <w:spacing w:after="0"/>
              <w:rPr>
                <w:sz w:val="20"/>
                <w:szCs w:val="20"/>
                <w:color w:val="auto"/>
              </w:rPr>
            </w:pPr>
            <w:r>
              <w:rPr>
                <w:rFonts w:ascii="Arial" w:cs="Arial" w:eastAsia="Arial" w:hAnsi="Arial"/>
                <w:sz w:val="16"/>
                <w:szCs w:val="16"/>
                <w:b w:val="1"/>
                <w:bCs w:val="1"/>
                <w:color w:val="auto"/>
              </w:rPr>
              <w:t>547</w:t>
            </w:r>
          </w:p>
        </w:tc>
        <w:tc>
          <w:tcPr>
            <w:tcW w:w="200" w:type="dxa"/>
            <w:vAlign w:val="bottom"/>
          </w:tcPr>
          <w:p>
            <w:pPr>
              <w:spacing w:after="0"/>
              <w:rPr>
                <w:sz w:val="18"/>
                <w:szCs w:val="18"/>
                <w:color w:val="auto"/>
              </w:rPr>
            </w:pPr>
          </w:p>
        </w:tc>
        <w:tc>
          <w:tcPr>
            <w:tcW w:w="1540" w:type="dxa"/>
            <w:vAlign w:val="bottom"/>
          </w:tcPr>
          <w:p>
            <w:pPr>
              <w:jc w:val="right"/>
              <w:ind w:right="381"/>
              <w:spacing w:after="0"/>
              <w:rPr>
                <w:sz w:val="20"/>
                <w:szCs w:val="20"/>
                <w:color w:val="auto"/>
              </w:rPr>
            </w:pPr>
            <w:r>
              <w:rPr>
                <w:rFonts w:ascii="Arial" w:cs="Arial" w:eastAsia="Arial" w:hAnsi="Arial"/>
                <w:sz w:val="16"/>
                <w:szCs w:val="16"/>
                <w:color w:val="auto"/>
              </w:rPr>
              <w:t>549</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r>
      <w:tr>
        <w:trPr>
          <w:trHeight w:val="211"/>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Purchased services and materials</w:t>
            </w:r>
          </w:p>
        </w:tc>
        <w:tc>
          <w:tcPr>
            <w:tcW w:w="2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521</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576</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(10)</w:t>
            </w:r>
          </w:p>
        </w:tc>
        <w:tc>
          <w:tcPr>
            <w:tcW w:w="240" w:type="dxa"/>
            <w:vAlign w:val="bottom"/>
            <w:shd w:val="clear" w:color="auto" w:fill="CCEEFF"/>
          </w:tcPr>
          <w:p>
            <w:pPr>
              <w:spacing w:after="0"/>
              <w:rPr>
                <w:sz w:val="18"/>
                <w:szCs w:val="18"/>
                <w:color w:val="auto"/>
              </w:rPr>
            </w:pPr>
          </w:p>
        </w:tc>
      </w:tr>
      <w:tr>
        <w:trPr>
          <w:trHeight w:val="209"/>
        </w:trPr>
        <w:tc>
          <w:tcPr>
            <w:tcW w:w="4920" w:type="dxa"/>
            <w:vAlign w:val="bottom"/>
          </w:tcPr>
          <w:p>
            <w:pPr>
              <w:ind w:left="40"/>
              <w:spacing w:after="0"/>
              <w:rPr>
                <w:sz w:val="20"/>
                <w:szCs w:val="20"/>
                <w:color w:val="auto"/>
              </w:rPr>
            </w:pPr>
            <w:r>
              <w:rPr>
                <w:rFonts w:ascii="Arial" w:cs="Arial" w:eastAsia="Arial" w:hAnsi="Arial"/>
                <w:sz w:val="16"/>
                <w:szCs w:val="16"/>
                <w:color w:val="auto"/>
              </w:rPr>
              <w:t>Fuel</w:t>
            </w:r>
          </w:p>
        </w:tc>
        <w:tc>
          <w:tcPr>
            <w:tcW w:w="2600" w:type="dxa"/>
            <w:vAlign w:val="bottom"/>
          </w:tcPr>
          <w:p>
            <w:pPr>
              <w:spacing w:after="0"/>
              <w:rPr>
                <w:sz w:val="18"/>
                <w:szCs w:val="18"/>
                <w:color w:val="auto"/>
              </w:rPr>
            </w:pPr>
          </w:p>
        </w:tc>
        <w:tc>
          <w:tcPr>
            <w:tcW w:w="920" w:type="dxa"/>
            <w:vAlign w:val="bottom"/>
          </w:tcPr>
          <w:p>
            <w:pPr>
              <w:jc w:val="right"/>
              <w:ind w:right="101"/>
              <w:spacing w:after="0"/>
              <w:rPr>
                <w:sz w:val="20"/>
                <w:szCs w:val="20"/>
                <w:color w:val="auto"/>
              </w:rPr>
            </w:pPr>
            <w:r>
              <w:rPr>
                <w:rFonts w:ascii="Arial" w:cs="Arial" w:eastAsia="Arial" w:hAnsi="Arial"/>
                <w:sz w:val="16"/>
                <w:szCs w:val="16"/>
                <w:b w:val="1"/>
                <w:bCs w:val="1"/>
                <w:color w:val="auto"/>
              </w:rPr>
              <w:t>434</w:t>
            </w:r>
          </w:p>
        </w:tc>
        <w:tc>
          <w:tcPr>
            <w:tcW w:w="200" w:type="dxa"/>
            <w:vAlign w:val="bottom"/>
          </w:tcPr>
          <w:p>
            <w:pPr>
              <w:spacing w:after="0"/>
              <w:rPr>
                <w:sz w:val="18"/>
                <w:szCs w:val="18"/>
                <w:color w:val="auto"/>
              </w:rPr>
            </w:pPr>
          </w:p>
        </w:tc>
        <w:tc>
          <w:tcPr>
            <w:tcW w:w="1540" w:type="dxa"/>
            <w:vAlign w:val="bottom"/>
          </w:tcPr>
          <w:p>
            <w:pPr>
              <w:jc w:val="right"/>
              <w:ind w:right="381"/>
              <w:spacing w:after="0"/>
              <w:rPr>
                <w:sz w:val="20"/>
                <w:szCs w:val="20"/>
                <w:color w:val="auto"/>
              </w:rPr>
            </w:pPr>
            <w:r>
              <w:rPr>
                <w:rFonts w:ascii="Arial" w:cs="Arial" w:eastAsia="Arial" w:hAnsi="Arial"/>
                <w:sz w:val="16"/>
                <w:szCs w:val="16"/>
                <w:color w:val="auto"/>
              </w:rPr>
              <w:t>531</w:t>
            </w:r>
          </w:p>
        </w:tc>
        <w:tc>
          <w:tcPr>
            <w:tcW w:w="820" w:type="dxa"/>
            <w:vAlign w:val="bottom"/>
          </w:tcPr>
          <w:p>
            <w:pPr>
              <w:jc w:val="right"/>
              <w:ind w:right="41"/>
              <w:spacing w:after="0"/>
              <w:rPr>
                <w:sz w:val="20"/>
                <w:szCs w:val="20"/>
                <w:color w:val="auto"/>
              </w:rPr>
            </w:pPr>
            <w:r>
              <w:rPr>
                <w:rFonts w:ascii="Arial" w:cs="Arial" w:eastAsia="Arial" w:hAnsi="Arial"/>
                <w:sz w:val="16"/>
                <w:szCs w:val="16"/>
                <w:b w:val="1"/>
                <w:bCs w:val="1"/>
                <w:color w:val="auto"/>
              </w:rPr>
              <w:t>(18)</w:t>
            </w:r>
          </w:p>
        </w:tc>
        <w:tc>
          <w:tcPr>
            <w:tcW w:w="240" w:type="dxa"/>
            <w:vAlign w:val="bottom"/>
          </w:tcPr>
          <w:p>
            <w:pPr>
              <w:spacing w:after="0"/>
              <w:rPr>
                <w:sz w:val="18"/>
                <w:szCs w:val="18"/>
                <w:color w:val="auto"/>
              </w:rPr>
            </w:pPr>
          </w:p>
        </w:tc>
      </w:tr>
      <w:tr>
        <w:trPr>
          <w:trHeight w:val="211"/>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Equipment and other rents</w:t>
            </w:r>
          </w:p>
        </w:tc>
        <w:tc>
          <w:tcPr>
            <w:tcW w:w="2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227</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258</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(12)</w:t>
            </w:r>
          </w:p>
        </w:tc>
        <w:tc>
          <w:tcPr>
            <w:tcW w:w="240" w:type="dxa"/>
            <w:vAlign w:val="bottom"/>
            <w:shd w:val="clear" w:color="auto" w:fill="CCEEFF"/>
          </w:tcPr>
          <w:p>
            <w:pPr>
              <w:spacing w:after="0"/>
              <w:rPr>
                <w:sz w:val="18"/>
                <w:szCs w:val="18"/>
                <w:color w:val="auto"/>
              </w:rPr>
            </w:pPr>
          </w:p>
        </w:tc>
      </w:tr>
      <w:tr>
        <w:trPr>
          <w:trHeight w:val="203"/>
        </w:trPr>
        <w:tc>
          <w:tcPr>
            <w:tcW w:w="492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Other</w:t>
            </w:r>
          </w:p>
        </w:tc>
        <w:tc>
          <w:tcPr>
            <w:tcW w:w="2600" w:type="dxa"/>
            <w:vAlign w:val="bottom"/>
            <w:tcBorders>
              <w:bottom w:val="single" w:sz="8" w:color="7F7F7F"/>
            </w:tcBorders>
          </w:tcPr>
          <w:p>
            <w:pPr>
              <w:spacing w:after="0"/>
              <w:rPr>
                <w:sz w:val="17"/>
                <w:szCs w:val="17"/>
                <w:color w:val="auto"/>
              </w:rPr>
            </w:pPr>
          </w:p>
        </w:tc>
        <w:tc>
          <w:tcPr>
            <w:tcW w:w="920" w:type="dxa"/>
            <w:vAlign w:val="bottom"/>
            <w:tcBorders>
              <w:bottom w:val="single" w:sz="8" w:color="7F7F7F"/>
            </w:tcBorders>
          </w:tcPr>
          <w:p>
            <w:pPr>
              <w:jc w:val="right"/>
              <w:ind w:right="101"/>
              <w:spacing w:after="0"/>
              <w:rPr>
                <w:sz w:val="20"/>
                <w:szCs w:val="20"/>
                <w:color w:val="auto"/>
              </w:rPr>
            </w:pPr>
            <w:r>
              <w:rPr>
                <w:rFonts w:ascii="Arial" w:cs="Arial" w:eastAsia="Arial" w:hAnsi="Arial"/>
                <w:sz w:val="16"/>
                <w:szCs w:val="16"/>
                <w:b w:val="1"/>
                <w:bCs w:val="1"/>
                <w:color w:val="auto"/>
              </w:rPr>
              <w:t>298</w:t>
            </w:r>
          </w:p>
        </w:tc>
        <w:tc>
          <w:tcPr>
            <w:tcW w:w="200" w:type="dxa"/>
            <w:vAlign w:val="bottom"/>
            <w:tcBorders>
              <w:bottom w:val="single" w:sz="8" w:color="7F7F7F"/>
            </w:tcBorders>
          </w:tcPr>
          <w:p>
            <w:pPr>
              <w:spacing w:after="0"/>
              <w:rPr>
                <w:sz w:val="17"/>
                <w:szCs w:val="17"/>
                <w:color w:val="auto"/>
              </w:rPr>
            </w:pPr>
          </w:p>
        </w:tc>
        <w:tc>
          <w:tcPr>
            <w:tcW w:w="1540" w:type="dxa"/>
            <w:vAlign w:val="bottom"/>
            <w:tcBorders>
              <w:bottom w:val="single" w:sz="8" w:color="808080"/>
            </w:tcBorders>
          </w:tcPr>
          <w:p>
            <w:pPr>
              <w:jc w:val="right"/>
              <w:ind w:right="381"/>
              <w:spacing w:after="0"/>
              <w:rPr>
                <w:sz w:val="20"/>
                <w:szCs w:val="20"/>
                <w:color w:val="auto"/>
              </w:rPr>
            </w:pPr>
            <w:r>
              <w:rPr>
                <w:rFonts w:ascii="Arial" w:cs="Arial" w:eastAsia="Arial" w:hAnsi="Arial"/>
                <w:sz w:val="16"/>
                <w:szCs w:val="16"/>
                <w:color w:val="auto"/>
              </w:rPr>
              <w:t>305</w:t>
            </w:r>
          </w:p>
        </w:tc>
        <w:tc>
          <w:tcPr>
            <w:tcW w:w="820" w:type="dxa"/>
            <w:vAlign w:val="bottom"/>
            <w:tcBorders>
              <w:bottom w:val="single" w:sz="8" w:color="808080"/>
            </w:tcBorders>
          </w:tcPr>
          <w:p>
            <w:pPr>
              <w:jc w:val="right"/>
              <w:ind w:right="41"/>
              <w:spacing w:after="0"/>
              <w:rPr>
                <w:sz w:val="20"/>
                <w:szCs w:val="20"/>
                <w:color w:val="auto"/>
              </w:rPr>
            </w:pPr>
            <w:r>
              <w:rPr>
                <w:rFonts w:ascii="Arial" w:cs="Arial" w:eastAsia="Arial" w:hAnsi="Arial"/>
                <w:sz w:val="16"/>
                <w:szCs w:val="16"/>
                <w:b w:val="1"/>
                <w:bCs w:val="1"/>
                <w:color w:val="auto"/>
              </w:rPr>
              <w:t>(2)</w:t>
            </w:r>
          </w:p>
        </w:tc>
        <w:tc>
          <w:tcPr>
            <w:tcW w:w="240" w:type="dxa"/>
            <w:vAlign w:val="bottom"/>
            <w:tcBorders>
              <w:bottom w:val="single" w:sz="8" w:color="808080"/>
            </w:tcBorders>
          </w:tcPr>
          <w:p>
            <w:pPr>
              <w:spacing w:after="0"/>
              <w:rPr>
                <w:sz w:val="17"/>
                <w:szCs w:val="17"/>
                <w:color w:val="auto"/>
              </w:rPr>
            </w:pPr>
          </w:p>
        </w:tc>
      </w:tr>
      <w:tr>
        <w:trPr>
          <w:trHeight w:val="268"/>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3,086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rPr>
              <w:t>3,424</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39"/>
        </w:trPr>
        <w:tc>
          <w:tcPr>
            <w:tcW w:w="4920" w:type="dxa"/>
            <w:vAlign w:val="bottom"/>
            <w:shd w:val="clear" w:color="auto" w:fill="7F7F7F"/>
          </w:tcPr>
          <w:p>
            <w:pPr>
              <w:spacing w:after="0"/>
              <w:rPr>
                <w:sz w:val="3"/>
                <w:szCs w:val="3"/>
                <w:color w:val="auto"/>
              </w:rPr>
            </w:pPr>
          </w:p>
        </w:tc>
        <w:tc>
          <w:tcPr>
            <w:tcW w:w="2600" w:type="dxa"/>
            <w:vAlign w:val="bottom"/>
            <w:shd w:val="clear" w:color="auto" w:fill="7F7F7F"/>
          </w:tcPr>
          <w:p>
            <w:pPr>
              <w:spacing w:after="0"/>
              <w:rPr>
                <w:sz w:val="3"/>
                <w:szCs w:val="3"/>
                <w:color w:val="auto"/>
              </w:rPr>
            </w:pPr>
          </w:p>
        </w:tc>
        <w:tc>
          <w:tcPr>
            <w:tcW w:w="920" w:type="dxa"/>
            <w:vAlign w:val="bottom"/>
            <w:shd w:val="clear" w:color="auto" w:fill="7F7F7F"/>
          </w:tcPr>
          <w:p>
            <w:pPr>
              <w:spacing w:after="0"/>
              <w:rPr>
                <w:sz w:val="3"/>
                <w:szCs w:val="3"/>
                <w:color w:val="auto"/>
              </w:rPr>
            </w:pPr>
          </w:p>
        </w:tc>
        <w:tc>
          <w:tcPr>
            <w:tcW w:w="200" w:type="dxa"/>
            <w:vAlign w:val="bottom"/>
            <w:shd w:val="clear" w:color="auto" w:fill="7F7F7F"/>
          </w:tcPr>
          <w:p>
            <w:pPr>
              <w:spacing w:after="0"/>
              <w:rPr>
                <w:sz w:val="3"/>
                <w:szCs w:val="3"/>
                <w:color w:val="auto"/>
              </w:rPr>
            </w:pPr>
          </w:p>
        </w:tc>
        <w:tc>
          <w:tcPr>
            <w:tcW w:w="1540" w:type="dxa"/>
            <w:vAlign w:val="bottom"/>
            <w:shd w:val="clear" w:color="auto" w:fill="808080"/>
          </w:tcPr>
          <w:p>
            <w:pPr>
              <w:spacing w:after="0"/>
              <w:rPr>
                <w:sz w:val="3"/>
                <w:szCs w:val="3"/>
                <w:color w:val="auto"/>
              </w:rPr>
            </w:pPr>
          </w:p>
        </w:tc>
        <w:tc>
          <w:tcPr>
            <w:tcW w:w="820" w:type="dxa"/>
            <w:vAlign w:val="bottom"/>
            <w:shd w:val="clear" w:color="auto" w:fill="808080"/>
          </w:tcPr>
          <w:p>
            <w:pPr>
              <w:spacing w:after="0"/>
              <w:rPr>
                <w:sz w:val="3"/>
                <w:szCs w:val="3"/>
                <w:color w:val="auto"/>
              </w:rPr>
            </w:pPr>
          </w:p>
        </w:tc>
        <w:tc>
          <w:tcPr>
            <w:tcW w:w="240" w:type="dxa"/>
            <w:vAlign w:val="bottom"/>
            <w:shd w:val="clear" w:color="auto" w:fill="808080"/>
          </w:tcPr>
          <w:p>
            <w:pPr>
              <w:spacing w:after="0"/>
              <w:rPr>
                <w:sz w:val="3"/>
                <w:szCs w:val="3"/>
                <w:color w:val="auto"/>
              </w:rPr>
            </w:pPr>
          </w:p>
        </w:tc>
      </w:tr>
    </w:tbl>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Operating expenses decreased $338 million in the first quarter compared to 2019 driven by productivity initiatives, volume declines, lower fuel prices and lower year-over-year weather-related costs. Partially offsetting these decreases compared to 2019 are an employment tax refund recognized in 2019, inflation and increased bad debt expense.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Compensation and Benefits </w:t>
      </w:r>
      <w:r>
        <w:rPr>
          <w:rFonts w:ascii="Arial" w:cs="Arial" w:eastAsia="Arial" w:hAnsi="Arial"/>
          <w:sz w:val="17"/>
          <w:szCs w:val="17"/>
          <w:color w:val="auto"/>
        </w:rPr>
        <w:t>– Compensation and benefits include wages, payroll taxes, health and welfare costs, pension costs, other</w:t>
      </w:r>
      <w:r>
        <w:rPr>
          <w:rFonts w:ascii="Arial" w:cs="Arial" w:eastAsia="Arial" w:hAnsi="Arial"/>
          <w:sz w:val="17"/>
          <w:szCs w:val="17"/>
          <w:i w:val="1"/>
          <w:iCs w:val="1"/>
          <w:color w:val="auto"/>
        </w:rPr>
        <w:t xml:space="preserve"> </w:t>
      </w:r>
      <w:r>
        <w:rPr>
          <w:rFonts w:ascii="Arial" w:cs="Arial" w:eastAsia="Arial" w:hAnsi="Arial"/>
          <w:sz w:val="17"/>
          <w:szCs w:val="17"/>
          <w:color w:val="auto"/>
        </w:rPr>
        <w:t>postretirement benefits, and incentive costs. For the first quarter, expenses decreased 12% compared to 2019 due to a 15% reduction in employee levels driven by a 7% decline in carload volumes and productivity initiatives. Comparisons with the first quarter of 2019 were favorably impacted by fewer workforce reduction expenses and decreased weather-related costs, offset by an employment tax refund recognized in 2019.</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Depreciation </w:t>
      </w:r>
      <w:r>
        <w:rPr>
          <w:rFonts w:ascii="Arial" w:cs="Arial" w:eastAsia="Arial" w:hAnsi="Arial"/>
          <w:sz w:val="17"/>
          <w:szCs w:val="17"/>
          <w:color w:val="auto"/>
        </w:rPr>
        <w:t>– The majority of depreciation relates to road property, including rail, ties, ballast, and other track material. Depreciation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was essentially flat compared to the first quarter of 2019.</w:t>
      </w:r>
    </w:p>
    <w:p>
      <w:pPr>
        <w:spacing w:after="0" w:line="119"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 xml:space="preserve">Purchased Services and Materials – </w:t>
      </w:r>
      <w:r>
        <w:rPr>
          <w:rFonts w:ascii="Arial" w:cs="Arial" w:eastAsia="Arial" w:hAnsi="Arial"/>
          <w:sz w:val="17"/>
          <w:szCs w:val="17"/>
          <w:color w:val="auto"/>
        </w:rPr>
        <w:t>Expense for purchased services and materials includes the costs of services purchased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maintenance and contract expenses incurred by our subsidiaries for external transportation services); materials used to maintain the Railroad’s lines, structures, and equipment; costs of operating facilities jointly used by UPRR and other railroads; transportation and lodging for train crew employees; trucking and contracting costs for intermodal containers; leased automobile maintenance expenses; and tools and supplies. Purchased services and materials decreased 10% primarily due to lower locomotive maintenance expenses due to a smaller active fleet, volume-related costs for intermodal and transload services, costs associated with derailments, professional services costs and lower year-over-year weather-related costs.</w:t>
      </w:r>
    </w:p>
    <w:p>
      <w:pPr>
        <w:spacing w:after="0" w:line="30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Fuel </w:t>
      </w:r>
      <w:r>
        <w:rPr>
          <w:rFonts w:ascii="Arial" w:cs="Arial" w:eastAsia="Arial" w:hAnsi="Arial"/>
          <w:sz w:val="17"/>
          <w:szCs w:val="17"/>
          <w:color w:val="auto"/>
        </w:rPr>
        <w:t>– Fuel includes locomotive fuel and fuel for highway and non-highway vehicles and heavy equipment. A 10% decline in locomotive diesel</w:t>
      </w:r>
      <w:r>
        <w:rPr>
          <w:rFonts w:ascii="Arial" w:cs="Arial" w:eastAsia="Arial" w:hAnsi="Arial"/>
          <w:sz w:val="17"/>
          <w:szCs w:val="17"/>
          <w:i w:val="1"/>
          <w:iCs w:val="1"/>
          <w:color w:val="auto"/>
        </w:rPr>
        <w:t xml:space="preserve"> </w:t>
      </w:r>
      <w:r>
        <w:rPr>
          <w:rFonts w:ascii="Arial" w:cs="Arial" w:eastAsia="Arial" w:hAnsi="Arial"/>
          <w:sz w:val="17"/>
          <w:szCs w:val="17"/>
          <w:color w:val="auto"/>
        </w:rPr>
        <w:t>fuel prices, which averaged $1.87 per gallon (including taxes and transportation costs) in the first quarter of 2020 compared to $ 2.07 per gallon in the same period in 2019, a 5% improvement in the fuel consumption rate, computed as gallons of fuel consumed divided by gross ton-mile in thousands, and a 4% decline in gross ton-miles drove the decrease in the first quarter compared to the same period in 2019.</w:t>
      </w:r>
    </w:p>
    <w:p>
      <w:pPr>
        <w:spacing w:after="0" w:line="13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color w:val="auto"/>
        </w:rPr>
        <w:t xml:space="preserve">Equipment and Other Rents – </w:t>
      </w:r>
      <w:r>
        <w:rPr>
          <w:rFonts w:ascii="Arial" w:cs="Arial" w:eastAsia="Arial" w:hAnsi="Arial"/>
          <w:sz w:val="17"/>
          <w:szCs w:val="17"/>
          <w:color w:val="auto"/>
        </w:rPr>
        <w:t>Equipment and other rents expense primarily includes rental expense that the Railroad pays for freight cars owned</w:t>
      </w:r>
      <w:r>
        <w:rPr>
          <w:rFonts w:ascii="Arial" w:cs="Arial" w:eastAsia="Arial" w:hAnsi="Arial"/>
          <w:sz w:val="17"/>
          <w:szCs w:val="17"/>
          <w:i w:val="1"/>
          <w:iCs w:val="1"/>
          <w:color w:val="auto"/>
        </w:rPr>
        <w:t xml:space="preserve"> </w:t>
      </w:r>
      <w:r>
        <w:rPr>
          <w:rFonts w:ascii="Arial" w:cs="Arial" w:eastAsia="Arial" w:hAnsi="Arial"/>
          <w:sz w:val="17"/>
          <w:szCs w:val="17"/>
          <w:color w:val="auto"/>
        </w:rPr>
        <w:t>by other railroads or private companies; freight car, intermodal, and locomotive leases; and office and other rentals. Equipment and other rents expense decreased 12% in the first quarter compared to 2019, driven by lower locomotive and freight car lease expenses, decreased car rent expense due to volume declines, and improved cycle time partially offset by lower equity income from our investment in TTX Company.</w:t>
      </w:r>
    </w:p>
    <w:p>
      <w:pPr>
        <w:spacing w:after="0" w:line="13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i w:val="1"/>
          <w:iCs w:val="1"/>
          <w:color w:val="auto"/>
        </w:rPr>
        <w:t xml:space="preserve">Other – </w:t>
      </w:r>
      <w:r>
        <w:rPr>
          <w:rFonts w:ascii="Arial" w:cs="Arial" w:eastAsia="Arial" w:hAnsi="Arial"/>
          <w:sz w:val="17"/>
          <w:szCs w:val="17"/>
          <w:color w:val="auto"/>
        </w:rPr>
        <w:t>Other expenses include state and local taxes; freight, equipment and property damage; utilities, insurance, personal injury,</w:t>
      </w:r>
      <w:r>
        <w:rPr>
          <w:rFonts w:ascii="Arial" w:cs="Arial" w:eastAsia="Arial" w:hAnsi="Arial"/>
          <w:sz w:val="17"/>
          <w:szCs w:val="17"/>
          <w:i w:val="1"/>
          <w:iCs w:val="1"/>
          <w:color w:val="auto"/>
        </w:rPr>
        <w:t xml:space="preserve"> </w:t>
      </w:r>
      <w:r>
        <w:rPr>
          <w:rFonts w:ascii="Arial" w:cs="Arial" w:eastAsia="Arial" w:hAnsi="Arial"/>
          <w:sz w:val="17"/>
          <w:szCs w:val="17"/>
          <w:color w:val="auto"/>
        </w:rPr>
        <w:t>environmental, employee travel, telephone and cellular, computer software, bad debt and other general expenses. Other costs decreased 2% in the first quarter compared to 2019 driven primarily by lower costs associated with destroyed equipment and freight loss and damage costs. Conversely, additional bad debt expense associated with the pandemic-induced uncertainty related to certain customer receivables partially offset these decreases versus 2019.</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Non-Operating Items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0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760" w:type="dxa"/>
            <w:vAlign w:val="bottom"/>
            <w:tcBorders>
              <w:top w:val="single" w:sz="8" w:color="808080"/>
            </w:tcBorders>
          </w:tcPr>
          <w:p>
            <w:pPr>
              <w:spacing w:after="0"/>
              <w:rPr>
                <w:sz w:val="20"/>
                <w:szCs w:val="20"/>
                <w:color w:val="auto"/>
              </w:rPr>
            </w:pPr>
          </w:p>
        </w:tc>
        <w:tc>
          <w:tcPr>
            <w:tcW w:w="900" w:type="dxa"/>
            <w:vAlign w:val="bottom"/>
            <w:tcBorders>
              <w:top w:val="single" w:sz="8" w:color="808080"/>
            </w:tcBorders>
          </w:tcPr>
          <w:p>
            <w:pPr>
              <w:spacing w:after="0"/>
              <w:rPr>
                <w:sz w:val="20"/>
                <w:szCs w:val="20"/>
                <w:color w:val="auto"/>
              </w:rPr>
            </w:pPr>
          </w:p>
        </w:tc>
        <w:tc>
          <w:tcPr>
            <w:tcW w:w="620" w:type="dxa"/>
            <w:vAlign w:val="bottom"/>
            <w:tcBorders>
              <w:top w:val="single" w:sz="8" w:color="808080"/>
            </w:tcBorders>
          </w:tcPr>
          <w:p>
            <w:pPr>
              <w:spacing w:after="0"/>
              <w:rPr>
                <w:sz w:val="20"/>
                <w:szCs w:val="20"/>
                <w:color w:val="auto"/>
              </w:rPr>
            </w:pPr>
          </w:p>
        </w:tc>
        <w:tc>
          <w:tcPr>
            <w:tcW w:w="1140" w:type="dxa"/>
            <w:vAlign w:val="bottom"/>
            <w:tcBorders>
              <w:top w:val="single" w:sz="8" w:color="808080"/>
            </w:tcBorders>
          </w:tcPr>
          <w:p>
            <w:pPr>
              <w:spacing w:after="0"/>
              <w:rPr>
                <w:sz w:val="20"/>
                <w:szCs w:val="20"/>
                <w:color w:val="auto"/>
              </w:rPr>
            </w:pPr>
          </w:p>
        </w:tc>
        <w:tc>
          <w:tcPr>
            <w:tcW w:w="1020" w:type="dxa"/>
            <w:vAlign w:val="bottom"/>
            <w:tcBorders>
              <w:top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w:t>
            </w:r>
          </w:p>
        </w:tc>
      </w:tr>
      <w:tr>
        <w:trPr>
          <w:trHeight w:val="193"/>
        </w:trPr>
        <w:tc>
          <w:tcPr>
            <w:tcW w:w="6800" w:type="dxa"/>
            <w:vAlign w:val="bottom"/>
            <w:tcBorders>
              <w:bottom w:val="single" w:sz="8" w:color="808080"/>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76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jc w:val="right"/>
              <w:ind w:right="61"/>
              <w:spacing w:after="0"/>
              <w:rPr>
                <w:sz w:val="20"/>
                <w:szCs w:val="20"/>
                <w:color w:val="auto"/>
              </w:rPr>
            </w:pPr>
            <w:r>
              <w:rPr>
                <w:rFonts w:ascii="Arial" w:cs="Arial" w:eastAsia="Arial" w:hAnsi="Arial"/>
                <w:sz w:val="16"/>
                <w:szCs w:val="16"/>
                <w:b w:val="1"/>
                <w:bCs w:val="1"/>
                <w:i w:val="1"/>
                <w:iCs w:val="1"/>
                <w:color w:val="auto"/>
              </w:rPr>
              <w:t>2020</w:t>
            </w:r>
          </w:p>
        </w:tc>
        <w:tc>
          <w:tcPr>
            <w:tcW w:w="620" w:type="dxa"/>
            <w:vAlign w:val="bottom"/>
            <w:tcBorders>
              <w:bottom w:val="single" w:sz="8" w:color="808080"/>
            </w:tcBorders>
          </w:tcPr>
          <w:p>
            <w:pPr>
              <w:spacing w:after="0"/>
              <w:rPr>
                <w:sz w:val="16"/>
                <w:szCs w:val="16"/>
                <w:color w:val="auto"/>
              </w:rPr>
            </w:pPr>
          </w:p>
        </w:tc>
        <w:tc>
          <w:tcPr>
            <w:tcW w:w="1140" w:type="dxa"/>
            <w:vAlign w:val="bottom"/>
            <w:tcBorders>
              <w:bottom w:val="single" w:sz="8" w:color="808080"/>
            </w:tcBorders>
          </w:tcPr>
          <w:p>
            <w:pPr>
              <w:jc w:val="right"/>
              <w:ind w:right="301"/>
              <w:spacing w:after="0"/>
              <w:rPr>
                <w:sz w:val="20"/>
                <w:szCs w:val="20"/>
                <w:color w:val="auto"/>
              </w:rPr>
            </w:pPr>
            <w:r>
              <w:rPr>
                <w:rFonts w:ascii="Arial" w:cs="Arial" w:eastAsia="Arial" w:hAnsi="Arial"/>
                <w:sz w:val="16"/>
                <w:szCs w:val="16"/>
                <w:i w:val="1"/>
                <w:iCs w:val="1"/>
                <w:color w:val="auto"/>
              </w:rPr>
              <w:t>2019</w:t>
            </w:r>
          </w:p>
        </w:tc>
        <w:tc>
          <w:tcPr>
            <w:tcW w:w="102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197"/>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760" w:type="dxa"/>
            <w:vAlign w:val="bottom"/>
            <w:shd w:val="clear" w:color="auto" w:fill="CCEEFF"/>
          </w:tcPr>
          <w:p>
            <w:pPr>
              <w:jc w:val="right"/>
              <w:ind w:right="321"/>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53</w:t>
            </w:r>
          </w:p>
        </w:tc>
        <w:tc>
          <w:tcPr>
            <w:tcW w:w="62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rPr>
              <w:t>77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   %</w:t>
            </w:r>
          </w:p>
        </w:tc>
      </w:tr>
      <w:tr>
        <w:trPr>
          <w:trHeight w:val="209"/>
        </w:trPr>
        <w:tc>
          <w:tcPr>
            <w:tcW w:w="68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76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(278)</w:t>
            </w:r>
          </w:p>
        </w:tc>
        <w:tc>
          <w:tcPr>
            <w:tcW w:w="620" w:type="dxa"/>
            <w:vAlign w:val="bottom"/>
          </w:tcPr>
          <w:p>
            <w:pPr>
              <w:spacing w:after="0"/>
              <w:rPr>
                <w:sz w:val="18"/>
                <w:szCs w:val="18"/>
                <w:color w:val="auto"/>
              </w:rPr>
            </w:pPr>
          </w:p>
        </w:tc>
        <w:tc>
          <w:tcPr>
            <w:tcW w:w="1140" w:type="dxa"/>
            <w:vAlign w:val="bottom"/>
          </w:tcPr>
          <w:p>
            <w:pPr>
              <w:jc w:val="right"/>
              <w:ind w:right="301"/>
              <w:spacing w:after="0"/>
              <w:rPr>
                <w:sz w:val="20"/>
                <w:szCs w:val="20"/>
                <w:color w:val="auto"/>
              </w:rPr>
            </w:pPr>
            <w:r>
              <w:rPr>
                <w:rFonts w:ascii="Arial" w:cs="Arial" w:eastAsia="Arial" w:hAnsi="Arial"/>
                <w:sz w:val="16"/>
                <w:szCs w:val="16"/>
                <w:color w:val="auto"/>
              </w:rPr>
              <w:t>(247)</w:t>
            </w:r>
          </w:p>
        </w:tc>
        <w:tc>
          <w:tcPr>
            <w:tcW w:w="1020" w:type="dxa"/>
            <w:vAlign w:val="bottom"/>
          </w:tcPr>
          <w:p>
            <w:pPr>
              <w:jc w:val="right"/>
              <w:ind w:right="321"/>
              <w:spacing w:after="0"/>
              <w:rPr>
                <w:sz w:val="20"/>
                <w:szCs w:val="20"/>
                <w:color w:val="auto"/>
              </w:rPr>
            </w:pPr>
            <w:r>
              <w:rPr>
                <w:rFonts w:ascii="Arial" w:cs="Arial" w:eastAsia="Arial" w:hAnsi="Arial"/>
                <w:sz w:val="16"/>
                <w:szCs w:val="16"/>
                <w:b w:val="1"/>
                <w:bCs w:val="1"/>
                <w:color w:val="auto"/>
              </w:rPr>
              <w:t>13</w:t>
            </w:r>
          </w:p>
        </w:tc>
      </w:tr>
      <w:tr>
        <w:trPr>
          <w:trHeight w:val="217"/>
        </w:trPr>
        <w:tc>
          <w:tcPr>
            <w:tcW w:w="6800" w:type="dxa"/>
            <w:vAlign w:val="bottom"/>
            <w:tcBorders>
              <w:bottom w:val="single" w:sz="8" w:color="808080"/>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760" w:type="dxa"/>
            <w:vAlign w:val="bottom"/>
            <w:tcBorders>
              <w:bottom w:val="single" w:sz="8" w:color="808080"/>
            </w:tcBorders>
            <w:shd w:val="clear" w:color="auto" w:fill="CCEEFF"/>
          </w:tcPr>
          <w:p>
            <w:pPr>
              <w:spacing w:after="0"/>
              <w:rPr>
                <w:sz w:val="18"/>
                <w:szCs w:val="18"/>
                <w:color w:val="auto"/>
              </w:rPr>
            </w:pPr>
          </w:p>
        </w:tc>
        <w:tc>
          <w:tcPr>
            <w:tcW w:w="900" w:type="dxa"/>
            <w:vAlign w:val="bottom"/>
            <w:tcBorders>
              <w:bottom w:val="single" w:sz="8" w:color="808080"/>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(444)</w:t>
            </w:r>
          </w:p>
        </w:tc>
        <w:tc>
          <w:tcPr>
            <w:tcW w:w="620" w:type="dxa"/>
            <w:vAlign w:val="bottom"/>
            <w:tcBorders>
              <w:bottom w:val="single" w:sz="8" w:color="808080"/>
            </w:tcBorders>
            <w:shd w:val="clear" w:color="auto" w:fill="CCEEFF"/>
          </w:tcPr>
          <w:p>
            <w:pPr>
              <w:spacing w:after="0"/>
              <w:rPr>
                <w:sz w:val="18"/>
                <w:szCs w:val="18"/>
                <w:color w:val="auto"/>
              </w:rPr>
            </w:pPr>
          </w:p>
        </w:tc>
        <w:tc>
          <w:tcPr>
            <w:tcW w:w="1140" w:type="dxa"/>
            <w:vAlign w:val="bottom"/>
            <w:tcBorders>
              <w:bottom w:val="single" w:sz="8" w:color="808080"/>
            </w:tcBorders>
            <w:shd w:val="clear" w:color="auto" w:fill="CCEEFF"/>
          </w:tcPr>
          <w:p>
            <w:pPr>
              <w:jc w:val="right"/>
              <w:ind w:right="301"/>
              <w:spacing w:after="0"/>
              <w:rPr>
                <w:sz w:val="20"/>
                <w:szCs w:val="20"/>
                <w:color w:val="auto"/>
              </w:rPr>
            </w:pPr>
            <w:r>
              <w:rPr>
                <w:rFonts w:ascii="Arial" w:cs="Arial" w:eastAsia="Arial" w:hAnsi="Arial"/>
                <w:sz w:val="16"/>
                <w:szCs w:val="16"/>
                <w:color w:val="auto"/>
              </w:rPr>
              <w:t>(399)</w:t>
            </w:r>
          </w:p>
        </w:tc>
        <w:tc>
          <w:tcPr>
            <w:tcW w:w="1020" w:type="dxa"/>
            <w:vAlign w:val="bottom"/>
            <w:tcBorders>
              <w:bottom w:val="single" w:sz="8" w:color="808080"/>
            </w:tcBorders>
            <w:shd w:val="clear" w:color="auto" w:fill="CCEEFF"/>
          </w:tcPr>
          <w:p>
            <w:pPr>
              <w:jc w:val="right"/>
              <w:ind w:right="321"/>
              <w:spacing w:after="0"/>
              <w:rPr>
                <w:sz w:val="20"/>
                <w:szCs w:val="20"/>
                <w:color w:val="auto"/>
              </w:rPr>
            </w:pPr>
            <w:r>
              <w:rPr>
                <w:rFonts w:ascii="Arial" w:cs="Arial" w:eastAsia="Arial" w:hAnsi="Arial"/>
                <w:sz w:val="16"/>
                <w:szCs w:val="16"/>
                <w:b w:val="1"/>
                <w:bCs w:val="1"/>
                <w:color w:val="auto"/>
              </w:rPr>
              <w:t>11</w:t>
            </w:r>
          </w:p>
        </w:tc>
      </w:tr>
    </w:tbl>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Other Income </w:t>
      </w:r>
      <w:r>
        <w:rPr>
          <w:rFonts w:ascii="Arial" w:cs="Arial" w:eastAsia="Arial" w:hAnsi="Arial"/>
          <w:sz w:val="17"/>
          <w:szCs w:val="17"/>
          <w:color w:val="auto"/>
        </w:rPr>
        <w:t>– Other income decreased in the first quarter of 2020 compared to 2019 as a result of $27 million in interest income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an employment tax refund in 2019.</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 Interest expense increased in the first quarter of 2020 compared to 2019 due to an increase in the weighted-average debt</w:t>
      </w:r>
      <w:r>
        <w:rPr>
          <w:rFonts w:ascii="Arial" w:cs="Arial" w:eastAsia="Arial" w:hAnsi="Arial"/>
          <w:sz w:val="17"/>
          <w:szCs w:val="17"/>
          <w:i w:val="1"/>
          <w:iCs w:val="1"/>
          <w:color w:val="auto"/>
        </w:rPr>
        <w:t xml:space="preserve"> </w:t>
      </w:r>
      <w:r>
        <w:rPr>
          <w:rFonts w:ascii="Arial" w:cs="Arial" w:eastAsia="Arial" w:hAnsi="Arial"/>
          <w:sz w:val="17"/>
          <w:szCs w:val="17"/>
          <w:color w:val="auto"/>
        </w:rPr>
        <w:t>level of $27.3 billion in 2020 compared to $23.6 billion in 2019, partially offset by a lower effective interest rate of 4.1% in 2020 compared to 4.3% in 2019.</w:t>
      </w:r>
    </w:p>
    <w:p>
      <w:pPr>
        <w:spacing w:after="0" w:line="3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Income taxes increased in the first quarter of 2020 compared to 2019 due to higher pre-tax income. Our effective tax rates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quarter of 2020 and 2019 were 23.1% and 22.3%,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OPERATING/PERFORMANCE AND FINANCIAL STATISTICS</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report a number of key performance measures weekly to the Surface Transportation Board (STB). We provide this data on our website at www.up.com/investor/aar-stb_reports/index.htm.</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Operating/Performance Statistics</w:t>
      </w:r>
    </w:p>
    <w:p>
      <w:pPr>
        <w:spacing w:after="0" w:line="19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 an effort to operate a safe, reliable and efficient railroad, management uses these key operating metrics to evaluate the health of our network. The metrics are continuously measured to determine our productivity, asset utilization, and network efficiency in striving to provide a consistent, reliable service product to our customers.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Railroad performance measures are included in the table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40" w:type="dxa"/>
            <w:vAlign w:val="bottom"/>
            <w:tcBorders>
              <w:top w:val="single" w:sz="8" w:color="7F7F7F"/>
            </w:tcBorders>
          </w:tcPr>
          <w:p>
            <w:pPr>
              <w:spacing w:after="0"/>
              <w:rPr>
                <w:sz w:val="20"/>
                <w:szCs w:val="20"/>
                <w:color w:val="auto"/>
              </w:rPr>
            </w:pPr>
          </w:p>
        </w:tc>
        <w:tc>
          <w:tcPr>
            <w:tcW w:w="3120" w:type="dxa"/>
            <w:vAlign w:val="bottom"/>
            <w:tcBorders>
              <w:top w:val="single" w:sz="8" w:color="7F7F7F"/>
            </w:tcBorders>
          </w:tcPr>
          <w:p>
            <w:pPr>
              <w:spacing w:after="0"/>
              <w:rPr>
                <w:sz w:val="20"/>
                <w:szCs w:val="20"/>
                <w:color w:val="auto"/>
              </w:rPr>
            </w:pPr>
          </w:p>
        </w:tc>
        <w:tc>
          <w:tcPr>
            <w:tcW w:w="1240" w:type="dxa"/>
            <w:vAlign w:val="bottom"/>
            <w:tcBorders>
              <w:top w:val="single" w:sz="8" w:color="7F7F7F"/>
            </w:tcBorders>
          </w:tcPr>
          <w:p>
            <w:pPr>
              <w:spacing w:after="0"/>
              <w:rPr>
                <w:sz w:val="20"/>
                <w:szCs w:val="20"/>
                <w:color w:val="auto"/>
              </w:rPr>
            </w:pPr>
          </w:p>
        </w:tc>
        <w:tc>
          <w:tcPr>
            <w:tcW w:w="700" w:type="dxa"/>
            <w:vAlign w:val="bottom"/>
            <w:tcBorders>
              <w:top w:val="single" w:sz="8" w:color="7F7F7F"/>
            </w:tcBorders>
          </w:tcPr>
          <w:p>
            <w:pPr>
              <w:spacing w:after="0"/>
              <w:rPr>
                <w:sz w:val="20"/>
                <w:szCs w:val="20"/>
                <w:color w:val="auto"/>
              </w:rPr>
            </w:pPr>
          </w:p>
        </w:tc>
        <w:tc>
          <w:tcPr>
            <w:tcW w:w="340" w:type="dxa"/>
            <w:vAlign w:val="bottom"/>
            <w:tcBorders>
              <w:top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w:t>
            </w:r>
          </w:p>
        </w:tc>
      </w:tr>
      <w:tr>
        <w:trPr>
          <w:trHeight w:val="193"/>
        </w:trPr>
        <w:tc>
          <w:tcPr>
            <w:tcW w:w="584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3120" w:type="dxa"/>
            <w:vAlign w:val="bottom"/>
            <w:tcBorders>
              <w:bottom w:val="single" w:sz="8" w:color="7F7F7F"/>
            </w:tcBorders>
          </w:tcPr>
          <w:p>
            <w:pPr>
              <w:jc w:val="right"/>
              <w:ind w:right="381"/>
              <w:spacing w:after="0"/>
              <w:rPr>
                <w:sz w:val="20"/>
                <w:szCs w:val="20"/>
                <w:color w:val="auto"/>
              </w:rPr>
            </w:pPr>
            <w:r>
              <w:rPr>
                <w:rFonts w:ascii="Arial" w:cs="Arial" w:eastAsia="Arial" w:hAnsi="Arial"/>
                <w:sz w:val="16"/>
                <w:szCs w:val="16"/>
                <w:b w:val="1"/>
                <w:bCs w:val="1"/>
                <w:i w:val="1"/>
                <w:iCs w:val="1"/>
                <w:color w:val="auto"/>
              </w:rPr>
              <w:t>2020</w:t>
            </w:r>
          </w:p>
        </w:tc>
        <w:tc>
          <w:tcPr>
            <w:tcW w:w="1240" w:type="dxa"/>
            <w:vAlign w:val="bottom"/>
            <w:tcBorders>
              <w:bottom w:val="single" w:sz="8" w:color="7F7F7F"/>
            </w:tcBorders>
          </w:tcPr>
          <w:p>
            <w:pPr>
              <w:jc w:val="right"/>
              <w:ind w:right="181"/>
              <w:spacing w:after="0"/>
              <w:rPr>
                <w:sz w:val="20"/>
                <w:szCs w:val="20"/>
                <w:color w:val="auto"/>
              </w:rPr>
            </w:pPr>
            <w:r>
              <w:rPr>
                <w:rFonts w:ascii="Arial" w:cs="Arial" w:eastAsia="Arial" w:hAnsi="Arial"/>
                <w:sz w:val="16"/>
                <w:szCs w:val="16"/>
                <w:i w:val="1"/>
                <w:iCs w:val="1"/>
                <w:color w:val="auto"/>
              </w:rPr>
              <w:t>2019</w:t>
            </w:r>
          </w:p>
        </w:tc>
        <w:tc>
          <w:tcPr>
            <w:tcW w:w="1040" w:type="dxa"/>
            <w:vAlign w:val="bottom"/>
            <w:tcBorders>
              <w:bottom w:val="single" w:sz="8" w:color="7F7F7F"/>
            </w:tcBorders>
            <w:gridSpan w:val="2"/>
          </w:tcPr>
          <w:p>
            <w:pPr>
              <w:jc w:val="right"/>
              <w:spacing w:after="0"/>
              <w:rPr>
                <w:sz w:val="20"/>
                <w:szCs w:val="20"/>
                <w:color w:val="auto"/>
              </w:rPr>
            </w:pPr>
            <w:r>
              <w:rPr>
                <w:rFonts w:ascii="Arial" w:cs="Arial" w:eastAsia="Arial" w:hAnsi="Arial"/>
                <w:sz w:val="16"/>
                <w:szCs w:val="16"/>
                <w:b w:val="1"/>
                <w:bCs w:val="1"/>
                <w:i w:val="1"/>
                <w:iCs w:val="1"/>
                <w:color w:val="auto"/>
              </w:rPr>
              <w:t>Change</w:t>
            </w:r>
          </w:p>
        </w:tc>
      </w:tr>
      <w:tr>
        <w:trPr>
          <w:trHeight w:val="197"/>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ton-miles (GTMs) (billions)</w:t>
            </w:r>
          </w:p>
        </w:tc>
        <w:tc>
          <w:tcPr>
            <w:tcW w:w="3120" w:type="dxa"/>
            <w:vAlign w:val="bottom"/>
            <w:shd w:val="clear" w:color="auto" w:fill="CCEEFF"/>
          </w:tcPr>
          <w:p>
            <w:pPr>
              <w:jc w:val="right"/>
              <w:ind w:right="421"/>
              <w:spacing w:after="0"/>
              <w:rPr>
                <w:sz w:val="20"/>
                <w:szCs w:val="20"/>
                <w:color w:val="auto"/>
              </w:rPr>
            </w:pPr>
            <w:r>
              <w:rPr>
                <w:rFonts w:ascii="Arial" w:cs="Arial" w:eastAsia="Arial" w:hAnsi="Arial"/>
                <w:sz w:val="16"/>
                <w:szCs w:val="16"/>
                <w:b w:val="1"/>
                <w:bCs w:val="1"/>
                <w:color w:val="auto"/>
              </w:rPr>
              <w:t>201.3</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210.3</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09"/>
        </w:trPr>
        <w:tc>
          <w:tcPr>
            <w:tcW w:w="5840" w:type="dxa"/>
            <w:vAlign w:val="bottom"/>
          </w:tcPr>
          <w:p>
            <w:pPr>
              <w:ind w:left="40"/>
              <w:spacing w:after="0"/>
              <w:rPr>
                <w:sz w:val="20"/>
                <w:szCs w:val="20"/>
                <w:color w:val="auto"/>
              </w:rPr>
            </w:pPr>
            <w:r>
              <w:rPr>
                <w:rFonts w:ascii="Arial" w:cs="Arial" w:eastAsia="Arial" w:hAnsi="Arial"/>
                <w:sz w:val="16"/>
                <w:szCs w:val="16"/>
                <w:color w:val="auto"/>
              </w:rPr>
              <w:t>Revenue ton-miles (billions)</w:t>
            </w:r>
          </w:p>
        </w:tc>
        <w:tc>
          <w:tcPr>
            <w:tcW w:w="3120" w:type="dxa"/>
            <w:vAlign w:val="bottom"/>
          </w:tcPr>
          <w:p>
            <w:pPr>
              <w:jc w:val="right"/>
              <w:ind w:right="421"/>
              <w:spacing w:after="0"/>
              <w:rPr>
                <w:sz w:val="20"/>
                <w:szCs w:val="20"/>
                <w:color w:val="auto"/>
              </w:rPr>
            </w:pPr>
            <w:r>
              <w:rPr>
                <w:rFonts w:ascii="Arial" w:cs="Arial" w:eastAsia="Arial" w:hAnsi="Arial"/>
                <w:sz w:val="16"/>
                <w:szCs w:val="16"/>
                <w:b w:val="1"/>
                <w:bCs w:val="1"/>
                <w:color w:val="auto"/>
              </w:rPr>
              <w:t>99.7</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106.7</w:t>
            </w: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(7)</w:t>
            </w:r>
          </w:p>
        </w:tc>
        <w:tc>
          <w:tcPr>
            <w:tcW w:w="340" w:type="dxa"/>
            <w:vAlign w:val="bottom"/>
          </w:tcPr>
          <w:p>
            <w:pPr>
              <w:spacing w:after="0"/>
              <w:rPr>
                <w:sz w:val="18"/>
                <w:szCs w:val="18"/>
                <w:color w:val="auto"/>
              </w:rPr>
            </w:pPr>
          </w:p>
        </w:tc>
      </w:tr>
      <w:tr>
        <w:trPr>
          <w:trHeight w:val="211"/>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Freight car velocity (daily miles per car) [a]</w:t>
            </w:r>
          </w:p>
        </w:tc>
        <w:tc>
          <w:tcPr>
            <w:tcW w:w="3120" w:type="dxa"/>
            <w:vAlign w:val="bottom"/>
            <w:shd w:val="clear" w:color="auto" w:fill="CCEEFF"/>
          </w:tcPr>
          <w:p>
            <w:pPr>
              <w:jc w:val="right"/>
              <w:ind w:right="421"/>
              <w:spacing w:after="0"/>
              <w:rPr>
                <w:sz w:val="20"/>
                <w:szCs w:val="20"/>
                <w:color w:val="auto"/>
              </w:rPr>
            </w:pPr>
            <w:r>
              <w:rPr>
                <w:rFonts w:ascii="Arial" w:cs="Arial" w:eastAsia="Arial" w:hAnsi="Arial"/>
                <w:sz w:val="16"/>
                <w:szCs w:val="16"/>
                <w:b w:val="1"/>
                <w:bCs w:val="1"/>
                <w:color w:val="auto"/>
              </w:rPr>
              <w:t>209</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194</w:t>
            </w:r>
          </w:p>
        </w:tc>
        <w:tc>
          <w:tcPr>
            <w:tcW w:w="70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8</w:t>
            </w:r>
          </w:p>
        </w:tc>
        <w:tc>
          <w:tcPr>
            <w:tcW w:w="340" w:type="dxa"/>
            <w:vAlign w:val="bottom"/>
            <w:shd w:val="clear" w:color="auto" w:fill="CCEEFF"/>
          </w:tcPr>
          <w:p>
            <w:pPr>
              <w:spacing w:after="0"/>
              <w:rPr>
                <w:sz w:val="18"/>
                <w:szCs w:val="18"/>
                <w:color w:val="auto"/>
              </w:rPr>
            </w:pPr>
          </w:p>
        </w:tc>
      </w:tr>
      <w:tr>
        <w:trPr>
          <w:trHeight w:val="209"/>
        </w:trPr>
        <w:tc>
          <w:tcPr>
            <w:tcW w:w="5840" w:type="dxa"/>
            <w:vAlign w:val="bottom"/>
          </w:tcPr>
          <w:p>
            <w:pPr>
              <w:ind w:left="40"/>
              <w:spacing w:after="0"/>
              <w:rPr>
                <w:sz w:val="20"/>
                <w:szCs w:val="20"/>
                <w:color w:val="auto"/>
              </w:rPr>
            </w:pPr>
            <w:r>
              <w:rPr>
                <w:rFonts w:ascii="Arial" w:cs="Arial" w:eastAsia="Arial" w:hAnsi="Arial"/>
                <w:sz w:val="16"/>
                <w:szCs w:val="16"/>
                <w:color w:val="auto"/>
              </w:rPr>
              <w:t>Average train speed (miles per hour) [a] [b]</w:t>
            </w:r>
          </w:p>
        </w:tc>
        <w:tc>
          <w:tcPr>
            <w:tcW w:w="3120" w:type="dxa"/>
            <w:vAlign w:val="bottom"/>
          </w:tcPr>
          <w:p>
            <w:pPr>
              <w:jc w:val="right"/>
              <w:ind w:right="421"/>
              <w:spacing w:after="0"/>
              <w:rPr>
                <w:sz w:val="20"/>
                <w:szCs w:val="20"/>
                <w:color w:val="auto"/>
              </w:rPr>
            </w:pPr>
            <w:r>
              <w:rPr>
                <w:rFonts w:ascii="Arial" w:cs="Arial" w:eastAsia="Arial" w:hAnsi="Arial"/>
                <w:sz w:val="16"/>
                <w:szCs w:val="16"/>
                <w:b w:val="1"/>
                <w:bCs w:val="1"/>
                <w:color w:val="auto"/>
              </w:rPr>
              <w:t>25.4</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24.6</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3</w:t>
            </w:r>
          </w:p>
        </w:tc>
        <w:tc>
          <w:tcPr>
            <w:tcW w:w="340" w:type="dxa"/>
            <w:vAlign w:val="bottom"/>
          </w:tcPr>
          <w:p>
            <w:pPr>
              <w:spacing w:after="0"/>
              <w:rPr>
                <w:sz w:val="18"/>
                <w:szCs w:val="18"/>
                <w:color w:val="auto"/>
              </w:rPr>
            </w:pPr>
          </w:p>
        </w:tc>
      </w:tr>
      <w:tr>
        <w:trPr>
          <w:trHeight w:val="211"/>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terminal dwell time (hours) [a] [b]</w:t>
            </w:r>
          </w:p>
        </w:tc>
        <w:tc>
          <w:tcPr>
            <w:tcW w:w="3120" w:type="dxa"/>
            <w:vAlign w:val="bottom"/>
            <w:shd w:val="clear" w:color="auto" w:fill="CCEEFF"/>
          </w:tcPr>
          <w:p>
            <w:pPr>
              <w:jc w:val="right"/>
              <w:ind w:right="421"/>
              <w:spacing w:after="0"/>
              <w:rPr>
                <w:sz w:val="20"/>
                <w:szCs w:val="20"/>
                <w:color w:val="auto"/>
              </w:rPr>
            </w:pPr>
            <w:r>
              <w:rPr>
                <w:rFonts w:ascii="Arial" w:cs="Arial" w:eastAsia="Arial" w:hAnsi="Arial"/>
                <w:sz w:val="16"/>
                <w:szCs w:val="16"/>
                <w:b w:val="1"/>
                <w:bCs w:val="1"/>
                <w:color w:val="auto"/>
              </w:rPr>
              <w:t>23.8</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26.8</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w:t>
            </w:r>
          </w:p>
        </w:tc>
        <w:tc>
          <w:tcPr>
            <w:tcW w:w="340" w:type="dxa"/>
            <w:vAlign w:val="bottom"/>
            <w:shd w:val="clear" w:color="auto" w:fill="CCEEFF"/>
          </w:tcPr>
          <w:p>
            <w:pPr>
              <w:spacing w:after="0"/>
              <w:rPr>
                <w:sz w:val="18"/>
                <w:szCs w:val="18"/>
                <w:color w:val="auto"/>
              </w:rPr>
            </w:pPr>
          </w:p>
        </w:tc>
      </w:tr>
      <w:tr>
        <w:trPr>
          <w:trHeight w:val="209"/>
        </w:trPr>
        <w:tc>
          <w:tcPr>
            <w:tcW w:w="5840" w:type="dxa"/>
            <w:vAlign w:val="bottom"/>
          </w:tcPr>
          <w:p>
            <w:pPr>
              <w:ind w:left="40"/>
              <w:spacing w:after="0"/>
              <w:rPr>
                <w:sz w:val="20"/>
                <w:szCs w:val="20"/>
                <w:color w:val="auto"/>
              </w:rPr>
            </w:pPr>
            <w:r>
              <w:rPr>
                <w:rFonts w:ascii="Arial" w:cs="Arial" w:eastAsia="Arial" w:hAnsi="Arial"/>
                <w:sz w:val="16"/>
                <w:szCs w:val="16"/>
                <w:color w:val="auto"/>
              </w:rPr>
              <w:t>Locomotive productivity (GTMs per horsepower day)</w:t>
            </w:r>
          </w:p>
        </w:tc>
        <w:tc>
          <w:tcPr>
            <w:tcW w:w="3120" w:type="dxa"/>
            <w:vAlign w:val="bottom"/>
          </w:tcPr>
          <w:p>
            <w:pPr>
              <w:jc w:val="right"/>
              <w:ind w:right="421"/>
              <w:spacing w:after="0"/>
              <w:rPr>
                <w:sz w:val="20"/>
                <w:szCs w:val="20"/>
                <w:color w:val="auto"/>
              </w:rPr>
            </w:pPr>
            <w:r>
              <w:rPr>
                <w:rFonts w:ascii="Arial" w:cs="Arial" w:eastAsia="Arial" w:hAnsi="Arial"/>
                <w:sz w:val="16"/>
                <w:szCs w:val="16"/>
                <w:b w:val="1"/>
                <w:bCs w:val="1"/>
                <w:color w:val="auto"/>
              </w:rPr>
              <w:t>131</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111</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18</w:t>
            </w:r>
          </w:p>
        </w:tc>
        <w:tc>
          <w:tcPr>
            <w:tcW w:w="340" w:type="dxa"/>
            <w:vAlign w:val="bottom"/>
          </w:tcPr>
          <w:p>
            <w:pPr>
              <w:spacing w:after="0"/>
              <w:rPr>
                <w:sz w:val="18"/>
                <w:szCs w:val="18"/>
                <w:color w:val="auto"/>
              </w:rPr>
            </w:pPr>
          </w:p>
        </w:tc>
      </w:tr>
      <w:tr>
        <w:trPr>
          <w:trHeight w:val="211"/>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Train length (feet)</w:t>
            </w:r>
          </w:p>
        </w:tc>
        <w:tc>
          <w:tcPr>
            <w:tcW w:w="3120" w:type="dxa"/>
            <w:vAlign w:val="bottom"/>
            <w:shd w:val="clear" w:color="auto" w:fill="CCEEFF"/>
          </w:tcPr>
          <w:p>
            <w:pPr>
              <w:jc w:val="right"/>
              <w:ind w:right="421"/>
              <w:spacing w:after="0"/>
              <w:rPr>
                <w:sz w:val="20"/>
                <w:szCs w:val="20"/>
                <w:color w:val="auto"/>
              </w:rPr>
            </w:pPr>
            <w:r>
              <w:rPr>
                <w:rFonts w:ascii="Arial" w:cs="Arial" w:eastAsia="Arial" w:hAnsi="Arial"/>
                <w:sz w:val="16"/>
                <w:szCs w:val="16"/>
                <w:b w:val="1"/>
                <w:bCs w:val="1"/>
                <w:color w:val="auto"/>
              </w:rPr>
              <w:t>8,396</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7,292</w:t>
            </w:r>
          </w:p>
        </w:tc>
        <w:tc>
          <w:tcPr>
            <w:tcW w:w="70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15</w:t>
            </w:r>
          </w:p>
        </w:tc>
        <w:tc>
          <w:tcPr>
            <w:tcW w:w="340" w:type="dxa"/>
            <w:vAlign w:val="bottom"/>
            <w:shd w:val="clear" w:color="auto" w:fill="CCEEFF"/>
          </w:tcPr>
          <w:p>
            <w:pPr>
              <w:spacing w:after="0"/>
              <w:rPr>
                <w:sz w:val="18"/>
                <w:szCs w:val="18"/>
                <w:color w:val="auto"/>
              </w:rPr>
            </w:pPr>
          </w:p>
        </w:tc>
      </w:tr>
      <w:tr>
        <w:trPr>
          <w:trHeight w:val="208"/>
        </w:trPr>
        <w:tc>
          <w:tcPr>
            <w:tcW w:w="5840" w:type="dxa"/>
            <w:vAlign w:val="bottom"/>
          </w:tcPr>
          <w:p>
            <w:pPr>
              <w:ind w:left="40"/>
              <w:spacing w:after="0"/>
              <w:rPr>
                <w:sz w:val="20"/>
                <w:szCs w:val="20"/>
                <w:color w:val="auto"/>
              </w:rPr>
            </w:pPr>
            <w:r>
              <w:rPr>
                <w:rFonts w:ascii="Arial" w:cs="Arial" w:eastAsia="Arial" w:hAnsi="Arial"/>
                <w:sz w:val="16"/>
                <w:szCs w:val="16"/>
                <w:color w:val="auto"/>
              </w:rPr>
              <w:t>Intermodal car trip plan compliance (%)</w:t>
            </w:r>
          </w:p>
        </w:tc>
        <w:tc>
          <w:tcPr>
            <w:tcW w:w="3120" w:type="dxa"/>
            <w:vAlign w:val="bottom"/>
          </w:tcPr>
          <w:p>
            <w:pPr>
              <w:jc w:val="right"/>
              <w:ind w:right="421"/>
              <w:spacing w:after="0"/>
              <w:rPr>
                <w:sz w:val="20"/>
                <w:szCs w:val="20"/>
                <w:color w:val="auto"/>
              </w:rPr>
            </w:pPr>
            <w:r>
              <w:rPr>
                <w:rFonts w:ascii="Arial" w:cs="Arial" w:eastAsia="Arial" w:hAnsi="Arial"/>
                <w:sz w:val="16"/>
                <w:szCs w:val="16"/>
                <w:b w:val="1"/>
                <w:bCs w:val="1"/>
                <w:color w:val="auto"/>
              </w:rPr>
              <w:t>85</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66</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19</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pts</w:t>
            </w:r>
          </w:p>
        </w:tc>
      </w:tr>
      <w:tr>
        <w:trPr>
          <w:trHeight w:val="211"/>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Manifest/Automotive car trip plan compliance (%)</w:t>
            </w:r>
          </w:p>
        </w:tc>
        <w:tc>
          <w:tcPr>
            <w:tcW w:w="3120" w:type="dxa"/>
            <w:vAlign w:val="bottom"/>
            <w:shd w:val="clear" w:color="auto" w:fill="CCEEFF"/>
          </w:tcPr>
          <w:p>
            <w:pPr>
              <w:jc w:val="right"/>
              <w:ind w:right="421"/>
              <w:spacing w:after="0"/>
              <w:rPr>
                <w:sz w:val="20"/>
                <w:szCs w:val="20"/>
                <w:color w:val="auto"/>
              </w:rPr>
            </w:pPr>
            <w:r>
              <w:rPr>
                <w:rFonts w:ascii="Arial" w:cs="Arial" w:eastAsia="Arial" w:hAnsi="Arial"/>
                <w:sz w:val="16"/>
                <w:szCs w:val="16"/>
                <w:b w:val="1"/>
                <w:bCs w:val="1"/>
                <w:color w:val="auto"/>
              </w:rPr>
              <w:t>64</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63</w:t>
            </w:r>
          </w:p>
        </w:tc>
        <w:tc>
          <w:tcPr>
            <w:tcW w:w="70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rPr>
              <w:t>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pts</w:t>
            </w:r>
          </w:p>
        </w:tc>
      </w:tr>
      <w:tr>
        <w:trPr>
          <w:trHeight w:val="209"/>
        </w:trPr>
        <w:tc>
          <w:tcPr>
            <w:tcW w:w="5840" w:type="dxa"/>
            <w:vAlign w:val="bottom"/>
          </w:tcPr>
          <w:p>
            <w:pPr>
              <w:ind w:left="40"/>
              <w:spacing w:after="0"/>
              <w:rPr>
                <w:sz w:val="20"/>
                <w:szCs w:val="20"/>
                <w:color w:val="auto"/>
              </w:rPr>
            </w:pPr>
            <w:r>
              <w:rPr>
                <w:rFonts w:ascii="Arial" w:cs="Arial" w:eastAsia="Arial" w:hAnsi="Arial"/>
                <w:sz w:val="16"/>
                <w:szCs w:val="16"/>
                <w:color w:val="auto"/>
              </w:rPr>
              <w:t>Workforce productivity (car miles per employee)</w:t>
            </w:r>
          </w:p>
        </w:tc>
        <w:tc>
          <w:tcPr>
            <w:tcW w:w="3120" w:type="dxa"/>
            <w:vAlign w:val="bottom"/>
          </w:tcPr>
          <w:p>
            <w:pPr>
              <w:jc w:val="right"/>
              <w:ind w:right="421"/>
              <w:spacing w:after="0"/>
              <w:rPr>
                <w:sz w:val="20"/>
                <w:szCs w:val="20"/>
                <w:color w:val="auto"/>
              </w:rPr>
            </w:pPr>
            <w:r>
              <w:rPr>
                <w:rFonts w:ascii="Arial" w:cs="Arial" w:eastAsia="Arial" w:hAnsi="Arial"/>
                <w:sz w:val="16"/>
                <w:szCs w:val="16"/>
                <w:b w:val="1"/>
                <w:bCs w:val="1"/>
                <w:color w:val="auto"/>
              </w:rPr>
              <w:t>894</w:t>
            </w:r>
          </w:p>
        </w:tc>
        <w:tc>
          <w:tcPr>
            <w:tcW w:w="1240" w:type="dxa"/>
            <w:vAlign w:val="bottom"/>
          </w:tcPr>
          <w:p>
            <w:pPr>
              <w:jc w:val="right"/>
              <w:ind w:right="241"/>
              <w:spacing w:after="0"/>
              <w:rPr>
                <w:sz w:val="20"/>
                <w:szCs w:val="20"/>
                <w:color w:val="auto"/>
              </w:rPr>
            </w:pPr>
            <w:r>
              <w:rPr>
                <w:rFonts w:ascii="Arial" w:cs="Arial" w:eastAsia="Arial" w:hAnsi="Arial"/>
                <w:sz w:val="16"/>
                <w:szCs w:val="16"/>
                <w:color w:val="auto"/>
              </w:rPr>
              <w:t>812</w:t>
            </w:r>
          </w:p>
        </w:tc>
        <w:tc>
          <w:tcPr>
            <w:tcW w:w="700" w:type="dxa"/>
            <w:vAlign w:val="bottom"/>
          </w:tcPr>
          <w:p>
            <w:pPr>
              <w:jc w:val="right"/>
              <w:ind w:right="81"/>
              <w:spacing w:after="0"/>
              <w:rPr>
                <w:sz w:val="20"/>
                <w:szCs w:val="20"/>
                <w:color w:val="auto"/>
              </w:rPr>
            </w:pPr>
            <w:r>
              <w:rPr>
                <w:rFonts w:ascii="Arial" w:cs="Arial" w:eastAsia="Arial" w:hAnsi="Arial"/>
                <w:sz w:val="16"/>
                <w:szCs w:val="16"/>
                <w:b w:val="1"/>
                <w:bCs w:val="1"/>
                <w:color w:val="auto"/>
              </w:rPr>
              <w:t>10</w:t>
            </w:r>
          </w:p>
        </w:tc>
        <w:tc>
          <w:tcPr>
            <w:tcW w:w="340" w:type="dxa"/>
            <w:vAlign w:val="bottom"/>
          </w:tcPr>
          <w:p>
            <w:pPr>
              <w:spacing w:after="0"/>
              <w:rPr>
                <w:sz w:val="18"/>
                <w:szCs w:val="18"/>
                <w:color w:val="auto"/>
              </w:rPr>
            </w:pPr>
          </w:p>
        </w:tc>
      </w:tr>
      <w:tr>
        <w:trPr>
          <w:trHeight w:val="211"/>
        </w:trPr>
        <w:tc>
          <w:tcPr>
            <w:tcW w:w="5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employees (average)</w:t>
            </w:r>
          </w:p>
        </w:tc>
        <w:tc>
          <w:tcPr>
            <w:tcW w:w="3120" w:type="dxa"/>
            <w:vAlign w:val="bottom"/>
            <w:shd w:val="clear" w:color="auto" w:fill="CCEEFF"/>
          </w:tcPr>
          <w:p>
            <w:pPr>
              <w:jc w:val="right"/>
              <w:ind w:right="421"/>
              <w:spacing w:after="0"/>
              <w:rPr>
                <w:sz w:val="20"/>
                <w:szCs w:val="20"/>
                <w:color w:val="auto"/>
              </w:rPr>
            </w:pPr>
            <w:r>
              <w:rPr>
                <w:rFonts w:ascii="Arial" w:cs="Arial" w:eastAsia="Arial" w:hAnsi="Arial"/>
                <w:sz w:val="16"/>
                <w:szCs w:val="16"/>
                <w:b w:val="1"/>
                <w:bCs w:val="1"/>
                <w:color w:val="auto"/>
              </w:rPr>
              <w:t>33,872</w:t>
            </w:r>
          </w:p>
        </w:tc>
        <w:tc>
          <w:tcPr>
            <w:tcW w:w="12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40,053</w:t>
            </w: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(15)</w:t>
            </w:r>
          </w:p>
        </w:tc>
        <w:tc>
          <w:tcPr>
            <w:tcW w:w="340" w:type="dxa"/>
            <w:vAlign w:val="bottom"/>
            <w:shd w:val="clear" w:color="auto" w:fill="CCEEFF"/>
          </w:tcPr>
          <w:p>
            <w:pPr>
              <w:spacing w:after="0"/>
              <w:rPr>
                <w:sz w:val="18"/>
                <w:szCs w:val="18"/>
                <w:color w:val="auto"/>
              </w:rPr>
            </w:pPr>
          </w:p>
        </w:tc>
      </w:tr>
      <w:tr>
        <w:trPr>
          <w:trHeight w:val="216"/>
        </w:trPr>
        <w:tc>
          <w:tcPr>
            <w:tcW w:w="5840" w:type="dxa"/>
            <w:vAlign w:val="bottom"/>
            <w:tcBorders>
              <w:bottom w:val="single" w:sz="8" w:color="808080"/>
            </w:tcBorders>
          </w:tcPr>
          <w:p>
            <w:pPr>
              <w:ind w:left="40"/>
              <w:spacing w:after="0"/>
              <w:rPr>
                <w:sz w:val="20"/>
                <w:szCs w:val="20"/>
                <w:color w:val="auto"/>
              </w:rPr>
            </w:pPr>
            <w:r>
              <w:rPr>
                <w:rFonts w:ascii="Arial" w:cs="Arial" w:eastAsia="Arial" w:hAnsi="Arial"/>
                <w:sz w:val="16"/>
                <w:szCs w:val="16"/>
                <w:color w:val="auto"/>
              </w:rPr>
              <w:t>Operating ratio</w:t>
            </w:r>
          </w:p>
        </w:tc>
        <w:tc>
          <w:tcPr>
            <w:tcW w:w="3120" w:type="dxa"/>
            <w:vAlign w:val="bottom"/>
            <w:tcBorders>
              <w:bottom w:val="single" w:sz="8" w:color="808080"/>
            </w:tcBorders>
          </w:tcPr>
          <w:p>
            <w:pPr>
              <w:jc w:val="right"/>
              <w:ind w:right="421"/>
              <w:spacing w:after="0"/>
              <w:rPr>
                <w:sz w:val="20"/>
                <w:szCs w:val="20"/>
                <w:color w:val="auto"/>
              </w:rPr>
            </w:pPr>
            <w:r>
              <w:rPr>
                <w:rFonts w:ascii="Arial" w:cs="Arial" w:eastAsia="Arial" w:hAnsi="Arial"/>
                <w:sz w:val="16"/>
                <w:szCs w:val="16"/>
                <w:b w:val="1"/>
                <w:bCs w:val="1"/>
                <w:color w:val="auto"/>
              </w:rPr>
              <w:t>59.0</w:t>
            </w:r>
          </w:p>
        </w:tc>
        <w:tc>
          <w:tcPr>
            <w:tcW w:w="1240" w:type="dxa"/>
            <w:vAlign w:val="bottom"/>
            <w:tcBorders>
              <w:bottom w:val="single" w:sz="8" w:color="808080"/>
            </w:tcBorders>
          </w:tcPr>
          <w:p>
            <w:pPr>
              <w:jc w:val="right"/>
              <w:ind w:right="241"/>
              <w:spacing w:after="0"/>
              <w:rPr>
                <w:sz w:val="20"/>
                <w:szCs w:val="20"/>
                <w:color w:val="auto"/>
              </w:rPr>
            </w:pPr>
            <w:r>
              <w:rPr>
                <w:rFonts w:ascii="Arial" w:cs="Arial" w:eastAsia="Arial" w:hAnsi="Arial"/>
                <w:sz w:val="16"/>
                <w:szCs w:val="16"/>
                <w:color w:val="auto"/>
              </w:rPr>
              <w:t>63.6</w:t>
            </w:r>
          </w:p>
        </w:tc>
        <w:tc>
          <w:tcPr>
            <w:tcW w:w="700" w:type="dxa"/>
            <w:vAlign w:val="bottom"/>
            <w:tcBorders>
              <w:bottom w:val="single" w:sz="8" w:color="808080"/>
            </w:tcBorders>
          </w:tcPr>
          <w:p>
            <w:pPr>
              <w:jc w:val="right"/>
              <w:ind w:right="41"/>
              <w:spacing w:after="0"/>
              <w:rPr>
                <w:sz w:val="20"/>
                <w:szCs w:val="20"/>
                <w:color w:val="auto"/>
              </w:rPr>
            </w:pPr>
            <w:r>
              <w:rPr>
                <w:rFonts w:ascii="Arial" w:cs="Arial" w:eastAsia="Arial" w:hAnsi="Arial"/>
                <w:sz w:val="16"/>
                <w:szCs w:val="16"/>
                <w:b w:val="1"/>
                <w:bCs w:val="1"/>
                <w:color w:val="auto"/>
              </w:rPr>
              <w:t>(4.6)</w:t>
            </w:r>
          </w:p>
        </w:tc>
        <w:tc>
          <w:tcPr>
            <w:tcW w:w="340" w:type="dxa"/>
            <w:vAlign w:val="bottom"/>
            <w:tcBorders>
              <w:bottom w:val="single" w:sz="8" w:color="808080"/>
            </w:tcBorders>
          </w:tcPr>
          <w:p>
            <w:pPr>
              <w:jc w:val="right"/>
              <w:spacing w:after="0"/>
              <w:rPr>
                <w:sz w:val="20"/>
                <w:szCs w:val="20"/>
                <w:color w:val="auto"/>
              </w:rPr>
            </w:pPr>
            <w:r>
              <w:rPr>
                <w:rFonts w:ascii="Arial" w:cs="Arial" w:eastAsia="Arial" w:hAnsi="Arial"/>
                <w:sz w:val="16"/>
                <w:szCs w:val="16"/>
                <w:b w:val="1"/>
                <w:bCs w:val="1"/>
                <w:color w:val="auto"/>
              </w:rPr>
              <w:t>pts</w:t>
            </w:r>
          </w:p>
        </w:tc>
      </w:tr>
    </w:tbl>
    <w:p>
      <w:pPr>
        <w:spacing w:after="0" w:line="67" w:lineRule="exact"/>
        <w:rPr>
          <w:sz w:val="20"/>
          <w:szCs w:val="20"/>
          <w:color w:val="auto"/>
        </w:rPr>
      </w:pPr>
    </w:p>
    <w:p>
      <w:pPr>
        <w:ind w:left="360" w:hanging="355"/>
        <w:spacing w:after="0"/>
        <w:tabs>
          <w:tab w:leader="none" w:pos="3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Prior years have been recast to conform to the current year presentation which reflects minor refinements.</w:t>
      </w:r>
    </w:p>
    <w:p>
      <w:pPr>
        <w:ind w:left="360" w:hanging="355"/>
        <w:spacing w:after="0"/>
        <w:tabs>
          <w:tab w:leader="none" w:pos="3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As reported to the STB.</w:t>
      </w:r>
    </w:p>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i w:val="1"/>
          <w:iCs w:val="1"/>
          <w:color w:val="auto"/>
        </w:rPr>
        <w:t xml:space="preserve">Gross and Revenue Ton-Miles </w:t>
      </w:r>
      <w:r>
        <w:rPr>
          <w:rFonts w:ascii="Arial" w:cs="Arial" w:eastAsia="Arial" w:hAnsi="Arial"/>
          <w:sz w:val="17"/>
          <w:szCs w:val="17"/>
          <w:color w:val="auto"/>
        </w:rPr>
        <w:t>– Gross ton-miles are calculated by multiplying the weight of loaded and empty freight cars by the number of miles</w:t>
      </w:r>
      <w:r>
        <w:rPr>
          <w:rFonts w:ascii="Arial" w:cs="Arial" w:eastAsia="Arial" w:hAnsi="Arial"/>
          <w:sz w:val="17"/>
          <w:szCs w:val="17"/>
          <w:i w:val="1"/>
          <w:iCs w:val="1"/>
          <w:color w:val="auto"/>
        </w:rPr>
        <w:t xml:space="preserve"> </w:t>
      </w:r>
      <w:r>
        <w:rPr>
          <w:rFonts w:ascii="Arial" w:cs="Arial" w:eastAsia="Arial" w:hAnsi="Arial"/>
          <w:sz w:val="17"/>
          <w:szCs w:val="17"/>
          <w:color w:val="auto"/>
        </w:rPr>
        <w:t>hauled. Revenue ton-miles are calculated by multiplying the weight of freight by the number of tariff miles. Gross ton-miles and revenue ton-miles decreased 4% and 7%, respectively, in 2020 compared to 2019, driven by a 7% decline in carloadings. Changes in commodity mix drove the variance in year-over-year decreases between gross ton-miles and revenue ton-miles and carloads.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8" w:name="page29"/>
    <w:bookmarkEnd w:id="28"/>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i w:val="1"/>
          <w:iCs w:val="1"/>
          <w:color w:val="auto"/>
        </w:rPr>
        <w:t xml:space="preserve">Freight Car Velocity </w:t>
      </w:r>
      <w:r>
        <w:rPr>
          <w:rFonts w:ascii="Arial" w:cs="Arial" w:eastAsia="Arial" w:hAnsi="Arial"/>
          <w:sz w:val="17"/>
          <w:szCs w:val="17"/>
          <w:color w:val="auto"/>
        </w:rPr>
        <w:t>– Freight car velocity measures the average daily miles per car on our network. The two key drivers of this metric are the</w:t>
      </w:r>
      <w:r>
        <w:rPr>
          <w:rFonts w:ascii="Arial" w:cs="Arial" w:eastAsia="Arial" w:hAnsi="Arial"/>
          <w:sz w:val="17"/>
          <w:szCs w:val="17"/>
          <w:i w:val="1"/>
          <w:iCs w:val="1"/>
          <w:color w:val="auto"/>
        </w:rPr>
        <w:t xml:space="preserve"> </w:t>
      </w:r>
      <w:r>
        <w:rPr>
          <w:rFonts w:ascii="Arial" w:cs="Arial" w:eastAsia="Arial" w:hAnsi="Arial"/>
          <w:sz w:val="17"/>
          <w:szCs w:val="17"/>
          <w:color w:val="auto"/>
        </w:rPr>
        <w:t>speed of the train between terminals (average train speed) and the time a rail car spends at the terminals (average terminal dwell time). Continued implementation of Unified Plan 2020 was the primary driver of the 8% improvement from 2019 as both average terminal dwell and average train speed improved in the first quarter of 2020 compared to the same period in 2019. Average terminal dwell time in 2020 decreased 11% compared to 2019 largely due to improved terminal processes, transportation plan changes to eliminate switches, and a decrease in freight car inventory levels. Average train speed in the first quarter of 2020 improved 3% compared to the first quarter of 2019 as weather-related challenges slowed trains in 2019.</w:t>
      </w:r>
    </w:p>
    <w:p>
      <w:pPr>
        <w:spacing w:after="0" w:line="140" w:lineRule="exact"/>
        <w:rPr>
          <w:sz w:val="20"/>
          <w:szCs w:val="20"/>
          <w:color w:val="auto"/>
        </w:rPr>
      </w:pPr>
    </w:p>
    <w:p>
      <w:pPr>
        <w:jc w:val="both"/>
        <w:spacing w:after="0" w:line="245" w:lineRule="auto"/>
        <w:rPr>
          <w:sz w:val="20"/>
          <w:szCs w:val="20"/>
          <w:color w:val="auto"/>
        </w:rPr>
      </w:pPr>
      <w:r>
        <w:rPr>
          <w:rFonts w:ascii="Arial" w:cs="Arial" w:eastAsia="Arial" w:hAnsi="Arial"/>
          <w:sz w:val="17"/>
          <w:szCs w:val="17"/>
          <w:i w:val="1"/>
          <w:iCs w:val="1"/>
          <w:color w:val="auto"/>
        </w:rPr>
        <w:t xml:space="preserve">Locomotive Productivity </w:t>
      </w:r>
      <w:r>
        <w:rPr>
          <w:rFonts w:ascii="Arial" w:cs="Arial" w:eastAsia="Arial" w:hAnsi="Arial"/>
          <w:sz w:val="17"/>
          <w:szCs w:val="17"/>
          <w:color w:val="auto"/>
        </w:rPr>
        <w:t>– Locomotive productivity is gross ton-miles per average daily locomotive horsepower. Locomotive productivity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18% in the first quarter compared to 2019 driven by a 23% reduction in our average active fleet size due to transportation plan changes and lower locomotive dwell times.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Train Length </w:t>
      </w:r>
      <w:r>
        <w:rPr>
          <w:rFonts w:ascii="Arial" w:cs="Arial" w:eastAsia="Arial" w:hAnsi="Arial"/>
          <w:sz w:val="17"/>
          <w:szCs w:val="17"/>
          <w:color w:val="auto"/>
        </w:rPr>
        <w:t>– Train length is the average maximum train length on a route measured in feet. Our average train length increased 15%, to 8,396</w:t>
      </w:r>
      <w:r>
        <w:rPr>
          <w:rFonts w:ascii="Arial" w:cs="Arial" w:eastAsia="Arial" w:hAnsi="Arial"/>
          <w:sz w:val="17"/>
          <w:szCs w:val="17"/>
          <w:i w:val="1"/>
          <w:iCs w:val="1"/>
          <w:color w:val="auto"/>
        </w:rPr>
        <w:t xml:space="preserve"> </w:t>
      </w:r>
      <w:r>
        <w:rPr>
          <w:rFonts w:ascii="Arial" w:cs="Arial" w:eastAsia="Arial" w:hAnsi="Arial"/>
          <w:sz w:val="17"/>
          <w:szCs w:val="17"/>
          <w:color w:val="auto"/>
        </w:rPr>
        <w:t>feet, in the first quarter 2020 compared to same period in 2019 as a result of blending service products and transportation plan changes.</w:t>
      </w:r>
    </w:p>
    <w:p>
      <w:pPr>
        <w:spacing w:after="0" w:line="11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color w:val="auto"/>
        </w:rPr>
        <w:t xml:space="preserve">Car Trip Plan Compliance </w:t>
      </w:r>
      <w:r>
        <w:rPr>
          <w:rFonts w:ascii="Arial" w:cs="Arial" w:eastAsia="Arial" w:hAnsi="Arial"/>
          <w:sz w:val="17"/>
          <w:szCs w:val="17"/>
          <w:color w:val="auto"/>
        </w:rPr>
        <w:t>– Car trip plan compliance is the percentage of cars delivered on time in accordance with our original trip plan. Our</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trip plan compliance is broken into intermodal containers / trailers and manifest / automotive railcars. Intermodal car trip plan compliance improved 19 points, to 85%, in the first quarter of 2020 compared to same period in 2019 as a result of improved train speed and reduced dwell at our origin and destination ramps. Manifest / automotive car trip plan compliance of 64% was 1 point better in the first quarter compared to 2019 due to improved car dwell in our yards and more reliable first mile last mile service. Both metrics improvement was partially due to milder weather relative to the series of significant weather events in the first quarter of 2019.</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i w:val="1"/>
          <w:iCs w:val="1"/>
          <w:color w:val="auto"/>
        </w:rPr>
        <w:t xml:space="preserve">Workforce Productivity </w:t>
      </w:r>
      <w:r>
        <w:rPr>
          <w:rFonts w:ascii="Arial" w:cs="Arial" w:eastAsia="Arial" w:hAnsi="Arial"/>
          <w:sz w:val="19"/>
          <w:szCs w:val="19"/>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Workforce productivity is average daily car miles per employee. Workforce productivity improved 10% as average daily</w:t>
      </w:r>
      <w:r>
        <w:rPr>
          <w:rFonts w:ascii="Arial" w:cs="Arial" w:eastAsia="Arial" w:hAnsi="Arial"/>
          <w:sz w:val="17"/>
          <w:szCs w:val="17"/>
          <w:i w:val="1"/>
          <w:iCs w:val="1"/>
          <w:color w:val="auto"/>
        </w:rPr>
        <w:t xml:space="preserve"> </w:t>
      </w:r>
      <w:r>
        <w:rPr>
          <w:rFonts w:ascii="Arial" w:cs="Arial" w:eastAsia="Arial" w:hAnsi="Arial"/>
          <w:sz w:val="17"/>
          <w:szCs w:val="17"/>
          <w:color w:val="auto"/>
        </w:rPr>
        <w:t>car miles decreased 7% while employees decreased 15% compared to 2019. Lower car volumes drove the decline in average daily car miles. The 15% decline in employee levels was driven by a 7% decline in carload volumes, productivity initiatives and a smaller capital workforce. At the end of the first quarter, approximately 3,800 employees across all crafts were either furloughed or in alternate work status.</w:t>
      </w:r>
    </w:p>
    <w:p>
      <w:pPr>
        <w:spacing w:after="0" w:line="13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i w:val="1"/>
          <w:iCs w:val="1"/>
          <w:color w:val="auto"/>
        </w:rPr>
        <w:t xml:space="preserve">Operating Ratio </w:t>
      </w:r>
      <w:r>
        <w:rPr>
          <w:rFonts w:ascii="Arial" w:cs="Arial" w:eastAsia="Arial" w:hAnsi="Arial"/>
          <w:sz w:val="17"/>
          <w:szCs w:val="17"/>
          <w:color w:val="auto"/>
        </w:rPr>
        <w:t>– Operating ratio is our operating expenses reflected as a percentage of operating revenue. Our operating ratio of 59.0% was an</w:t>
      </w:r>
      <w:r>
        <w:rPr>
          <w:rFonts w:ascii="Arial" w:cs="Arial" w:eastAsia="Arial" w:hAnsi="Arial"/>
          <w:sz w:val="17"/>
          <w:szCs w:val="17"/>
          <w:i w:val="1"/>
          <w:iCs w:val="1"/>
          <w:color w:val="auto"/>
        </w:rPr>
        <w:t xml:space="preserve"> </w:t>
      </w:r>
      <w:r>
        <w:rPr>
          <w:rFonts w:ascii="Arial" w:cs="Arial" w:eastAsia="Arial" w:hAnsi="Arial"/>
          <w:sz w:val="17"/>
          <w:szCs w:val="17"/>
          <w:color w:val="auto"/>
        </w:rPr>
        <w:t>all-time record and improved 4.6 points compared to 2019 mainly driven by productivity initiatives, lower fuel prices, and elimination of additional costs associated with weather-related challenges in 2019, which were partially offset by inflation and other cost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9" w:name="page30"/>
    <w:bookmarkEnd w:id="29"/>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Debt / Adjusted EBITDA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60" w:type="dxa"/>
            <w:vAlign w:val="bottom"/>
            <w:tcBorders>
              <w:top w:val="single" w:sz="8" w:color="7F7F7F"/>
            </w:tcBorders>
          </w:tcPr>
          <w:p>
            <w:pPr>
              <w:spacing w:after="0"/>
              <w:rPr>
                <w:sz w:val="20"/>
                <w:szCs w:val="20"/>
                <w:color w:val="auto"/>
              </w:rPr>
            </w:pPr>
            <w:r>
              <w:rPr>
                <w:rFonts w:ascii="Arial" w:cs="Arial" w:eastAsia="Arial" w:hAnsi="Arial"/>
                <w:sz w:val="16"/>
                <w:szCs w:val="16"/>
                <w:i w:val="1"/>
                <w:iCs w:val="1"/>
                <w:color w:val="auto"/>
              </w:rPr>
              <w:t>Millions, Except Ratios</w:t>
            </w:r>
          </w:p>
        </w:tc>
        <w:tc>
          <w:tcPr>
            <w:tcW w:w="2560" w:type="dxa"/>
            <w:vAlign w:val="bottom"/>
            <w:tcBorders>
              <w:top w:val="single" w:sz="8" w:color="7F7F7F"/>
            </w:tcBorders>
          </w:tcPr>
          <w:p>
            <w:pPr>
              <w:spacing w:after="0"/>
              <w:rPr>
                <w:sz w:val="20"/>
                <w:szCs w:val="20"/>
                <w:color w:val="auto"/>
              </w:rPr>
            </w:pPr>
          </w:p>
        </w:tc>
        <w:tc>
          <w:tcPr>
            <w:tcW w:w="900" w:type="dxa"/>
            <w:vAlign w:val="bottom"/>
            <w:tcBorders>
              <w:top w:val="single" w:sz="8" w:color="7F7F7F"/>
            </w:tcBorders>
          </w:tcPr>
          <w:p>
            <w:pPr>
              <w:jc w:val="right"/>
              <w:ind w:right="21"/>
              <w:spacing w:after="0"/>
              <w:rPr>
                <w:sz w:val="20"/>
                <w:szCs w:val="20"/>
                <w:color w:val="auto"/>
              </w:rPr>
            </w:pPr>
            <w:r>
              <w:rPr>
                <w:rFonts w:ascii="Arial" w:cs="Arial" w:eastAsia="Arial" w:hAnsi="Arial"/>
                <w:sz w:val="16"/>
                <w:szCs w:val="16"/>
                <w:b w:val="1"/>
                <w:bCs w:val="1"/>
                <w:i w:val="1"/>
                <w:iCs w:val="1"/>
                <w:color w:val="auto"/>
              </w:rPr>
              <w:t>Mar. 31,</w:t>
            </w:r>
          </w:p>
        </w:tc>
        <w:tc>
          <w:tcPr>
            <w:tcW w:w="420" w:type="dxa"/>
            <w:vAlign w:val="bottom"/>
            <w:tcBorders>
              <w:top w:val="single" w:sz="8" w:color="7F7F7F"/>
            </w:tcBorders>
          </w:tcPr>
          <w:p>
            <w:pPr>
              <w:spacing w:after="0"/>
              <w:rPr>
                <w:sz w:val="20"/>
                <w:szCs w:val="20"/>
                <w:color w:val="auto"/>
              </w:rPr>
            </w:pPr>
          </w:p>
        </w:tc>
        <w:tc>
          <w:tcPr>
            <w:tcW w:w="80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Dec. 31,</w:t>
            </w:r>
          </w:p>
        </w:tc>
      </w:tr>
      <w:tr>
        <w:trPr>
          <w:trHeight w:val="206"/>
        </w:trPr>
        <w:tc>
          <w:tcPr>
            <w:tcW w:w="6560" w:type="dxa"/>
            <w:vAlign w:val="bottom"/>
            <w:tcBorders>
              <w:bottom w:val="single" w:sz="8" w:color="7F7F7F"/>
            </w:tcBorders>
          </w:tcPr>
          <w:p>
            <w:pPr>
              <w:spacing w:after="0"/>
              <w:rPr>
                <w:sz w:val="20"/>
                <w:szCs w:val="20"/>
                <w:color w:val="auto"/>
              </w:rPr>
            </w:pPr>
            <w:r>
              <w:rPr>
                <w:rFonts w:ascii="Arial" w:cs="Arial" w:eastAsia="Arial" w:hAnsi="Arial"/>
                <w:sz w:val="16"/>
                <w:szCs w:val="16"/>
                <w:i w:val="1"/>
                <w:iCs w:val="1"/>
                <w:color w:val="auto"/>
              </w:rPr>
              <w:t>for the Trailing Twelve Months Ended [a]</w:t>
            </w:r>
          </w:p>
        </w:tc>
        <w:tc>
          <w:tcPr>
            <w:tcW w:w="256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jc w:val="right"/>
              <w:ind w:right="21"/>
              <w:spacing w:after="0"/>
              <w:rPr>
                <w:sz w:val="20"/>
                <w:szCs w:val="20"/>
                <w:color w:val="auto"/>
              </w:rPr>
            </w:pPr>
            <w:r>
              <w:rPr>
                <w:rFonts w:ascii="Arial" w:cs="Arial" w:eastAsia="Arial" w:hAnsi="Arial"/>
                <w:sz w:val="16"/>
                <w:szCs w:val="16"/>
                <w:b w:val="1"/>
                <w:bCs w:val="1"/>
                <w:i w:val="1"/>
                <w:iCs w:val="1"/>
                <w:color w:val="auto"/>
              </w:rPr>
              <w:t>2020</w:t>
            </w:r>
          </w:p>
        </w:tc>
        <w:tc>
          <w:tcPr>
            <w:tcW w:w="420" w:type="dxa"/>
            <w:vAlign w:val="bottom"/>
            <w:tcBorders>
              <w:bottom w:val="single" w:sz="8" w:color="7F7F7F"/>
            </w:tcBorders>
          </w:tcPr>
          <w:p>
            <w:pPr>
              <w:spacing w:after="0"/>
              <w:rPr>
                <w:sz w:val="17"/>
                <w:szCs w:val="17"/>
                <w:color w:val="auto"/>
              </w:rPr>
            </w:pPr>
          </w:p>
        </w:tc>
        <w:tc>
          <w:tcPr>
            <w:tcW w:w="8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r>
      <w:tr>
        <w:trPr>
          <w:trHeight w:val="184"/>
        </w:trPr>
        <w:tc>
          <w:tcPr>
            <w:tcW w:w="6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56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6,002</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5,919</w:t>
            </w:r>
          </w:p>
        </w:tc>
      </w:tr>
      <w:tr>
        <w:trPr>
          <w:trHeight w:val="207"/>
        </w:trPr>
        <w:tc>
          <w:tcPr>
            <w:tcW w:w="6560" w:type="dxa"/>
            <w:vAlign w:val="bottom"/>
          </w:tcPr>
          <w:p>
            <w:pPr>
              <w:ind w:left="40"/>
              <w:spacing w:after="0"/>
              <w:rPr>
                <w:sz w:val="20"/>
                <w:szCs w:val="20"/>
                <w:color w:val="auto"/>
              </w:rPr>
            </w:pPr>
            <w:r>
              <w:rPr>
                <w:rFonts w:ascii="Arial" w:cs="Arial" w:eastAsia="Arial" w:hAnsi="Arial"/>
                <w:sz w:val="16"/>
                <w:szCs w:val="16"/>
                <w:color w:val="auto"/>
              </w:rPr>
              <w:t>Add:</w:t>
            </w:r>
          </w:p>
        </w:tc>
        <w:tc>
          <w:tcPr>
            <w:tcW w:w="2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3"/>
        </w:trPr>
        <w:tc>
          <w:tcPr>
            <w:tcW w:w="6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1,873</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w:t>
            </w:r>
          </w:p>
        </w:tc>
      </w:tr>
      <w:tr>
        <w:trPr>
          <w:trHeight w:val="209"/>
        </w:trPr>
        <w:tc>
          <w:tcPr>
            <w:tcW w:w="656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256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2,214</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2,216</w:t>
            </w:r>
          </w:p>
        </w:tc>
      </w:tr>
      <w:tr>
        <w:trPr>
          <w:trHeight w:val="204"/>
        </w:trPr>
        <w:tc>
          <w:tcPr>
            <w:tcW w:w="656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560" w:type="dxa"/>
            <w:vAlign w:val="bottom"/>
            <w:tcBorders>
              <w:bottom w:val="single" w:sz="8" w:color="7F7F7F"/>
            </w:tcBorders>
            <w:shd w:val="clear" w:color="auto" w:fill="CCEEFF"/>
          </w:tcPr>
          <w:p>
            <w:pPr>
              <w:spacing w:after="0"/>
              <w:rPr>
                <w:sz w:val="17"/>
                <w:szCs w:val="17"/>
                <w:color w:val="auto"/>
              </w:rPr>
            </w:pPr>
          </w:p>
        </w:tc>
        <w:tc>
          <w:tcPr>
            <w:tcW w:w="900" w:type="dxa"/>
            <w:vAlign w:val="bottom"/>
            <w:tcBorders>
              <w:bottom w:val="single" w:sz="8" w:color="7F7F7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1,081</w:t>
            </w:r>
          </w:p>
        </w:tc>
        <w:tc>
          <w:tcPr>
            <w:tcW w:w="420" w:type="dxa"/>
            <w:vAlign w:val="bottom"/>
            <w:tcBorders>
              <w:bottom w:val="single" w:sz="8" w:color="7F7F7F"/>
            </w:tcBorders>
            <w:shd w:val="clear" w:color="auto" w:fill="CCEEFF"/>
          </w:tcPr>
          <w:p>
            <w:pPr>
              <w:spacing w:after="0"/>
              <w:rPr>
                <w:sz w:val="17"/>
                <w:szCs w:val="17"/>
                <w:color w:val="auto"/>
              </w:rPr>
            </w:pPr>
          </w:p>
        </w:tc>
        <w:tc>
          <w:tcPr>
            <w:tcW w:w="8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1,050</w:t>
            </w:r>
          </w:p>
        </w:tc>
      </w:tr>
      <w:tr>
        <w:trPr>
          <w:trHeight w:val="197"/>
        </w:trPr>
        <w:tc>
          <w:tcPr>
            <w:tcW w:w="6560" w:type="dxa"/>
            <w:vAlign w:val="bottom"/>
          </w:tcPr>
          <w:p>
            <w:pPr>
              <w:ind w:left="40"/>
              <w:spacing w:after="0"/>
              <w:rPr>
                <w:sz w:val="20"/>
                <w:szCs w:val="20"/>
                <w:color w:val="auto"/>
              </w:rPr>
            </w:pPr>
            <w:r>
              <w:rPr>
                <w:rFonts w:ascii="Arial" w:cs="Arial" w:eastAsia="Arial" w:hAnsi="Arial"/>
                <w:sz w:val="16"/>
                <w:szCs w:val="16"/>
                <w:color w:val="auto"/>
              </w:rPr>
              <w:t>EBITDA</w:t>
            </w:r>
          </w:p>
        </w:tc>
        <w:tc>
          <w:tcPr>
            <w:tcW w:w="256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11,170</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11,013</w:t>
            </w:r>
          </w:p>
        </w:tc>
      </w:tr>
      <w:tr>
        <w:trPr>
          <w:trHeight w:val="210"/>
        </w:trPr>
        <w:tc>
          <w:tcPr>
            <w:tcW w:w="6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2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9"/>
        </w:trPr>
        <w:tc>
          <w:tcPr>
            <w:tcW w:w="656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256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(219)</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04"/>
        </w:trPr>
        <w:tc>
          <w:tcPr>
            <w:tcW w:w="656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Interest on operating lease liabilities [b]</w:t>
            </w:r>
          </w:p>
        </w:tc>
        <w:tc>
          <w:tcPr>
            <w:tcW w:w="2560" w:type="dxa"/>
            <w:vAlign w:val="bottom"/>
            <w:tcBorders>
              <w:bottom w:val="single" w:sz="8" w:color="7F7F7F"/>
            </w:tcBorders>
            <w:shd w:val="clear" w:color="auto" w:fill="CCEEFF"/>
          </w:tcPr>
          <w:p>
            <w:pPr>
              <w:spacing w:after="0"/>
              <w:rPr>
                <w:sz w:val="17"/>
                <w:szCs w:val="17"/>
                <w:color w:val="auto"/>
              </w:rPr>
            </w:pPr>
          </w:p>
        </w:tc>
        <w:tc>
          <w:tcPr>
            <w:tcW w:w="900" w:type="dxa"/>
            <w:vAlign w:val="bottom"/>
            <w:tcBorders>
              <w:bottom w:val="single" w:sz="8" w:color="7F7F7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62</w:t>
            </w:r>
          </w:p>
        </w:tc>
        <w:tc>
          <w:tcPr>
            <w:tcW w:w="420" w:type="dxa"/>
            <w:vAlign w:val="bottom"/>
            <w:tcBorders>
              <w:bottom w:val="single" w:sz="8" w:color="7F7F7F"/>
            </w:tcBorders>
            <w:shd w:val="clear" w:color="auto" w:fill="CCEEFF"/>
          </w:tcPr>
          <w:p>
            <w:pPr>
              <w:spacing w:after="0"/>
              <w:rPr>
                <w:sz w:val="17"/>
                <w:szCs w:val="17"/>
                <w:color w:val="auto"/>
              </w:rPr>
            </w:pPr>
          </w:p>
        </w:tc>
        <w:tc>
          <w:tcPr>
            <w:tcW w:w="8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43"/>
        </w:trPr>
        <w:tc>
          <w:tcPr>
            <w:tcW w:w="656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56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11,013</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10,838</w:t>
            </w:r>
          </w:p>
        </w:tc>
      </w:tr>
      <w:tr>
        <w:trPr>
          <w:trHeight w:val="52"/>
        </w:trPr>
        <w:tc>
          <w:tcPr>
            <w:tcW w:w="6560" w:type="dxa"/>
            <w:vAlign w:val="bottom"/>
            <w:tcBorders>
              <w:bottom w:val="single" w:sz="8" w:color="7F7F7F"/>
            </w:tcBorders>
          </w:tcPr>
          <w:p>
            <w:pPr>
              <w:spacing w:after="0"/>
              <w:rPr>
                <w:sz w:val="4"/>
                <w:szCs w:val="4"/>
                <w:color w:val="auto"/>
              </w:rPr>
            </w:pPr>
          </w:p>
        </w:tc>
        <w:tc>
          <w:tcPr>
            <w:tcW w:w="25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197"/>
        </w:trPr>
        <w:tc>
          <w:tcPr>
            <w:tcW w:w="6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256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27,876</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25,200</w:t>
            </w:r>
          </w:p>
        </w:tc>
      </w:tr>
      <w:tr>
        <w:trPr>
          <w:trHeight w:val="209"/>
        </w:trPr>
        <w:tc>
          <w:tcPr>
            <w:tcW w:w="6560" w:type="dxa"/>
            <w:vAlign w:val="bottom"/>
          </w:tcPr>
          <w:p>
            <w:pPr>
              <w:ind w:left="40"/>
              <w:spacing w:after="0"/>
              <w:rPr>
                <w:sz w:val="20"/>
                <w:szCs w:val="20"/>
                <w:color w:val="auto"/>
              </w:rPr>
            </w:pPr>
            <w:r>
              <w:rPr>
                <w:rFonts w:ascii="Arial" w:cs="Arial" w:eastAsia="Arial" w:hAnsi="Arial"/>
                <w:sz w:val="16"/>
                <w:szCs w:val="16"/>
                <w:color w:val="auto"/>
              </w:rPr>
              <w:t>Operating lease liabilities</w:t>
            </w:r>
          </w:p>
        </w:tc>
        <w:tc>
          <w:tcPr>
            <w:tcW w:w="2560" w:type="dxa"/>
            <w:vAlign w:val="bottom"/>
          </w:tcPr>
          <w:p>
            <w:pPr>
              <w:spacing w:after="0"/>
              <w:rPr>
                <w:sz w:val="18"/>
                <w:szCs w:val="18"/>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1,665</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1,833</w:t>
            </w:r>
          </w:p>
        </w:tc>
      </w:tr>
      <w:tr>
        <w:trPr>
          <w:trHeight w:val="204"/>
        </w:trPr>
        <w:tc>
          <w:tcPr>
            <w:tcW w:w="656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Unfunded pension and OPEB, net of taxes of $116 and $124</w:t>
            </w:r>
          </w:p>
        </w:tc>
        <w:tc>
          <w:tcPr>
            <w:tcW w:w="2560" w:type="dxa"/>
            <w:vAlign w:val="bottom"/>
            <w:tcBorders>
              <w:bottom w:val="single" w:sz="8" w:color="7F7F7F"/>
            </w:tcBorders>
            <w:shd w:val="clear" w:color="auto" w:fill="CCEEFF"/>
          </w:tcPr>
          <w:p>
            <w:pPr>
              <w:spacing w:after="0"/>
              <w:rPr>
                <w:sz w:val="17"/>
                <w:szCs w:val="17"/>
                <w:color w:val="auto"/>
              </w:rPr>
            </w:pPr>
          </w:p>
        </w:tc>
        <w:tc>
          <w:tcPr>
            <w:tcW w:w="900" w:type="dxa"/>
            <w:vAlign w:val="bottom"/>
            <w:tcBorders>
              <w:bottom w:val="single" w:sz="8" w:color="7F7F7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387</w:t>
            </w:r>
          </w:p>
        </w:tc>
        <w:tc>
          <w:tcPr>
            <w:tcW w:w="420" w:type="dxa"/>
            <w:vAlign w:val="bottom"/>
            <w:tcBorders>
              <w:bottom w:val="single" w:sz="8" w:color="7F7F7F"/>
            </w:tcBorders>
            <w:shd w:val="clear" w:color="auto" w:fill="CCEEFF"/>
          </w:tcPr>
          <w:p>
            <w:pPr>
              <w:spacing w:after="0"/>
              <w:rPr>
                <w:sz w:val="17"/>
                <w:szCs w:val="17"/>
                <w:color w:val="auto"/>
              </w:rPr>
            </w:pPr>
          </w:p>
        </w:tc>
        <w:tc>
          <w:tcPr>
            <w:tcW w:w="80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43"/>
        </w:trPr>
        <w:tc>
          <w:tcPr>
            <w:tcW w:w="6560" w:type="dxa"/>
            <w:vAlign w:val="bottom"/>
          </w:tcPr>
          <w:p>
            <w:pPr>
              <w:ind w:left="40"/>
              <w:spacing w:after="0"/>
              <w:rPr>
                <w:sz w:val="20"/>
                <w:szCs w:val="20"/>
                <w:color w:val="auto"/>
              </w:rPr>
            </w:pPr>
            <w:r>
              <w:rPr>
                <w:rFonts w:ascii="Arial" w:cs="Arial" w:eastAsia="Arial" w:hAnsi="Arial"/>
                <w:sz w:val="16"/>
                <w:szCs w:val="16"/>
                <w:color w:val="auto"/>
              </w:rPr>
              <w:t>Adjusted debt</w:t>
            </w:r>
          </w:p>
        </w:tc>
        <w:tc>
          <w:tcPr>
            <w:tcW w:w="256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29,928</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27,433</w:t>
            </w:r>
          </w:p>
        </w:tc>
      </w:tr>
      <w:tr>
        <w:trPr>
          <w:trHeight w:val="52"/>
        </w:trPr>
        <w:tc>
          <w:tcPr>
            <w:tcW w:w="6560" w:type="dxa"/>
            <w:vAlign w:val="bottom"/>
            <w:tcBorders>
              <w:bottom w:val="single" w:sz="8" w:color="7F7F7F"/>
            </w:tcBorders>
          </w:tcPr>
          <w:p>
            <w:pPr>
              <w:spacing w:after="0"/>
              <w:rPr>
                <w:sz w:val="4"/>
                <w:szCs w:val="4"/>
                <w:color w:val="auto"/>
              </w:rPr>
            </w:pPr>
          </w:p>
        </w:tc>
        <w:tc>
          <w:tcPr>
            <w:tcW w:w="25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r>
      <w:tr>
        <w:trPr>
          <w:trHeight w:val="268"/>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debt / Adjusted EBITDA</w:t>
            </w:r>
          </w:p>
        </w:tc>
        <w:tc>
          <w:tcPr>
            <w:tcW w:w="2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2.7</w:t>
            </w: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39"/>
        </w:trPr>
        <w:tc>
          <w:tcPr>
            <w:tcW w:w="6560" w:type="dxa"/>
            <w:vAlign w:val="bottom"/>
            <w:shd w:val="clear" w:color="auto" w:fill="7F7F7F"/>
          </w:tcPr>
          <w:p>
            <w:pPr>
              <w:spacing w:after="0"/>
              <w:rPr>
                <w:sz w:val="3"/>
                <w:szCs w:val="3"/>
                <w:color w:val="auto"/>
              </w:rPr>
            </w:pPr>
          </w:p>
        </w:tc>
        <w:tc>
          <w:tcPr>
            <w:tcW w:w="2560" w:type="dxa"/>
            <w:vAlign w:val="bottom"/>
            <w:shd w:val="clear" w:color="auto" w:fill="7F7F7F"/>
          </w:tcPr>
          <w:p>
            <w:pPr>
              <w:spacing w:after="0"/>
              <w:rPr>
                <w:sz w:val="3"/>
                <w:szCs w:val="3"/>
                <w:color w:val="auto"/>
              </w:rPr>
            </w:pPr>
          </w:p>
        </w:tc>
        <w:tc>
          <w:tcPr>
            <w:tcW w:w="900" w:type="dxa"/>
            <w:vAlign w:val="bottom"/>
            <w:shd w:val="clear" w:color="auto" w:fill="7F7F7F"/>
          </w:tcPr>
          <w:p>
            <w:pPr>
              <w:spacing w:after="0"/>
              <w:rPr>
                <w:sz w:val="3"/>
                <w:szCs w:val="3"/>
                <w:color w:val="auto"/>
              </w:rPr>
            </w:pPr>
          </w:p>
        </w:tc>
        <w:tc>
          <w:tcPr>
            <w:tcW w:w="420" w:type="dxa"/>
            <w:vAlign w:val="bottom"/>
            <w:shd w:val="clear" w:color="auto" w:fill="7F7F7F"/>
          </w:tcPr>
          <w:p>
            <w:pPr>
              <w:spacing w:after="0"/>
              <w:rPr>
                <w:sz w:val="3"/>
                <w:szCs w:val="3"/>
                <w:color w:val="auto"/>
              </w:rPr>
            </w:pPr>
          </w:p>
        </w:tc>
        <w:tc>
          <w:tcPr>
            <w:tcW w:w="800" w:type="dxa"/>
            <w:vAlign w:val="bottom"/>
            <w:shd w:val="clear" w:color="auto" w:fill="7F7F7F"/>
          </w:tcPr>
          <w:p>
            <w:pPr>
              <w:spacing w:after="0"/>
              <w:rPr>
                <w:sz w:val="3"/>
                <w:szCs w:val="3"/>
                <w:color w:val="auto"/>
              </w:rPr>
            </w:pPr>
          </w:p>
        </w:tc>
      </w:tr>
    </w:tbl>
    <w:p>
      <w:pPr>
        <w:spacing w:after="0" w:line="161" w:lineRule="exact"/>
        <w:rPr>
          <w:sz w:val="20"/>
          <w:szCs w:val="20"/>
          <w:color w:val="auto"/>
        </w:rPr>
      </w:pPr>
    </w:p>
    <w:p>
      <w:pPr>
        <w:ind w:left="320" w:hanging="315"/>
        <w:spacing w:after="0" w:line="247" w:lineRule="auto"/>
        <w:tabs>
          <w:tab w:leader="none" w:pos="3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trailing twelve month income statement information ended March 31, 2020 is recalculated by taking the twelve months ended December 31, 2019, subtracting the three months ended March 31, 2019, and adding the three months ended March 31, 2020.</w:t>
      </w:r>
    </w:p>
    <w:p>
      <w:pPr>
        <w:spacing w:after="0" w:line="22" w:lineRule="exact"/>
        <w:rPr>
          <w:rFonts w:ascii="Arial" w:cs="Arial" w:eastAsia="Arial" w:hAnsi="Arial"/>
          <w:sz w:val="14"/>
          <w:szCs w:val="14"/>
          <w:i w:val="1"/>
          <w:iCs w:val="1"/>
          <w:color w:val="auto"/>
        </w:rPr>
      </w:pPr>
    </w:p>
    <w:p>
      <w:pPr>
        <w:ind w:left="320" w:hanging="315"/>
        <w:spacing w:after="0" w:line="247" w:lineRule="auto"/>
        <w:tabs>
          <w:tab w:leader="none" w:pos="3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hypothetical interest expense we would incur (using the incremental borrowing rate) if the property under our operating leases were owned or accounted for as finance leases.</w:t>
      </w:r>
    </w:p>
    <w:p>
      <w:pPr>
        <w:spacing w:after="0" w:line="189"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Adjusted debt to Adjusted EBITDA (earnings before interest, taxes, depreciation, amortization, other income and interest on operating lease liabilities) is considered a non-GAAP financial measure by SEC Regulation G and Item 10 of SEC Regulation S-K and may not be defined and calculated by other companies in the same manner. We believe this measure is important to management and investors in evaluating the Company’s ability to sustain given debt levels (including leases) with the cash generated from operations. In addition, a comparable measure is used by rating agencies when reviewing the Company’s credit rating. Adjusted debt to Adjusted EBITDA should be considered in addition to, rather than as a substitute for, net income. The table above provides reconciliations from net income to adjusted debt to adjusted EBITDA. At both March 31, 2020 and December 31, 2019, the incremental borrowing rate on operating lease liabilities was 3.7%.</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420" w:type="dxa"/>
            <w:vAlign w:val="bottom"/>
            <w:tcBorders>
              <w:top w:val="single" w:sz="8" w:color="7F7F7F"/>
            </w:tcBorders>
          </w:tcPr>
          <w:p>
            <w:pPr>
              <w:ind w:left="40"/>
              <w:spacing w:after="0"/>
              <w:rPr>
                <w:sz w:val="20"/>
                <w:szCs w:val="20"/>
                <w:color w:val="auto"/>
              </w:rPr>
            </w:pPr>
            <w:r>
              <w:rPr>
                <w:rFonts w:ascii="Arial" w:cs="Arial" w:eastAsia="Arial" w:hAnsi="Arial"/>
                <w:sz w:val="16"/>
                <w:szCs w:val="16"/>
                <w:b w:val="1"/>
                <w:bCs w:val="1"/>
                <w:i w:val="1"/>
                <w:iCs w:val="1"/>
                <w:color w:val="auto"/>
              </w:rPr>
              <w:t>Cash Flows</w:t>
            </w:r>
          </w:p>
        </w:tc>
        <w:tc>
          <w:tcPr>
            <w:tcW w:w="2780" w:type="dxa"/>
            <w:vAlign w:val="bottom"/>
            <w:tcBorders>
              <w:top w:val="single" w:sz="8" w:color="7F7F7F"/>
            </w:tcBorders>
          </w:tcPr>
          <w:p>
            <w:pPr>
              <w:spacing w:after="0"/>
              <w:rPr>
                <w:sz w:val="21"/>
                <w:szCs w:val="21"/>
                <w:color w:val="auto"/>
              </w:rPr>
            </w:pPr>
          </w:p>
        </w:tc>
        <w:tc>
          <w:tcPr>
            <w:tcW w:w="820" w:type="dxa"/>
            <w:vAlign w:val="bottom"/>
            <w:tcBorders>
              <w:top w:val="single" w:sz="8" w:color="7F7F7F"/>
            </w:tcBorders>
          </w:tcPr>
          <w:p>
            <w:pPr>
              <w:spacing w:after="0"/>
              <w:rPr>
                <w:sz w:val="21"/>
                <w:szCs w:val="21"/>
                <w:color w:val="auto"/>
              </w:rPr>
            </w:pPr>
          </w:p>
        </w:tc>
        <w:tc>
          <w:tcPr>
            <w:tcW w:w="460" w:type="dxa"/>
            <w:vAlign w:val="bottom"/>
            <w:tcBorders>
              <w:top w:val="single" w:sz="8" w:color="7F7F7F"/>
            </w:tcBorders>
          </w:tcPr>
          <w:p>
            <w:pPr>
              <w:spacing w:after="0"/>
              <w:rPr>
                <w:sz w:val="21"/>
                <w:szCs w:val="21"/>
                <w:color w:val="auto"/>
              </w:rPr>
            </w:pPr>
          </w:p>
        </w:tc>
        <w:tc>
          <w:tcPr>
            <w:tcW w:w="760" w:type="dxa"/>
            <w:vAlign w:val="bottom"/>
            <w:tcBorders>
              <w:top w:val="single" w:sz="8" w:color="7F7F7F"/>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420" w:type="dxa"/>
            <w:vAlign w:val="bottom"/>
          </w:tcPr>
          <w:p>
            <w:pPr>
              <w:ind w:left="40"/>
              <w:spacing w:after="0"/>
              <w:rPr>
                <w:sz w:val="20"/>
                <w:szCs w:val="20"/>
                <w:color w:val="auto"/>
              </w:rPr>
            </w:pPr>
            <w:r>
              <w:rPr>
                <w:rFonts w:ascii="Arial" w:cs="Arial" w:eastAsia="Arial" w:hAnsi="Arial"/>
                <w:sz w:val="16"/>
                <w:szCs w:val="16"/>
                <w:i w:val="1"/>
                <w:iCs w:val="1"/>
                <w:color w:val="auto"/>
              </w:rPr>
              <w:t>Millions,</w:t>
            </w:r>
          </w:p>
        </w:tc>
        <w:tc>
          <w:tcPr>
            <w:tcW w:w="2780" w:type="dxa"/>
            <w:vAlign w:val="bottom"/>
          </w:tcPr>
          <w:p>
            <w:pPr>
              <w:spacing w:after="0"/>
              <w:rPr>
                <w:sz w:val="17"/>
                <w:szCs w:val="17"/>
                <w:color w:val="auto"/>
              </w:rPr>
            </w:pPr>
          </w:p>
        </w:tc>
        <w:tc>
          <w:tcPr>
            <w:tcW w:w="820" w:type="dxa"/>
            <w:vAlign w:val="bottom"/>
            <w:vMerge w:val="restart"/>
          </w:tcPr>
          <w:p>
            <w:pPr>
              <w:jc w:val="right"/>
              <w:ind w:right="21"/>
              <w:spacing w:after="0"/>
              <w:rPr>
                <w:sz w:val="20"/>
                <w:szCs w:val="20"/>
                <w:color w:val="auto"/>
              </w:rPr>
            </w:pPr>
            <w:r>
              <w:rPr>
                <w:rFonts w:ascii="Arial" w:cs="Arial" w:eastAsia="Arial" w:hAnsi="Arial"/>
                <w:sz w:val="16"/>
                <w:szCs w:val="16"/>
                <w:b w:val="1"/>
                <w:bCs w:val="1"/>
                <w:i w:val="1"/>
                <w:iCs w:val="1"/>
                <w:color w:val="auto"/>
              </w:rPr>
              <w:t>2020</w:t>
            </w: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42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2780" w:type="dxa"/>
            <w:vAlign w:val="bottom"/>
            <w:tcBorders>
              <w:bottom w:val="single" w:sz="8" w:color="7F7F7F"/>
            </w:tcBorders>
          </w:tcPr>
          <w:p>
            <w:pPr>
              <w:spacing w:after="0"/>
              <w:rPr>
                <w:sz w:val="16"/>
                <w:szCs w:val="16"/>
                <w:color w:val="auto"/>
              </w:rPr>
            </w:pPr>
          </w:p>
        </w:tc>
        <w:tc>
          <w:tcPr>
            <w:tcW w:w="820" w:type="dxa"/>
            <w:vAlign w:val="bottom"/>
            <w:tcBorders>
              <w:bottom w:val="single" w:sz="8" w:color="7F7F7F"/>
            </w:tcBorders>
            <w:vMerge w:val="continue"/>
          </w:tcPr>
          <w:p>
            <w:pPr>
              <w:spacing w:after="0"/>
              <w:rPr>
                <w:sz w:val="16"/>
                <w:szCs w:val="16"/>
                <w:color w:val="auto"/>
              </w:rPr>
            </w:pPr>
          </w:p>
        </w:tc>
        <w:tc>
          <w:tcPr>
            <w:tcW w:w="460" w:type="dxa"/>
            <w:vAlign w:val="bottom"/>
            <w:tcBorders>
              <w:bottom w:val="single" w:sz="8" w:color="7F7F7F"/>
            </w:tcBorders>
          </w:tcPr>
          <w:p>
            <w:pPr>
              <w:spacing w:after="0"/>
              <w:rPr>
                <w:sz w:val="16"/>
                <w:szCs w:val="16"/>
                <w:color w:val="auto"/>
              </w:rPr>
            </w:pPr>
          </w:p>
        </w:tc>
        <w:tc>
          <w:tcPr>
            <w:tcW w:w="7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0" w:type="dxa"/>
            <w:vAlign w:val="bottom"/>
          </w:tcPr>
          <w:p>
            <w:pPr>
              <w:spacing w:after="0"/>
              <w:rPr>
                <w:sz w:val="1"/>
                <w:szCs w:val="1"/>
                <w:color w:val="auto"/>
              </w:rPr>
            </w:pPr>
          </w:p>
        </w:tc>
      </w:tr>
      <w:tr>
        <w:trPr>
          <w:trHeight w:val="197"/>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2780" w:type="dxa"/>
            <w:vAlign w:val="bottom"/>
            <w:shd w:val="clear" w:color="auto" w:fill="CCEEFF"/>
          </w:tcPr>
          <w:p>
            <w:pPr>
              <w:jc w:val="right"/>
              <w:ind w:right="221"/>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2,155</w:t>
            </w:r>
          </w:p>
        </w:tc>
        <w:tc>
          <w:tcPr>
            <w:tcW w:w="4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0" w:type="dxa"/>
            <w:vAlign w:val="bottom"/>
          </w:tcPr>
          <w:p>
            <w:pPr>
              <w:spacing w:after="0"/>
              <w:rPr>
                <w:sz w:val="1"/>
                <w:szCs w:val="1"/>
                <w:color w:val="auto"/>
              </w:rPr>
            </w:pPr>
          </w:p>
        </w:tc>
      </w:tr>
      <w:tr>
        <w:trPr>
          <w:trHeight w:val="209"/>
        </w:trPr>
        <w:tc>
          <w:tcPr>
            <w:tcW w:w="642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2780" w:type="dxa"/>
            <w:vAlign w:val="bottom"/>
          </w:tcPr>
          <w:p>
            <w:pPr>
              <w:spacing w:after="0"/>
              <w:rPr>
                <w:sz w:val="18"/>
                <w:szCs w:val="18"/>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b w:val="1"/>
                <w:bCs w:val="1"/>
                <w:color w:val="auto"/>
              </w:rPr>
              <w:t>(807)</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(784)</w:t>
            </w:r>
          </w:p>
        </w:tc>
        <w:tc>
          <w:tcPr>
            <w:tcW w:w="0" w:type="dxa"/>
            <w:vAlign w:val="bottom"/>
          </w:tcPr>
          <w:p>
            <w:pPr>
              <w:spacing w:after="0"/>
              <w:rPr>
                <w:sz w:val="1"/>
                <w:szCs w:val="1"/>
                <w:color w:val="auto"/>
              </w:rPr>
            </w:pPr>
          </w:p>
        </w:tc>
      </w:tr>
      <w:tr>
        <w:trPr>
          <w:trHeight w:val="204"/>
        </w:trPr>
        <w:tc>
          <w:tcPr>
            <w:tcW w:w="642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Cash used in financing activities</w:t>
            </w:r>
          </w:p>
        </w:tc>
        <w:tc>
          <w:tcPr>
            <w:tcW w:w="2780" w:type="dxa"/>
            <w:vAlign w:val="bottom"/>
            <w:tcBorders>
              <w:bottom w:val="single" w:sz="8" w:color="7F7F7F"/>
            </w:tcBorders>
            <w:shd w:val="clear" w:color="auto" w:fill="CCEEFF"/>
          </w:tcPr>
          <w:p>
            <w:pPr>
              <w:spacing w:after="0"/>
              <w:rPr>
                <w:sz w:val="17"/>
                <w:szCs w:val="17"/>
                <w:color w:val="auto"/>
              </w:rPr>
            </w:pPr>
          </w:p>
        </w:tc>
        <w:tc>
          <w:tcPr>
            <w:tcW w:w="820" w:type="dxa"/>
            <w:vAlign w:val="bottom"/>
            <w:tcBorders>
              <w:bottom w:val="single" w:sz="8" w:color="7F7F7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(997)</w:t>
            </w:r>
          </w:p>
        </w:tc>
        <w:tc>
          <w:tcPr>
            <w:tcW w:w="460" w:type="dxa"/>
            <w:vAlign w:val="bottom"/>
            <w:tcBorders>
              <w:bottom w:val="single" w:sz="8" w:color="7F7F7F"/>
            </w:tcBorders>
            <w:shd w:val="clear" w:color="auto" w:fill="CCEEFF"/>
          </w:tcPr>
          <w:p>
            <w:pPr>
              <w:spacing w:after="0"/>
              <w:rPr>
                <w:sz w:val="17"/>
                <w:szCs w:val="17"/>
                <w:color w:val="auto"/>
              </w:rPr>
            </w:pPr>
          </w:p>
        </w:tc>
        <w:tc>
          <w:tcPr>
            <w:tcW w:w="7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780" w:type="dxa"/>
            <w:vAlign w:val="bottom"/>
          </w:tcPr>
          <w:p>
            <w:pPr>
              <w:jc w:val="right"/>
              <w:ind w:right="221"/>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351</w:t>
            </w:r>
          </w:p>
        </w:tc>
        <w:tc>
          <w:tcPr>
            <w:tcW w:w="4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65"/>
        </w:trPr>
        <w:tc>
          <w:tcPr>
            <w:tcW w:w="6420" w:type="dxa"/>
            <w:vAlign w:val="bottom"/>
            <w:tcBorders>
              <w:bottom w:val="single" w:sz="8" w:color="7F7F7F"/>
            </w:tcBorders>
          </w:tcPr>
          <w:p>
            <w:pPr>
              <w:spacing w:after="0"/>
              <w:rPr>
                <w:sz w:val="5"/>
                <w:szCs w:val="5"/>
                <w:color w:val="auto"/>
              </w:rPr>
            </w:pPr>
          </w:p>
        </w:tc>
        <w:tc>
          <w:tcPr>
            <w:tcW w:w="2780" w:type="dxa"/>
            <w:vAlign w:val="bottom"/>
            <w:tcBorders>
              <w:bottom w:val="single" w:sz="8" w:color="7F7F7F"/>
            </w:tcBorders>
          </w:tcPr>
          <w:p>
            <w:pPr>
              <w:spacing w:after="0"/>
              <w:rPr>
                <w:sz w:val="5"/>
                <w:szCs w:val="5"/>
                <w:color w:val="auto"/>
              </w:rPr>
            </w:pPr>
          </w:p>
        </w:tc>
        <w:tc>
          <w:tcPr>
            <w:tcW w:w="820" w:type="dxa"/>
            <w:vAlign w:val="bottom"/>
            <w:tcBorders>
              <w:bottom w:val="single" w:sz="8" w:color="7F7F7F"/>
            </w:tcBorders>
          </w:tcPr>
          <w:p>
            <w:pPr>
              <w:spacing w:after="0"/>
              <w:rPr>
                <w:sz w:val="5"/>
                <w:szCs w:val="5"/>
                <w:color w:val="auto"/>
              </w:rPr>
            </w:pPr>
          </w:p>
        </w:tc>
        <w:tc>
          <w:tcPr>
            <w:tcW w:w="46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Cash provided by operating activities increased in the first three months of 2020 compared to the same period of 2019 due primarily to higher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Increased capital investments on road infrastructure replacements drove higher cash used in investing activities in the first three months of 2020 compared to the same period in 2019.</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details cash capital investments: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20" w:type="dxa"/>
            <w:vAlign w:val="bottom"/>
            <w:tcBorders>
              <w:top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3320" w:type="dxa"/>
            <w:vAlign w:val="bottom"/>
            <w:tcBorders>
              <w:top w:val="single" w:sz="8" w:color="7F7F7F"/>
            </w:tcBorders>
          </w:tcPr>
          <w:p>
            <w:pPr>
              <w:spacing w:after="0"/>
              <w:rPr>
                <w:sz w:val="20"/>
                <w:szCs w:val="20"/>
                <w:color w:val="auto"/>
              </w:rPr>
            </w:pPr>
          </w:p>
        </w:tc>
        <w:tc>
          <w:tcPr>
            <w:tcW w:w="780" w:type="dxa"/>
            <w:vAlign w:val="bottom"/>
            <w:tcBorders>
              <w:top w:val="single" w:sz="8" w:color="7F7F7F"/>
            </w:tcBorders>
            <w:vMerge w:val="restart"/>
          </w:tcPr>
          <w:p>
            <w:pPr>
              <w:jc w:val="right"/>
              <w:ind w:right="21"/>
              <w:spacing w:after="0"/>
              <w:rPr>
                <w:sz w:val="20"/>
                <w:szCs w:val="20"/>
                <w:color w:val="auto"/>
              </w:rPr>
            </w:pPr>
            <w:r>
              <w:rPr>
                <w:rFonts w:ascii="Arial" w:cs="Arial" w:eastAsia="Arial" w:hAnsi="Arial"/>
                <w:sz w:val="16"/>
                <w:szCs w:val="16"/>
                <w:b w:val="1"/>
                <w:bCs w:val="1"/>
                <w:i w:val="1"/>
                <w:iCs w:val="1"/>
                <w:color w:val="auto"/>
              </w:rPr>
              <w:t>2020</w:t>
            </w:r>
          </w:p>
        </w:tc>
        <w:tc>
          <w:tcPr>
            <w:tcW w:w="540" w:type="dxa"/>
            <w:vAlign w:val="bottom"/>
            <w:tcBorders>
              <w:top w:val="single" w:sz="8" w:color="7F7F7F"/>
            </w:tcBorders>
          </w:tcPr>
          <w:p>
            <w:pPr>
              <w:spacing w:after="0"/>
              <w:rPr>
                <w:sz w:val="20"/>
                <w:szCs w:val="20"/>
                <w:color w:val="auto"/>
              </w:rPr>
            </w:pPr>
          </w:p>
        </w:tc>
        <w:tc>
          <w:tcPr>
            <w:tcW w:w="680" w:type="dxa"/>
            <w:vAlign w:val="bottom"/>
            <w:tcBorders>
              <w:top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2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3320" w:type="dxa"/>
            <w:vAlign w:val="bottom"/>
            <w:tcBorders>
              <w:bottom w:val="single" w:sz="8" w:color="7F7F7F"/>
            </w:tcBorders>
          </w:tcPr>
          <w:p>
            <w:pPr>
              <w:spacing w:after="0"/>
              <w:rPr>
                <w:sz w:val="16"/>
                <w:szCs w:val="16"/>
                <w:color w:val="auto"/>
              </w:rPr>
            </w:pPr>
          </w:p>
        </w:tc>
        <w:tc>
          <w:tcPr>
            <w:tcW w:w="780" w:type="dxa"/>
            <w:vAlign w:val="bottom"/>
            <w:tcBorders>
              <w:bottom w:val="single" w:sz="8" w:color="7F7F7F"/>
            </w:tcBorders>
            <w:vMerge w:val="continue"/>
          </w:tcPr>
          <w:p>
            <w:pPr>
              <w:spacing w:after="0"/>
              <w:rPr>
                <w:sz w:val="16"/>
                <w:szCs w:val="16"/>
                <w:color w:val="auto"/>
              </w:rPr>
            </w:pPr>
          </w:p>
        </w:tc>
        <w:tc>
          <w:tcPr>
            <w:tcW w:w="540" w:type="dxa"/>
            <w:vAlign w:val="bottom"/>
            <w:tcBorders>
              <w:bottom w:val="single" w:sz="8" w:color="7F7F7F"/>
            </w:tcBorders>
          </w:tcPr>
          <w:p>
            <w:pPr>
              <w:spacing w:after="0"/>
              <w:rPr>
                <w:sz w:val="16"/>
                <w:szCs w:val="16"/>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c>
          <w:tcPr>
            <w:tcW w:w="0" w:type="dxa"/>
            <w:vAlign w:val="bottom"/>
          </w:tcPr>
          <w:p>
            <w:pPr>
              <w:spacing w:after="0"/>
              <w:rPr>
                <w:sz w:val="1"/>
                <w:szCs w:val="1"/>
                <w:color w:val="auto"/>
              </w:rPr>
            </w:pPr>
          </w:p>
        </w:tc>
      </w:tr>
      <w:tr>
        <w:trPr>
          <w:trHeight w:val="197"/>
        </w:trPr>
        <w:tc>
          <w:tcPr>
            <w:tcW w:w="5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Rail and other track material</w:t>
            </w:r>
          </w:p>
        </w:tc>
        <w:tc>
          <w:tcPr>
            <w:tcW w:w="332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141</w:t>
            </w:r>
          </w:p>
        </w:tc>
        <w:tc>
          <w:tcPr>
            <w:tcW w:w="5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9"/>
        </w:trPr>
        <w:tc>
          <w:tcPr>
            <w:tcW w:w="5920" w:type="dxa"/>
            <w:vAlign w:val="bottom"/>
          </w:tcPr>
          <w:p>
            <w:pPr>
              <w:ind w:left="40"/>
              <w:spacing w:after="0"/>
              <w:rPr>
                <w:sz w:val="20"/>
                <w:szCs w:val="20"/>
                <w:color w:val="auto"/>
              </w:rPr>
            </w:pPr>
            <w:r>
              <w:rPr>
                <w:rFonts w:ascii="Arial" w:cs="Arial" w:eastAsia="Arial" w:hAnsi="Arial"/>
                <w:sz w:val="16"/>
                <w:szCs w:val="16"/>
                <w:color w:val="auto"/>
              </w:rPr>
              <w:t>Ties</w:t>
            </w:r>
          </w:p>
        </w:tc>
        <w:tc>
          <w:tcPr>
            <w:tcW w:w="3320" w:type="dxa"/>
            <w:vAlign w:val="bottom"/>
          </w:tcPr>
          <w:p>
            <w:pPr>
              <w:spacing w:after="0"/>
              <w:rPr>
                <w:sz w:val="18"/>
                <w:szCs w:val="18"/>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b w:val="1"/>
                <w:bCs w:val="1"/>
                <w:color w:val="auto"/>
              </w:rPr>
              <w:t>135</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1"/>
        </w:trPr>
        <w:tc>
          <w:tcPr>
            <w:tcW w:w="5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Ballast</w:t>
            </w:r>
          </w:p>
        </w:tc>
        <w:tc>
          <w:tcPr>
            <w:tcW w:w="33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61</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3"/>
        </w:trPr>
        <w:tc>
          <w:tcPr>
            <w:tcW w:w="592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Other [a]</w:t>
            </w:r>
          </w:p>
        </w:tc>
        <w:tc>
          <w:tcPr>
            <w:tcW w:w="3320" w:type="dxa"/>
            <w:vAlign w:val="bottom"/>
            <w:tcBorders>
              <w:bottom w:val="single" w:sz="8" w:color="7F7F7F"/>
            </w:tcBorders>
          </w:tcPr>
          <w:p>
            <w:pPr>
              <w:spacing w:after="0"/>
              <w:rPr>
                <w:sz w:val="17"/>
                <w:szCs w:val="17"/>
                <w:color w:val="auto"/>
              </w:rPr>
            </w:pPr>
          </w:p>
        </w:tc>
        <w:tc>
          <w:tcPr>
            <w:tcW w:w="780" w:type="dxa"/>
            <w:vAlign w:val="bottom"/>
            <w:tcBorders>
              <w:bottom w:val="single" w:sz="8" w:color="7F7F7F"/>
            </w:tcBorders>
          </w:tcPr>
          <w:p>
            <w:pPr>
              <w:jc w:val="right"/>
              <w:ind w:right="61"/>
              <w:spacing w:after="0"/>
              <w:rPr>
                <w:sz w:val="20"/>
                <w:szCs w:val="20"/>
                <w:color w:val="auto"/>
              </w:rPr>
            </w:pPr>
            <w:r>
              <w:rPr>
                <w:rFonts w:ascii="Arial" w:cs="Arial" w:eastAsia="Arial" w:hAnsi="Arial"/>
                <w:sz w:val="16"/>
                <w:szCs w:val="16"/>
                <w:b w:val="1"/>
                <w:bCs w:val="1"/>
                <w:color w:val="auto"/>
              </w:rPr>
              <w:t>143</w:t>
            </w:r>
          </w:p>
        </w:tc>
        <w:tc>
          <w:tcPr>
            <w:tcW w:w="54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00"/>
        </w:trPr>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road infrastructure replacements</w:t>
            </w:r>
          </w:p>
        </w:tc>
        <w:tc>
          <w:tcPr>
            <w:tcW w:w="3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480</w:t>
            </w:r>
          </w:p>
        </w:tc>
        <w:tc>
          <w:tcPr>
            <w:tcW w:w="5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197"/>
        </w:trPr>
        <w:tc>
          <w:tcPr>
            <w:tcW w:w="5920" w:type="dxa"/>
            <w:vAlign w:val="bottom"/>
            <w:tcBorders>
              <w:top w:val="single" w:sz="8" w:color="7F7F7F"/>
            </w:tcBorders>
          </w:tcPr>
          <w:p>
            <w:pPr>
              <w:ind w:left="40"/>
              <w:spacing w:after="0"/>
              <w:rPr>
                <w:sz w:val="20"/>
                <w:szCs w:val="20"/>
                <w:color w:val="auto"/>
              </w:rPr>
            </w:pPr>
            <w:r>
              <w:rPr>
                <w:rFonts w:ascii="Arial" w:cs="Arial" w:eastAsia="Arial" w:hAnsi="Arial"/>
                <w:sz w:val="16"/>
                <w:szCs w:val="16"/>
                <w:color w:val="auto"/>
              </w:rPr>
              <w:t>Line expansion and other capacity projects</w:t>
            </w:r>
          </w:p>
        </w:tc>
        <w:tc>
          <w:tcPr>
            <w:tcW w:w="3320" w:type="dxa"/>
            <w:vAlign w:val="bottom"/>
            <w:tcBorders>
              <w:top w:val="single" w:sz="8" w:color="7F7F7F"/>
            </w:tcBorders>
          </w:tcPr>
          <w:p>
            <w:pPr>
              <w:spacing w:after="0"/>
              <w:rPr>
                <w:sz w:val="17"/>
                <w:szCs w:val="17"/>
                <w:color w:val="auto"/>
              </w:rPr>
            </w:pPr>
          </w:p>
        </w:tc>
        <w:tc>
          <w:tcPr>
            <w:tcW w:w="780" w:type="dxa"/>
            <w:vAlign w:val="bottom"/>
            <w:tcBorders>
              <w:top w:val="single" w:sz="8" w:color="7F7F7F"/>
            </w:tcBorders>
          </w:tcPr>
          <w:p>
            <w:pPr>
              <w:jc w:val="right"/>
              <w:ind w:right="61"/>
              <w:spacing w:after="0"/>
              <w:rPr>
                <w:sz w:val="20"/>
                <w:szCs w:val="20"/>
                <w:color w:val="auto"/>
              </w:rPr>
            </w:pPr>
            <w:r>
              <w:rPr>
                <w:rFonts w:ascii="Arial" w:cs="Arial" w:eastAsia="Arial" w:hAnsi="Arial"/>
                <w:sz w:val="16"/>
                <w:szCs w:val="16"/>
                <w:b w:val="1"/>
                <w:bCs w:val="1"/>
                <w:color w:val="auto"/>
              </w:rPr>
              <w:t>81</w:t>
            </w:r>
          </w:p>
        </w:tc>
        <w:tc>
          <w:tcPr>
            <w:tcW w:w="540" w:type="dxa"/>
            <w:vAlign w:val="bottom"/>
            <w:tcBorders>
              <w:top w:val="single" w:sz="8" w:color="7F7F7F"/>
            </w:tcBorders>
          </w:tcPr>
          <w:p>
            <w:pPr>
              <w:spacing w:after="0"/>
              <w:rPr>
                <w:sz w:val="17"/>
                <w:szCs w:val="17"/>
                <w:color w:val="auto"/>
              </w:rPr>
            </w:pPr>
          </w:p>
        </w:tc>
        <w:tc>
          <w:tcPr>
            <w:tcW w:w="68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592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Commercial facilities</w:t>
            </w:r>
          </w:p>
        </w:tc>
        <w:tc>
          <w:tcPr>
            <w:tcW w:w="3320" w:type="dxa"/>
            <w:vAlign w:val="bottom"/>
            <w:tcBorders>
              <w:bottom w:val="single" w:sz="8" w:color="7F7F7F"/>
            </w:tcBorders>
            <w:shd w:val="clear" w:color="auto" w:fill="CCEEFF"/>
          </w:tcPr>
          <w:p>
            <w:pPr>
              <w:spacing w:after="0"/>
              <w:rPr>
                <w:sz w:val="17"/>
                <w:szCs w:val="17"/>
                <w:color w:val="auto"/>
              </w:rPr>
            </w:pPr>
          </w:p>
        </w:tc>
        <w:tc>
          <w:tcPr>
            <w:tcW w:w="780" w:type="dxa"/>
            <w:vAlign w:val="bottom"/>
            <w:tcBorders>
              <w:bottom w:val="single" w:sz="8" w:color="7F7F7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28</w:t>
            </w:r>
          </w:p>
        </w:tc>
        <w:tc>
          <w:tcPr>
            <w:tcW w:w="540" w:type="dxa"/>
            <w:vAlign w:val="bottom"/>
            <w:tcBorders>
              <w:bottom w:val="single" w:sz="8" w:color="7F7F7F"/>
            </w:tcBorders>
            <w:shd w:val="clear" w:color="auto" w:fill="CCEEFF"/>
          </w:tcPr>
          <w:p>
            <w:pPr>
              <w:spacing w:after="0"/>
              <w:rPr>
                <w:sz w:val="17"/>
                <w:szCs w:val="17"/>
                <w:color w:val="auto"/>
              </w:rPr>
            </w:pP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6"/>
                <w:szCs w:val="16"/>
                <w:color w:val="auto"/>
              </w:rPr>
              <w:t>Total capacity and commercial facilities</w:t>
            </w:r>
          </w:p>
        </w:tc>
        <w:tc>
          <w:tcPr>
            <w:tcW w:w="3320" w:type="dxa"/>
            <w:vAlign w:val="bottom"/>
          </w:tcPr>
          <w:p>
            <w:pPr>
              <w:spacing w:after="0"/>
              <w:rPr>
                <w:sz w:val="21"/>
                <w:szCs w:val="21"/>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b w:val="1"/>
                <w:bCs w:val="1"/>
                <w:color w:val="auto"/>
              </w:rPr>
              <w:t>109</w:t>
            </w:r>
          </w:p>
        </w:tc>
        <w:tc>
          <w:tcPr>
            <w:tcW w:w="5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52"/>
        </w:trPr>
        <w:tc>
          <w:tcPr>
            <w:tcW w:w="5920" w:type="dxa"/>
            <w:vAlign w:val="bottom"/>
            <w:tcBorders>
              <w:bottom w:val="single" w:sz="8" w:color="7F7F7F"/>
            </w:tcBorders>
          </w:tcPr>
          <w:p>
            <w:pPr>
              <w:spacing w:after="0"/>
              <w:rPr>
                <w:sz w:val="4"/>
                <w:szCs w:val="4"/>
                <w:color w:val="auto"/>
              </w:rPr>
            </w:pPr>
          </w:p>
        </w:tc>
        <w:tc>
          <w:tcPr>
            <w:tcW w:w="332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5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5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Locomotives and freight cars [b]</w:t>
            </w:r>
          </w:p>
        </w:tc>
        <w:tc>
          <w:tcPr>
            <w:tcW w:w="3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103</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9"/>
        </w:trPr>
        <w:tc>
          <w:tcPr>
            <w:tcW w:w="5920" w:type="dxa"/>
            <w:vAlign w:val="bottom"/>
          </w:tcPr>
          <w:p>
            <w:pPr>
              <w:ind w:left="40"/>
              <w:spacing w:after="0"/>
              <w:rPr>
                <w:sz w:val="20"/>
                <w:szCs w:val="20"/>
                <w:color w:val="auto"/>
              </w:rPr>
            </w:pPr>
            <w:r>
              <w:rPr>
                <w:rFonts w:ascii="Arial" w:cs="Arial" w:eastAsia="Arial" w:hAnsi="Arial"/>
                <w:sz w:val="16"/>
                <w:szCs w:val="16"/>
                <w:color w:val="auto"/>
              </w:rPr>
              <w:t>Positive train control</w:t>
            </w:r>
          </w:p>
        </w:tc>
        <w:tc>
          <w:tcPr>
            <w:tcW w:w="3320" w:type="dxa"/>
            <w:vAlign w:val="bottom"/>
          </w:tcPr>
          <w:p>
            <w:pPr>
              <w:spacing w:after="0"/>
              <w:rPr>
                <w:sz w:val="18"/>
                <w:szCs w:val="18"/>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b w:val="1"/>
                <w:bCs w:val="1"/>
                <w:color w:val="auto"/>
              </w:rPr>
              <w:t>18</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4"/>
        </w:trPr>
        <w:tc>
          <w:tcPr>
            <w:tcW w:w="592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Technology and other</w:t>
            </w:r>
          </w:p>
        </w:tc>
        <w:tc>
          <w:tcPr>
            <w:tcW w:w="3320" w:type="dxa"/>
            <w:vAlign w:val="bottom"/>
            <w:tcBorders>
              <w:bottom w:val="single" w:sz="8" w:color="7F7F7F"/>
            </w:tcBorders>
            <w:shd w:val="clear" w:color="auto" w:fill="CCEEFF"/>
          </w:tcPr>
          <w:p>
            <w:pPr>
              <w:spacing w:after="0"/>
              <w:rPr>
                <w:sz w:val="17"/>
                <w:szCs w:val="17"/>
                <w:color w:val="auto"/>
              </w:rPr>
            </w:pPr>
          </w:p>
        </w:tc>
        <w:tc>
          <w:tcPr>
            <w:tcW w:w="780" w:type="dxa"/>
            <w:vAlign w:val="bottom"/>
            <w:tcBorders>
              <w:bottom w:val="single" w:sz="8" w:color="7F7F7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97</w:t>
            </w:r>
          </w:p>
        </w:tc>
        <w:tc>
          <w:tcPr>
            <w:tcW w:w="540" w:type="dxa"/>
            <w:vAlign w:val="bottom"/>
            <w:tcBorders>
              <w:bottom w:val="single" w:sz="8" w:color="7F7F7F"/>
            </w:tcBorders>
            <w:shd w:val="clear" w:color="auto" w:fill="CCEEFF"/>
          </w:tcPr>
          <w:p>
            <w:pPr>
              <w:spacing w:after="0"/>
              <w:rPr>
                <w:sz w:val="17"/>
                <w:szCs w:val="17"/>
                <w:color w:val="auto"/>
              </w:rPr>
            </w:pPr>
          </w:p>
        </w:tc>
        <w:tc>
          <w:tcPr>
            <w:tcW w:w="68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Arial" w:cs="Arial" w:eastAsia="Arial" w:hAnsi="Arial"/>
                <w:sz w:val="16"/>
                <w:szCs w:val="16"/>
                <w:color w:val="auto"/>
              </w:rPr>
              <w:t>Total cash capital investments</w:t>
            </w:r>
          </w:p>
        </w:tc>
        <w:tc>
          <w:tcPr>
            <w:tcW w:w="3320" w:type="dxa"/>
            <w:vAlign w:val="bottom"/>
          </w:tcPr>
          <w:p>
            <w:pPr>
              <w:jc w:val="right"/>
              <w:ind w:right="261"/>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61"/>
              <w:spacing w:after="0"/>
              <w:rPr>
                <w:sz w:val="20"/>
                <w:szCs w:val="20"/>
                <w:color w:val="auto"/>
              </w:rPr>
            </w:pPr>
            <w:r>
              <w:rPr>
                <w:rFonts w:ascii="Arial" w:cs="Arial" w:eastAsia="Arial" w:hAnsi="Arial"/>
                <w:sz w:val="16"/>
                <w:szCs w:val="16"/>
                <w:b w:val="1"/>
                <w:bCs w:val="1"/>
                <w:color w:val="auto"/>
              </w:rPr>
              <w:t>807</w:t>
            </w:r>
          </w:p>
        </w:tc>
        <w:tc>
          <w:tcPr>
            <w:tcW w:w="54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65"/>
        </w:trPr>
        <w:tc>
          <w:tcPr>
            <w:tcW w:w="5920" w:type="dxa"/>
            <w:vAlign w:val="bottom"/>
            <w:tcBorders>
              <w:bottom w:val="single" w:sz="8" w:color="7F7F7F"/>
            </w:tcBorders>
          </w:tcPr>
          <w:p>
            <w:pPr>
              <w:spacing w:after="0"/>
              <w:rPr>
                <w:sz w:val="5"/>
                <w:szCs w:val="5"/>
                <w:color w:val="auto"/>
              </w:rPr>
            </w:pPr>
          </w:p>
        </w:tc>
        <w:tc>
          <w:tcPr>
            <w:tcW w:w="3320" w:type="dxa"/>
            <w:vAlign w:val="bottom"/>
            <w:tcBorders>
              <w:bottom w:val="single" w:sz="8" w:color="7F7F7F"/>
            </w:tcBorders>
          </w:tcPr>
          <w:p>
            <w:pPr>
              <w:spacing w:after="0"/>
              <w:rPr>
                <w:sz w:val="5"/>
                <w:szCs w:val="5"/>
                <w:color w:val="auto"/>
              </w:rPr>
            </w:pPr>
          </w:p>
        </w:tc>
        <w:tc>
          <w:tcPr>
            <w:tcW w:w="780" w:type="dxa"/>
            <w:vAlign w:val="bottom"/>
            <w:tcBorders>
              <w:bottom w:val="single" w:sz="8" w:color="7F7F7F"/>
            </w:tcBorders>
          </w:tcPr>
          <w:p>
            <w:pPr>
              <w:spacing w:after="0"/>
              <w:rPr>
                <w:sz w:val="5"/>
                <w:szCs w:val="5"/>
                <w:color w:val="auto"/>
              </w:rPr>
            </w:pPr>
          </w:p>
        </w:tc>
        <w:tc>
          <w:tcPr>
            <w:tcW w:w="540" w:type="dxa"/>
            <w:vAlign w:val="bottom"/>
            <w:tcBorders>
              <w:bottom w:val="single" w:sz="8" w:color="7F7F7F"/>
            </w:tcBorders>
          </w:tcPr>
          <w:p>
            <w:pPr>
              <w:spacing w:after="0"/>
              <w:rPr>
                <w:sz w:val="5"/>
                <w:szCs w:val="5"/>
                <w:color w:val="auto"/>
              </w:rPr>
            </w:pPr>
          </w:p>
        </w:tc>
        <w:tc>
          <w:tcPr>
            <w:tcW w:w="6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320" w:hanging="315"/>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Other includes bridges and tunnels, signals, other road assets, and road work equipment.</w:t>
      </w:r>
    </w:p>
    <w:p>
      <w:pPr>
        <w:ind w:left="320" w:hanging="315"/>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Locomotives and freight cars include lease buyouts of $14 million in 2020 and $30 million in 2019.</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Plan</w:t>
      </w:r>
    </w:p>
    <w:p>
      <w:pPr>
        <w:spacing w:after="0" w:line="16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estimate our 2020 capital expenditures to be approximately $2.9 billion, a reduction of $150 to $200 million from our previously announced capital plan as a result of economic uncertainties associated with the COVID-19 pandemic and the impact to our business. Further revisions may occur if business conditions or the regulatory environment affect our ability to generate sufficient returns on these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Activities</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Cash used in financing activities decreased $408 million in the first three months of 2020 compared to the same period of 2019, driven by decreased share repurchases.</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See Note 14 of the Condensed Consolidated Financial Statements for a description of all our outstanding financing arrangements and significant new borrowings and Note 18 of the Condensed Consolidated Financial Statements for a description of our share repurchase programs.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17"/>
          <w:szCs w:val="17"/>
          <w:color w:val="auto"/>
        </w:rPr>
        <w:t>– Free cash flow is defined as cash provided by operating activities less cash used in investing activities and dividends paid.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Cash flow conversion rate is cash from operations less cash used for capital investments as a ratio of net income.</w:t>
      </w:r>
    </w:p>
    <w:p>
      <w:pPr>
        <w:spacing w:after="0" w:line="17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Free cash flow and cash flow conversion rate are not considered financial measures under GAAP by SEC Regulation G and Item 10 of SEC Regulation S-K and may not be defined and calculated by other companies in the same manner. We believe free cash flow and cash flow conversion rate are important to management and investors in evaluating our financial performance and measures our ability to generate cash without additional external financing. Free cash flow and cash flow conversion rate should be considered in addition to, rather than as a substitute for, cash provided by operating activities.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cash provided by operating activities (GAAP measure) to free cash flow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36130"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2476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60" w:type="dxa"/>
            <w:vAlign w:val="bottom"/>
          </w:tcPr>
          <w:p>
            <w:pPr>
              <w:ind w:left="40"/>
              <w:spacing w:after="0"/>
              <w:rPr>
                <w:sz w:val="20"/>
                <w:szCs w:val="20"/>
                <w:color w:val="auto"/>
              </w:rPr>
            </w:pPr>
            <w:r>
              <w:rPr>
                <w:rFonts w:ascii="Arial" w:cs="Arial" w:eastAsia="Arial" w:hAnsi="Arial"/>
                <w:sz w:val="16"/>
                <w:szCs w:val="16"/>
                <w:i w:val="1"/>
                <w:iCs w:val="1"/>
                <w:color w:val="auto"/>
              </w:rPr>
              <w:t>Millions,</w:t>
            </w:r>
          </w:p>
        </w:tc>
        <w:tc>
          <w:tcPr>
            <w:tcW w:w="3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566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3280" w:type="dxa"/>
            <w:vAlign w:val="bottom"/>
            <w:tcBorders>
              <w:bottom w:val="single" w:sz="8" w:color="7F7F7F"/>
            </w:tcBorders>
          </w:tcPr>
          <w:p>
            <w:pPr>
              <w:spacing w:after="0"/>
              <w:rPr>
                <w:sz w:val="17"/>
                <w:szCs w:val="17"/>
                <w:color w:val="auto"/>
              </w:rPr>
            </w:pPr>
          </w:p>
        </w:tc>
        <w:tc>
          <w:tcPr>
            <w:tcW w:w="820" w:type="dxa"/>
            <w:vAlign w:val="bottom"/>
            <w:tcBorders>
              <w:bottom w:val="single" w:sz="8" w:color="7F7F7F"/>
            </w:tcBorders>
          </w:tcPr>
          <w:p>
            <w:pPr>
              <w:jc w:val="right"/>
              <w:ind w:right="21"/>
              <w:spacing w:after="0"/>
              <w:rPr>
                <w:sz w:val="20"/>
                <w:szCs w:val="20"/>
                <w:color w:val="auto"/>
              </w:rPr>
            </w:pPr>
            <w:r>
              <w:rPr>
                <w:rFonts w:ascii="Arial" w:cs="Arial" w:eastAsia="Arial" w:hAnsi="Arial"/>
                <w:sz w:val="16"/>
                <w:szCs w:val="16"/>
                <w:b w:val="1"/>
                <w:bCs w:val="1"/>
                <w:i w:val="1"/>
                <w:iCs w:val="1"/>
                <w:color w:val="auto"/>
              </w:rPr>
              <w:t>2020</w:t>
            </w:r>
          </w:p>
        </w:tc>
        <w:tc>
          <w:tcPr>
            <w:tcW w:w="480" w:type="dxa"/>
            <w:vAlign w:val="bottom"/>
            <w:tcBorders>
              <w:bottom w:val="single" w:sz="8" w:color="7F7F7F"/>
            </w:tcBorders>
          </w:tcPr>
          <w:p>
            <w:pPr>
              <w:spacing w:after="0"/>
              <w:rPr>
                <w:sz w:val="17"/>
                <w:szCs w:val="17"/>
                <w:color w:val="auto"/>
              </w:rPr>
            </w:pPr>
          </w:p>
        </w:tc>
        <w:tc>
          <w:tcPr>
            <w:tcW w:w="1000" w:type="dxa"/>
            <w:vAlign w:val="bottom"/>
            <w:tcBorders>
              <w:bottom w:val="single" w:sz="8" w:color="7F7F7F"/>
            </w:tcBorders>
          </w:tcPr>
          <w:p>
            <w:pPr>
              <w:jc w:val="right"/>
              <w:ind w:right="201"/>
              <w:spacing w:after="0"/>
              <w:rPr>
                <w:sz w:val="20"/>
                <w:szCs w:val="20"/>
                <w:color w:val="auto"/>
              </w:rPr>
            </w:pPr>
            <w:r>
              <w:rPr>
                <w:rFonts w:ascii="Arial" w:cs="Arial" w:eastAsia="Arial" w:hAnsi="Arial"/>
                <w:sz w:val="16"/>
                <w:szCs w:val="16"/>
                <w:i w:val="1"/>
                <w:iCs w:val="1"/>
                <w:color w:val="auto"/>
              </w:rPr>
              <w:t>2019</w:t>
            </w:r>
          </w:p>
        </w:tc>
      </w:tr>
      <w:tr>
        <w:trPr>
          <w:trHeight w:val="197"/>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280" w:type="dxa"/>
            <w:vAlign w:val="bottom"/>
            <w:shd w:val="clear" w:color="auto" w:fill="CCEEFF"/>
          </w:tcPr>
          <w:p>
            <w:pPr>
              <w:jc w:val="right"/>
              <w:ind w:right="221"/>
              <w:spacing w:after="0"/>
              <w:rPr>
                <w:sz w:val="20"/>
                <w:szCs w:val="20"/>
                <w:color w:val="auto"/>
              </w:rPr>
            </w:pPr>
            <w:r>
              <w:rPr>
                <w:rFonts w:ascii="Arial" w:cs="Arial" w:eastAsia="Arial" w:hAnsi="Arial"/>
                <w:sz w:val="16"/>
                <w:szCs w:val="16"/>
                <w:b w:val="1"/>
                <w:bCs w:val="1"/>
                <w:color w:val="auto"/>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2,155</w:t>
            </w:r>
          </w:p>
        </w:tc>
        <w:tc>
          <w:tcPr>
            <w:tcW w:w="4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1,959</w:t>
            </w:r>
          </w:p>
        </w:tc>
      </w:tr>
      <w:tr>
        <w:trPr>
          <w:trHeight w:val="209"/>
        </w:trPr>
        <w:tc>
          <w:tcPr>
            <w:tcW w:w="566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280" w:type="dxa"/>
            <w:vAlign w:val="bottom"/>
          </w:tcPr>
          <w:p>
            <w:pPr>
              <w:spacing w:after="0"/>
              <w:rPr>
                <w:sz w:val="18"/>
                <w:szCs w:val="18"/>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b w:val="1"/>
                <w:bCs w:val="1"/>
                <w:color w:val="auto"/>
              </w:rPr>
              <w:t>(807)</w:t>
            </w:r>
          </w:p>
        </w:tc>
        <w:tc>
          <w:tcPr>
            <w:tcW w:w="480" w:type="dxa"/>
            <w:vAlign w:val="bottom"/>
          </w:tcPr>
          <w:p>
            <w:pPr>
              <w:spacing w:after="0"/>
              <w:rPr>
                <w:sz w:val="18"/>
                <w:szCs w:val="18"/>
                <w:color w:val="auto"/>
              </w:rPr>
            </w:pP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(784)</w:t>
            </w:r>
          </w:p>
        </w:tc>
      </w:tr>
      <w:tr>
        <w:trPr>
          <w:trHeight w:val="217"/>
        </w:trPr>
        <w:tc>
          <w:tcPr>
            <w:tcW w:w="5660" w:type="dxa"/>
            <w:vAlign w:val="bottom"/>
            <w:tcBorders>
              <w:bottom w:val="single" w:sz="8" w:color="7F7F7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3280" w:type="dxa"/>
            <w:vAlign w:val="bottom"/>
            <w:tcBorders>
              <w:bottom w:val="single" w:sz="8" w:color="7F7F7F"/>
            </w:tcBorders>
            <w:shd w:val="clear" w:color="auto" w:fill="CCEEFF"/>
          </w:tcPr>
          <w:p>
            <w:pPr>
              <w:spacing w:after="0"/>
              <w:rPr>
                <w:sz w:val="18"/>
                <w:szCs w:val="18"/>
                <w:color w:val="auto"/>
              </w:rPr>
            </w:pPr>
          </w:p>
        </w:tc>
        <w:tc>
          <w:tcPr>
            <w:tcW w:w="820" w:type="dxa"/>
            <w:vAlign w:val="bottom"/>
            <w:tcBorders>
              <w:bottom w:val="single" w:sz="8" w:color="7F7F7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(660)</w:t>
            </w:r>
          </w:p>
        </w:tc>
        <w:tc>
          <w:tcPr>
            <w:tcW w:w="480" w:type="dxa"/>
            <w:vAlign w:val="bottom"/>
            <w:tcBorders>
              <w:bottom w:val="single" w:sz="8" w:color="7F7F7F"/>
            </w:tcBorders>
            <w:shd w:val="clear" w:color="auto" w:fill="CCEEFF"/>
          </w:tcPr>
          <w:p>
            <w:pPr>
              <w:spacing w:after="0"/>
              <w:rPr>
                <w:sz w:val="18"/>
                <w:szCs w:val="18"/>
                <w:color w:val="auto"/>
              </w:rPr>
            </w:pPr>
          </w:p>
        </w:tc>
        <w:tc>
          <w:tcPr>
            <w:tcW w:w="1000" w:type="dxa"/>
            <w:vAlign w:val="bottom"/>
            <w:tcBorders>
              <w:bottom w:val="single" w:sz="8" w:color="7F7F7F"/>
            </w:tcBorders>
            <w:shd w:val="clear" w:color="auto" w:fill="CCEEFF"/>
          </w:tcPr>
          <w:p>
            <w:pPr>
              <w:jc w:val="right"/>
              <w:ind w:right="201"/>
              <w:spacing w:after="0"/>
              <w:rPr>
                <w:sz w:val="20"/>
                <w:szCs w:val="20"/>
                <w:color w:val="auto"/>
              </w:rPr>
            </w:pPr>
            <w:r>
              <w:rPr>
                <w:rFonts w:ascii="Arial" w:cs="Arial" w:eastAsia="Arial" w:hAnsi="Arial"/>
                <w:sz w:val="16"/>
                <w:szCs w:val="16"/>
                <w:color w:val="auto"/>
              </w:rPr>
              <w:t>(626)</w:t>
            </w:r>
          </w:p>
        </w:tc>
      </w:tr>
      <w:tr>
        <w:trPr>
          <w:trHeight w:val="243"/>
        </w:trPr>
        <w:tc>
          <w:tcPr>
            <w:tcW w:w="5660" w:type="dxa"/>
            <w:vAlign w:val="bottom"/>
          </w:tcPr>
          <w:p>
            <w:pPr>
              <w:ind w:left="40"/>
              <w:spacing w:after="0"/>
              <w:rPr>
                <w:sz w:val="20"/>
                <w:szCs w:val="20"/>
                <w:color w:val="auto"/>
              </w:rPr>
            </w:pPr>
            <w:r>
              <w:rPr>
                <w:rFonts w:ascii="Arial" w:cs="Arial" w:eastAsia="Arial" w:hAnsi="Arial"/>
                <w:sz w:val="16"/>
                <w:szCs w:val="16"/>
                <w:color w:val="auto"/>
              </w:rPr>
              <w:t>Free cash flow</w:t>
            </w:r>
          </w:p>
        </w:tc>
        <w:tc>
          <w:tcPr>
            <w:tcW w:w="3280" w:type="dxa"/>
            <w:vAlign w:val="bottom"/>
          </w:tcPr>
          <w:p>
            <w:pPr>
              <w:jc w:val="right"/>
              <w:ind w:right="221"/>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688</w:t>
            </w:r>
          </w:p>
        </w:tc>
        <w:tc>
          <w:tcPr>
            <w:tcW w:w="48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41"/>
              <w:spacing w:after="0"/>
              <w:rPr>
                <w:sz w:val="20"/>
                <w:szCs w:val="20"/>
                <w:color w:val="auto"/>
              </w:rPr>
            </w:pPr>
            <w:r>
              <w:rPr>
                <w:rFonts w:ascii="Arial" w:cs="Arial" w:eastAsia="Arial" w:hAnsi="Arial"/>
                <w:sz w:val="16"/>
                <w:szCs w:val="16"/>
                <w:color w:val="auto"/>
              </w:rPr>
              <w:t>549</w:t>
            </w:r>
          </w:p>
        </w:tc>
      </w:tr>
      <w:tr>
        <w:trPr>
          <w:trHeight w:val="65"/>
        </w:trPr>
        <w:tc>
          <w:tcPr>
            <w:tcW w:w="5660" w:type="dxa"/>
            <w:vAlign w:val="bottom"/>
            <w:tcBorders>
              <w:bottom w:val="single" w:sz="8" w:color="7F7F7F"/>
            </w:tcBorders>
          </w:tcPr>
          <w:p>
            <w:pPr>
              <w:spacing w:after="0"/>
              <w:rPr>
                <w:sz w:val="5"/>
                <w:szCs w:val="5"/>
                <w:color w:val="auto"/>
              </w:rPr>
            </w:pPr>
          </w:p>
        </w:tc>
        <w:tc>
          <w:tcPr>
            <w:tcW w:w="3280" w:type="dxa"/>
            <w:vAlign w:val="bottom"/>
            <w:tcBorders>
              <w:bottom w:val="single" w:sz="8" w:color="7F7F7F"/>
            </w:tcBorders>
          </w:tcPr>
          <w:p>
            <w:pPr>
              <w:spacing w:after="0"/>
              <w:rPr>
                <w:sz w:val="5"/>
                <w:szCs w:val="5"/>
                <w:color w:val="auto"/>
              </w:rPr>
            </w:pPr>
          </w:p>
        </w:tc>
        <w:tc>
          <w:tcPr>
            <w:tcW w:w="820" w:type="dxa"/>
            <w:vAlign w:val="bottom"/>
            <w:tcBorders>
              <w:bottom w:val="single" w:sz="8" w:color="7F7F7F"/>
            </w:tcBorders>
          </w:tcPr>
          <w:p>
            <w:pPr>
              <w:spacing w:after="0"/>
              <w:rPr>
                <w:sz w:val="5"/>
                <w:szCs w:val="5"/>
                <w:color w:val="auto"/>
              </w:rPr>
            </w:pPr>
          </w:p>
        </w:tc>
        <w:tc>
          <w:tcPr>
            <w:tcW w:w="480" w:type="dxa"/>
            <w:vAlign w:val="bottom"/>
            <w:tcBorders>
              <w:bottom w:val="single" w:sz="8" w:color="7F7F7F"/>
            </w:tcBorders>
          </w:tcPr>
          <w:p>
            <w:pPr>
              <w:spacing w:after="0"/>
              <w:rPr>
                <w:sz w:val="5"/>
                <w:szCs w:val="5"/>
                <w:color w:val="auto"/>
              </w:rPr>
            </w:pPr>
          </w:p>
        </w:tc>
        <w:tc>
          <w:tcPr>
            <w:tcW w:w="1000" w:type="dxa"/>
            <w:vAlign w:val="bottom"/>
            <w:tcBorders>
              <w:bottom w:val="single" w:sz="8" w:color="7F7F7F"/>
            </w:tcBorders>
          </w:tcPr>
          <w:p>
            <w:pPr>
              <w:spacing w:after="0"/>
              <w:rPr>
                <w:sz w:val="5"/>
                <w:szCs w:val="5"/>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cash provided by operating activities (GAAP measure) to cash flow conversion rate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36130"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2476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60" w:type="dxa"/>
            <w:vAlign w:val="bottom"/>
          </w:tcPr>
          <w:p>
            <w:pPr>
              <w:ind w:left="40"/>
              <w:spacing w:after="0"/>
              <w:rPr>
                <w:sz w:val="20"/>
                <w:szCs w:val="20"/>
                <w:color w:val="auto"/>
              </w:rPr>
            </w:pPr>
            <w:r>
              <w:rPr>
                <w:rFonts w:ascii="Arial" w:cs="Arial" w:eastAsia="Arial" w:hAnsi="Arial"/>
                <w:sz w:val="16"/>
                <w:szCs w:val="16"/>
                <w:i w:val="1"/>
                <w:iCs w:val="1"/>
                <w:color w:val="auto"/>
              </w:rPr>
              <w:t>Millions,</w:t>
            </w:r>
          </w:p>
        </w:tc>
        <w:tc>
          <w:tcPr>
            <w:tcW w:w="3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566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for the Three Months Ended March 31,</w:t>
            </w:r>
          </w:p>
        </w:tc>
        <w:tc>
          <w:tcPr>
            <w:tcW w:w="3280" w:type="dxa"/>
            <w:vAlign w:val="bottom"/>
            <w:tcBorders>
              <w:bottom w:val="single" w:sz="8" w:color="7F7F7F"/>
            </w:tcBorders>
          </w:tcPr>
          <w:p>
            <w:pPr>
              <w:spacing w:after="0"/>
              <w:rPr>
                <w:sz w:val="17"/>
                <w:szCs w:val="17"/>
                <w:color w:val="auto"/>
              </w:rPr>
            </w:pPr>
          </w:p>
        </w:tc>
        <w:tc>
          <w:tcPr>
            <w:tcW w:w="900" w:type="dxa"/>
            <w:vAlign w:val="bottom"/>
            <w:tcBorders>
              <w:bottom w:val="single" w:sz="8" w:color="7F7F7F"/>
            </w:tcBorders>
          </w:tcPr>
          <w:p>
            <w:pPr>
              <w:jc w:val="right"/>
              <w:ind w:right="101"/>
              <w:spacing w:after="0"/>
              <w:rPr>
                <w:sz w:val="20"/>
                <w:szCs w:val="20"/>
                <w:color w:val="auto"/>
              </w:rPr>
            </w:pPr>
            <w:r>
              <w:rPr>
                <w:rFonts w:ascii="Arial" w:cs="Arial" w:eastAsia="Arial" w:hAnsi="Arial"/>
                <w:sz w:val="16"/>
                <w:szCs w:val="16"/>
                <w:b w:val="1"/>
                <w:bCs w:val="1"/>
                <w:i w:val="1"/>
                <w:iCs w:val="1"/>
                <w:color w:val="auto"/>
              </w:rPr>
              <w:t>2020</w:t>
            </w:r>
          </w:p>
        </w:tc>
        <w:tc>
          <w:tcPr>
            <w:tcW w:w="400" w:type="dxa"/>
            <w:vAlign w:val="bottom"/>
            <w:tcBorders>
              <w:bottom w:val="single" w:sz="8" w:color="7F7F7F"/>
            </w:tcBorders>
          </w:tcPr>
          <w:p>
            <w:pPr>
              <w:spacing w:after="0"/>
              <w:rPr>
                <w:sz w:val="17"/>
                <w:szCs w:val="17"/>
                <w:color w:val="auto"/>
              </w:rPr>
            </w:pPr>
          </w:p>
        </w:tc>
        <w:tc>
          <w:tcPr>
            <w:tcW w:w="1000" w:type="dxa"/>
            <w:vAlign w:val="bottom"/>
            <w:tcBorders>
              <w:bottom w:val="single" w:sz="8" w:color="7F7F7F"/>
            </w:tcBorders>
          </w:tcPr>
          <w:p>
            <w:pPr>
              <w:jc w:val="right"/>
              <w:ind w:right="201"/>
              <w:spacing w:after="0"/>
              <w:rPr>
                <w:sz w:val="20"/>
                <w:szCs w:val="20"/>
                <w:color w:val="auto"/>
              </w:rPr>
            </w:pPr>
            <w:r>
              <w:rPr>
                <w:rFonts w:ascii="Arial" w:cs="Arial" w:eastAsia="Arial" w:hAnsi="Arial"/>
                <w:sz w:val="16"/>
                <w:szCs w:val="16"/>
                <w:i w:val="1"/>
                <w:iCs w:val="1"/>
                <w:color w:val="auto"/>
              </w:rPr>
              <w:t>2019</w:t>
            </w:r>
          </w:p>
        </w:tc>
      </w:tr>
      <w:tr>
        <w:trPr>
          <w:trHeight w:val="197"/>
        </w:trPr>
        <w:tc>
          <w:tcPr>
            <w:tcW w:w="5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280" w:type="dxa"/>
            <w:vAlign w:val="bottom"/>
            <w:shd w:val="clear" w:color="auto" w:fill="CCEEFF"/>
          </w:tcPr>
          <w:p>
            <w:pPr>
              <w:jc w:val="right"/>
              <w:ind w:right="221"/>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2,155</w:t>
            </w: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1,959</w:t>
            </w:r>
          </w:p>
        </w:tc>
      </w:tr>
      <w:tr>
        <w:trPr>
          <w:trHeight w:val="216"/>
        </w:trPr>
        <w:tc>
          <w:tcPr>
            <w:tcW w:w="566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Cash used in capital investments</w:t>
            </w:r>
          </w:p>
        </w:tc>
        <w:tc>
          <w:tcPr>
            <w:tcW w:w="328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jc w:val="right"/>
              <w:ind w:right="101"/>
              <w:spacing w:after="0"/>
              <w:rPr>
                <w:sz w:val="20"/>
                <w:szCs w:val="20"/>
                <w:color w:val="auto"/>
              </w:rPr>
            </w:pPr>
            <w:r>
              <w:rPr>
                <w:rFonts w:ascii="Arial" w:cs="Arial" w:eastAsia="Arial" w:hAnsi="Arial"/>
                <w:sz w:val="16"/>
                <w:szCs w:val="16"/>
                <w:b w:val="1"/>
                <w:bCs w:val="1"/>
                <w:color w:val="auto"/>
              </w:rPr>
              <w:t>(807)</w:t>
            </w:r>
          </w:p>
        </w:tc>
        <w:tc>
          <w:tcPr>
            <w:tcW w:w="400" w:type="dxa"/>
            <w:vAlign w:val="bottom"/>
            <w:tcBorders>
              <w:bottom w:val="single" w:sz="8" w:color="7F7F7F"/>
            </w:tcBorders>
          </w:tcPr>
          <w:p>
            <w:pPr>
              <w:spacing w:after="0"/>
              <w:rPr>
                <w:sz w:val="18"/>
                <w:szCs w:val="18"/>
                <w:color w:val="auto"/>
              </w:rPr>
            </w:pPr>
          </w:p>
        </w:tc>
        <w:tc>
          <w:tcPr>
            <w:tcW w:w="1000" w:type="dxa"/>
            <w:vAlign w:val="bottom"/>
            <w:tcBorders>
              <w:bottom w:val="single" w:sz="8" w:color="7F7F7F"/>
            </w:tcBorders>
          </w:tcPr>
          <w:p>
            <w:pPr>
              <w:jc w:val="right"/>
              <w:ind w:right="201"/>
              <w:spacing w:after="0"/>
              <w:rPr>
                <w:sz w:val="20"/>
                <w:szCs w:val="20"/>
                <w:color w:val="auto"/>
              </w:rPr>
            </w:pPr>
            <w:r>
              <w:rPr>
                <w:rFonts w:ascii="Arial" w:cs="Arial" w:eastAsia="Arial" w:hAnsi="Arial"/>
                <w:sz w:val="16"/>
                <w:szCs w:val="16"/>
                <w:color w:val="auto"/>
              </w:rPr>
              <w:t>(752)</w:t>
            </w:r>
          </w:p>
        </w:tc>
      </w:tr>
      <w:tr>
        <w:trPr>
          <w:trHeight w:val="30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w:t>
            </w:r>
          </w:p>
        </w:tc>
        <w:tc>
          <w:tcPr>
            <w:tcW w:w="3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1,348</w:t>
            </w:r>
          </w:p>
        </w:tc>
        <w:tc>
          <w:tcPr>
            <w:tcW w:w="4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6"/>
                <w:szCs w:val="16"/>
                <w:color w:val="auto"/>
              </w:rPr>
              <w:t>1,207</w:t>
            </w:r>
          </w:p>
        </w:tc>
      </w:tr>
      <w:tr>
        <w:trPr>
          <w:trHeight w:val="203"/>
        </w:trPr>
        <w:tc>
          <w:tcPr>
            <w:tcW w:w="5660" w:type="dxa"/>
            <w:vAlign w:val="bottom"/>
            <w:tcBorders>
              <w:top w:val="single" w:sz="8" w:color="7F7F7F"/>
              <w:bottom w:val="single" w:sz="8" w:color="7F7F7F"/>
            </w:tcBorders>
          </w:tcPr>
          <w:p>
            <w:pPr>
              <w:ind w:left="40"/>
              <w:spacing w:after="0"/>
              <w:rPr>
                <w:sz w:val="20"/>
                <w:szCs w:val="20"/>
                <w:color w:val="auto"/>
              </w:rPr>
            </w:pPr>
            <w:r>
              <w:rPr>
                <w:rFonts w:ascii="Arial" w:cs="Arial" w:eastAsia="Arial" w:hAnsi="Arial"/>
                <w:sz w:val="16"/>
                <w:szCs w:val="16"/>
                <w:color w:val="auto"/>
              </w:rPr>
              <w:t>Net income (b)</w:t>
            </w:r>
          </w:p>
        </w:tc>
        <w:tc>
          <w:tcPr>
            <w:tcW w:w="3280" w:type="dxa"/>
            <w:vAlign w:val="bottom"/>
            <w:tcBorders>
              <w:top w:val="single" w:sz="8" w:color="7F7F7F"/>
              <w:bottom w:val="single" w:sz="8" w:color="7F7F7F"/>
            </w:tcBorders>
          </w:tcPr>
          <w:p>
            <w:pPr>
              <w:spacing w:after="0"/>
              <w:rPr>
                <w:sz w:val="17"/>
                <w:szCs w:val="17"/>
                <w:color w:val="auto"/>
              </w:rPr>
            </w:pPr>
          </w:p>
        </w:tc>
        <w:tc>
          <w:tcPr>
            <w:tcW w:w="900" w:type="dxa"/>
            <w:vAlign w:val="bottom"/>
            <w:tcBorders>
              <w:top w:val="single" w:sz="8" w:color="7F7F7F"/>
              <w:bottom w:val="single" w:sz="8" w:color="7F7F7F"/>
            </w:tcBorders>
          </w:tcPr>
          <w:p>
            <w:pPr>
              <w:jc w:val="right"/>
              <w:ind w:right="141"/>
              <w:spacing w:after="0"/>
              <w:rPr>
                <w:sz w:val="20"/>
                <w:szCs w:val="20"/>
                <w:color w:val="auto"/>
              </w:rPr>
            </w:pPr>
            <w:r>
              <w:rPr>
                <w:rFonts w:ascii="Arial" w:cs="Arial" w:eastAsia="Arial" w:hAnsi="Arial"/>
                <w:sz w:val="16"/>
                <w:szCs w:val="16"/>
                <w:b w:val="1"/>
                <w:bCs w:val="1"/>
                <w:color w:val="auto"/>
              </w:rPr>
              <w:t>1,474</w:t>
            </w:r>
          </w:p>
        </w:tc>
        <w:tc>
          <w:tcPr>
            <w:tcW w:w="400" w:type="dxa"/>
            <w:vAlign w:val="bottom"/>
            <w:tcBorders>
              <w:top w:val="single" w:sz="8" w:color="7F7F7F"/>
              <w:bottom w:val="single" w:sz="8" w:color="7F7F7F"/>
            </w:tcBorders>
          </w:tcPr>
          <w:p>
            <w:pPr>
              <w:spacing w:after="0"/>
              <w:rPr>
                <w:sz w:val="17"/>
                <w:szCs w:val="17"/>
                <w:color w:val="auto"/>
              </w:rPr>
            </w:pPr>
          </w:p>
        </w:tc>
        <w:tc>
          <w:tcPr>
            <w:tcW w:w="1000" w:type="dxa"/>
            <w:vAlign w:val="bottom"/>
            <w:tcBorders>
              <w:top w:val="single" w:sz="8" w:color="7F7F7F"/>
              <w:bottom w:val="single" w:sz="8" w:color="7F7F7F"/>
            </w:tcBorders>
          </w:tcPr>
          <w:p>
            <w:pPr>
              <w:jc w:val="right"/>
              <w:ind w:right="241"/>
              <w:spacing w:after="0"/>
              <w:rPr>
                <w:sz w:val="20"/>
                <w:szCs w:val="20"/>
                <w:color w:val="auto"/>
              </w:rPr>
            </w:pPr>
            <w:r>
              <w:rPr>
                <w:rFonts w:ascii="Arial" w:cs="Arial" w:eastAsia="Arial" w:hAnsi="Arial"/>
                <w:sz w:val="16"/>
                <w:szCs w:val="16"/>
                <w:color w:val="auto"/>
              </w:rPr>
              <w:t>1,391</w:t>
            </w:r>
          </w:p>
        </w:tc>
      </w:tr>
      <w:tr>
        <w:trPr>
          <w:trHeight w:val="268"/>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conversion rate (a/b)</w:t>
            </w:r>
          </w:p>
        </w:tc>
        <w:tc>
          <w:tcPr>
            <w:tcW w:w="3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91 %</w:t>
            </w: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b w:val="1"/>
                <w:bCs w:val="1"/>
                <w:color w:val="auto"/>
              </w:rPr>
              <w:t>%</w:t>
            </w:r>
          </w:p>
        </w:tc>
      </w:tr>
      <w:tr>
        <w:trPr>
          <w:trHeight w:val="39"/>
        </w:trPr>
        <w:tc>
          <w:tcPr>
            <w:tcW w:w="5660" w:type="dxa"/>
            <w:vAlign w:val="bottom"/>
            <w:shd w:val="clear" w:color="auto" w:fill="7F7F7F"/>
          </w:tcPr>
          <w:p>
            <w:pPr>
              <w:spacing w:after="0"/>
              <w:rPr>
                <w:sz w:val="3"/>
                <w:szCs w:val="3"/>
                <w:color w:val="auto"/>
              </w:rPr>
            </w:pPr>
          </w:p>
        </w:tc>
        <w:tc>
          <w:tcPr>
            <w:tcW w:w="3280" w:type="dxa"/>
            <w:vAlign w:val="bottom"/>
            <w:shd w:val="clear" w:color="auto" w:fill="7F7F7F"/>
          </w:tcPr>
          <w:p>
            <w:pPr>
              <w:spacing w:after="0"/>
              <w:rPr>
                <w:sz w:val="3"/>
                <w:szCs w:val="3"/>
                <w:color w:val="auto"/>
              </w:rPr>
            </w:pPr>
          </w:p>
        </w:tc>
        <w:tc>
          <w:tcPr>
            <w:tcW w:w="900" w:type="dxa"/>
            <w:vAlign w:val="bottom"/>
            <w:shd w:val="clear" w:color="auto" w:fill="7F7F7F"/>
          </w:tcPr>
          <w:p>
            <w:pPr>
              <w:spacing w:after="0"/>
              <w:rPr>
                <w:sz w:val="3"/>
                <w:szCs w:val="3"/>
                <w:color w:val="auto"/>
              </w:rPr>
            </w:pPr>
          </w:p>
        </w:tc>
        <w:tc>
          <w:tcPr>
            <w:tcW w:w="400" w:type="dxa"/>
            <w:vAlign w:val="bottom"/>
            <w:shd w:val="clear" w:color="auto" w:fill="7F7F7F"/>
          </w:tcPr>
          <w:p>
            <w:pPr>
              <w:spacing w:after="0"/>
              <w:rPr>
                <w:sz w:val="3"/>
                <w:szCs w:val="3"/>
                <w:color w:val="auto"/>
              </w:rPr>
            </w:pPr>
          </w:p>
        </w:tc>
        <w:tc>
          <w:tcPr>
            <w:tcW w:w="1000" w:type="dxa"/>
            <w:vAlign w:val="bottom"/>
            <w:shd w:val="clear" w:color="auto" w:fill="7F7F7F"/>
          </w:tcPr>
          <w:p>
            <w:pPr>
              <w:spacing w:after="0"/>
              <w:rPr>
                <w:sz w:val="3"/>
                <w:szCs w:val="3"/>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Liquidity Status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We are continually evaluating the impact of COVID-19 on our financial condition and liquidity. Although the situation is fluid and highly uncertain, we have analyzed a wide range of economic scenarios and the impact on our ability to generate cash. These analyses inform our liquidity plans and activities outlined below and indicate we have sufficient capacity to sustain an extended period of lower volumes.</w:t>
      </w:r>
    </w:p>
    <w:p>
      <w:pPr>
        <w:spacing w:after="0" w:line="158"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During the first quarter, we generated $2.2 billion of cash from operations. At March 31, 2020, we had over $1 billion of cash and cash equivalents. We have access to commercial paper and bank markets. We also have access to $2 billion of credit available under our revolving credit facility and up to $400 million undrawn on the Receivables Facility. On April 7, 2020, we issued $750 million of long-term debt demonstrating our current ability to access the corporate bond market. We have $949 million of debt maturing before the end of the year. Based on our current cash position and outlook, we do not expect any issue funding our debt maturities in 2020. We plan to maintain our dividend, while we have currently suspended our share repurchase activity with the exception of the final settlement on our $2 billion accelerated share repurchase program initiated on February 18, 2020.</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are also utilizing the provisions of IRS Notice 2020-23 to shift our federal estimated income tax payments from the second quarter to the third quarter and the CARES Act to defer our employment tax deposits to December 2021 and December 2022.</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Programs</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7"/>
          <w:szCs w:val="17"/>
          <w:color w:val="auto"/>
        </w:rPr>
        <w:t>Effective April 1, 2019, our Board of Directors authorized the repurchase of up to 150 million shares of our common stock by March 31, 2022. These repurchases may be made on the open market or through other transactions. Our management has sole discretion with respect to determining the timing and amount of these transactions. As of March 31, 2020, we repurchased a total of $39.7 billion of our common stock since commencement of our repurchase programs in 2007. The table below represents shares repurchased under repurchase programs during 2020 and 2019:</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Borders>
              <w:top w:val="single" w:sz="8" w:color="7F7F7F"/>
            </w:tcBorders>
          </w:tcPr>
          <w:p>
            <w:pPr>
              <w:spacing w:after="0"/>
              <w:rPr>
                <w:sz w:val="18"/>
                <w:szCs w:val="18"/>
                <w:color w:val="auto"/>
              </w:rPr>
            </w:pPr>
          </w:p>
        </w:tc>
        <w:tc>
          <w:tcPr>
            <w:tcW w:w="580" w:type="dxa"/>
            <w:vAlign w:val="bottom"/>
            <w:tcBorders>
              <w:top w:val="single" w:sz="8" w:color="7F7F7F"/>
              <w:bottom w:val="single" w:sz="8" w:color="7F7F7F"/>
            </w:tcBorders>
          </w:tcPr>
          <w:p>
            <w:pPr>
              <w:spacing w:after="0"/>
              <w:rPr>
                <w:sz w:val="18"/>
                <w:szCs w:val="18"/>
                <w:color w:val="auto"/>
              </w:rPr>
            </w:pPr>
          </w:p>
        </w:tc>
        <w:tc>
          <w:tcPr>
            <w:tcW w:w="2860" w:type="dxa"/>
            <w:vAlign w:val="bottom"/>
            <w:tcBorders>
              <w:top w:val="single" w:sz="8" w:color="7F7F7F"/>
              <w:bottom w:val="single" w:sz="8" w:color="7F7F7F"/>
            </w:tcBorders>
            <w:gridSpan w:val="2"/>
          </w:tcPr>
          <w:p>
            <w:pPr>
              <w:jc w:val="right"/>
              <w:ind w:right="141"/>
              <w:spacing w:after="0"/>
              <w:rPr>
                <w:sz w:val="20"/>
                <w:szCs w:val="20"/>
                <w:color w:val="auto"/>
              </w:rPr>
            </w:pPr>
            <w:r>
              <w:rPr>
                <w:rFonts w:ascii="Arial" w:cs="Arial" w:eastAsia="Arial" w:hAnsi="Arial"/>
                <w:sz w:val="16"/>
                <w:szCs w:val="16"/>
                <w:i w:val="1"/>
                <w:iCs w:val="1"/>
                <w:color w:val="auto"/>
              </w:rPr>
              <w:t>Number of Shares Purchased</w:t>
            </w:r>
          </w:p>
        </w:tc>
        <w:tc>
          <w:tcPr>
            <w:tcW w:w="500" w:type="dxa"/>
            <w:vAlign w:val="bottom"/>
            <w:tcBorders>
              <w:top w:val="single" w:sz="8" w:color="7F7F7F"/>
              <w:bottom w:val="single" w:sz="8" w:color="7F7F7F"/>
            </w:tcBorders>
          </w:tcPr>
          <w:p>
            <w:pPr>
              <w:spacing w:after="0"/>
              <w:rPr>
                <w:sz w:val="18"/>
                <w:szCs w:val="18"/>
                <w:color w:val="auto"/>
              </w:rPr>
            </w:pPr>
          </w:p>
        </w:tc>
        <w:tc>
          <w:tcPr>
            <w:tcW w:w="740" w:type="dxa"/>
            <w:vAlign w:val="bottom"/>
            <w:tcBorders>
              <w:top w:val="single" w:sz="8" w:color="7F7F7F"/>
              <w:bottom w:val="single" w:sz="8" w:color="7F7F7F"/>
            </w:tcBorders>
          </w:tcPr>
          <w:p>
            <w:pPr>
              <w:spacing w:after="0"/>
              <w:rPr>
                <w:sz w:val="18"/>
                <w:szCs w:val="18"/>
                <w:color w:val="auto"/>
              </w:rPr>
            </w:pPr>
          </w:p>
        </w:tc>
        <w:tc>
          <w:tcPr>
            <w:tcW w:w="1420" w:type="dxa"/>
            <w:vAlign w:val="bottom"/>
            <w:tcBorders>
              <w:top w:val="single" w:sz="8" w:color="7F7F7F"/>
              <w:bottom w:val="single" w:sz="8" w:color="7F7F7F"/>
            </w:tcBorders>
            <w:gridSpan w:val="2"/>
          </w:tcPr>
          <w:p>
            <w:pPr>
              <w:jc w:val="right"/>
              <w:spacing w:after="0"/>
              <w:rPr>
                <w:sz w:val="20"/>
                <w:szCs w:val="20"/>
                <w:color w:val="auto"/>
              </w:rPr>
            </w:pPr>
            <w:r>
              <w:rPr>
                <w:rFonts w:ascii="Arial" w:cs="Arial" w:eastAsia="Arial" w:hAnsi="Arial"/>
                <w:sz w:val="16"/>
                <w:szCs w:val="16"/>
                <w:i w:val="1"/>
                <w:iCs w:val="1"/>
                <w:color w:val="auto"/>
                <w:w w:val="99"/>
              </w:rPr>
              <w:t>Average Price Paid</w:t>
            </w:r>
          </w:p>
        </w:tc>
      </w:tr>
      <w:tr>
        <w:trPr>
          <w:trHeight w:val="190"/>
        </w:trPr>
        <w:tc>
          <w:tcPr>
            <w:tcW w:w="5140" w:type="dxa"/>
            <w:vAlign w:val="bottom"/>
            <w:tcBorders>
              <w:bottom w:val="single" w:sz="8" w:color="7F7F7F"/>
            </w:tcBorders>
          </w:tcPr>
          <w:p>
            <w:pPr>
              <w:spacing w:after="0"/>
              <w:rPr>
                <w:sz w:val="16"/>
                <w:szCs w:val="16"/>
                <w:color w:val="auto"/>
              </w:rPr>
            </w:pPr>
          </w:p>
        </w:tc>
        <w:tc>
          <w:tcPr>
            <w:tcW w:w="580" w:type="dxa"/>
            <w:vAlign w:val="bottom"/>
            <w:tcBorders>
              <w:bottom w:val="single" w:sz="8" w:color="7F7F7F"/>
            </w:tcBorders>
          </w:tcPr>
          <w:p>
            <w:pPr>
              <w:spacing w:after="0"/>
              <w:rPr>
                <w:sz w:val="16"/>
                <w:szCs w:val="16"/>
                <w:color w:val="auto"/>
              </w:rPr>
            </w:pPr>
          </w:p>
        </w:tc>
        <w:tc>
          <w:tcPr>
            <w:tcW w:w="1440" w:type="dxa"/>
            <w:vAlign w:val="bottom"/>
            <w:tcBorders>
              <w:bottom w:val="single" w:sz="8" w:color="7F7F7F"/>
            </w:tcBorders>
          </w:tcPr>
          <w:p>
            <w:pPr>
              <w:jc w:val="right"/>
              <w:ind w:right="361"/>
              <w:spacing w:after="0"/>
              <w:rPr>
                <w:sz w:val="20"/>
                <w:szCs w:val="20"/>
                <w:color w:val="auto"/>
              </w:rPr>
            </w:pPr>
            <w:r>
              <w:rPr>
                <w:rFonts w:ascii="Arial" w:cs="Arial" w:eastAsia="Arial" w:hAnsi="Arial"/>
                <w:sz w:val="16"/>
                <w:szCs w:val="16"/>
                <w:b w:val="1"/>
                <w:bCs w:val="1"/>
                <w:i w:val="1"/>
                <w:iCs w:val="1"/>
                <w:color w:val="auto"/>
              </w:rPr>
              <w:t>2020</w:t>
            </w:r>
          </w:p>
        </w:tc>
        <w:tc>
          <w:tcPr>
            <w:tcW w:w="1420" w:type="dxa"/>
            <w:vAlign w:val="bottom"/>
            <w:tcBorders>
              <w:bottom w:val="single" w:sz="8" w:color="7F7F7F"/>
            </w:tcBorders>
          </w:tcPr>
          <w:p>
            <w:pPr>
              <w:jc w:val="right"/>
              <w:ind w:right="81"/>
              <w:spacing w:after="0"/>
              <w:rPr>
                <w:sz w:val="20"/>
                <w:szCs w:val="20"/>
                <w:color w:val="auto"/>
              </w:rPr>
            </w:pPr>
            <w:r>
              <w:rPr>
                <w:rFonts w:ascii="Arial" w:cs="Arial" w:eastAsia="Arial" w:hAnsi="Arial"/>
                <w:sz w:val="16"/>
                <w:szCs w:val="16"/>
                <w:i w:val="1"/>
                <w:iCs w:val="1"/>
                <w:color w:val="auto"/>
              </w:rPr>
              <w:t>2019</w:t>
            </w:r>
          </w:p>
        </w:tc>
        <w:tc>
          <w:tcPr>
            <w:tcW w:w="500" w:type="dxa"/>
            <w:vAlign w:val="bottom"/>
            <w:tcBorders>
              <w:bottom w:val="single" w:sz="8" w:color="7F7F7F"/>
            </w:tcBorders>
          </w:tcPr>
          <w:p>
            <w:pPr>
              <w:spacing w:after="0"/>
              <w:rPr>
                <w:sz w:val="16"/>
                <w:szCs w:val="16"/>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b w:val="1"/>
                <w:bCs w:val="1"/>
                <w:i w:val="1"/>
                <w:iCs w:val="1"/>
                <w:color w:val="auto"/>
              </w:rPr>
              <w:t>2020</w:t>
            </w:r>
          </w:p>
        </w:tc>
        <w:tc>
          <w:tcPr>
            <w:tcW w:w="480" w:type="dxa"/>
            <w:vAlign w:val="bottom"/>
            <w:tcBorders>
              <w:bottom w:val="single" w:sz="8" w:color="7F7F7F"/>
            </w:tcBorders>
          </w:tcPr>
          <w:p>
            <w:pPr>
              <w:spacing w:after="0"/>
              <w:rPr>
                <w:sz w:val="16"/>
                <w:szCs w:val="16"/>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2019</w:t>
            </w:r>
          </w:p>
        </w:tc>
      </w:tr>
      <w:tr>
        <w:trPr>
          <w:trHeight w:val="197"/>
        </w:trPr>
        <w:tc>
          <w:tcPr>
            <w:tcW w:w="5720" w:type="dxa"/>
            <w:vAlign w:val="bottom"/>
            <w:tcBorders>
              <w:bottom w:val="single" w:sz="8" w:color="808080"/>
            </w:tcBorders>
            <w:gridSpan w:val="2"/>
            <w:shd w:val="clear" w:color="auto" w:fill="CCEEFF"/>
          </w:tcPr>
          <w:p>
            <w:pPr>
              <w:ind w:left="40"/>
              <w:spacing w:after="0"/>
              <w:rPr>
                <w:sz w:val="20"/>
                <w:szCs w:val="20"/>
                <w:color w:val="auto"/>
              </w:rPr>
            </w:pPr>
            <w:r>
              <w:rPr>
                <w:rFonts w:ascii="Arial" w:cs="Arial" w:eastAsia="Arial" w:hAnsi="Arial"/>
                <w:sz w:val="16"/>
                <w:szCs w:val="16"/>
                <w:color w:val="auto"/>
              </w:rPr>
              <w:t>First quarter [a]</w:t>
            </w:r>
          </w:p>
        </w:tc>
        <w:tc>
          <w:tcPr>
            <w:tcW w:w="1440" w:type="dxa"/>
            <w:vAlign w:val="bottom"/>
            <w:tcBorders>
              <w:bottom w:val="single" w:sz="8" w:color="808080"/>
            </w:tcBorders>
            <w:shd w:val="clear" w:color="auto" w:fill="CCEEFF"/>
          </w:tcPr>
          <w:p>
            <w:pPr>
              <w:jc w:val="right"/>
              <w:ind w:right="361"/>
              <w:spacing w:after="0"/>
              <w:rPr>
                <w:sz w:val="20"/>
                <w:szCs w:val="20"/>
                <w:color w:val="auto"/>
              </w:rPr>
            </w:pPr>
            <w:r>
              <w:rPr>
                <w:rFonts w:ascii="Arial" w:cs="Arial" w:eastAsia="Arial" w:hAnsi="Arial"/>
                <w:sz w:val="16"/>
                <w:szCs w:val="16"/>
                <w:b w:val="1"/>
                <w:bCs w:val="1"/>
                <w:color w:val="auto"/>
              </w:rPr>
              <w:t>14,305,793</w:t>
            </w:r>
          </w:p>
        </w:tc>
        <w:tc>
          <w:tcPr>
            <w:tcW w:w="1420" w:type="dxa"/>
            <w:vAlign w:val="bottom"/>
            <w:tcBorders>
              <w:bottom w:val="single" w:sz="8" w:color="808080"/>
            </w:tcBorders>
            <w:shd w:val="clear" w:color="auto" w:fill="CCEEFF"/>
          </w:tcPr>
          <w:p>
            <w:pPr>
              <w:jc w:val="right"/>
              <w:ind w:right="141"/>
              <w:spacing w:after="0"/>
              <w:rPr>
                <w:sz w:val="20"/>
                <w:szCs w:val="20"/>
                <w:color w:val="auto"/>
              </w:rPr>
            </w:pPr>
            <w:r>
              <w:rPr>
                <w:rFonts w:ascii="Arial" w:cs="Arial" w:eastAsia="Arial" w:hAnsi="Arial"/>
                <w:sz w:val="16"/>
                <w:szCs w:val="16"/>
                <w:color w:val="auto"/>
              </w:rPr>
              <w:t>18,149,450</w:t>
            </w:r>
          </w:p>
        </w:tc>
        <w:tc>
          <w:tcPr>
            <w:tcW w:w="500" w:type="dxa"/>
            <w:vAlign w:val="bottom"/>
            <w:tcBorders>
              <w:bottom w:val="single" w:sz="8" w:color="808080"/>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178.66</w:t>
            </w:r>
          </w:p>
        </w:tc>
        <w:tc>
          <w:tcPr>
            <w:tcW w:w="48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808080"/>
            </w:tcBorders>
            <w:shd w:val="clear" w:color="auto" w:fill="CCEEFF"/>
          </w:tcPr>
          <w:p>
            <w:pPr>
              <w:jc w:val="right"/>
              <w:spacing w:after="0"/>
              <w:rPr>
                <w:sz w:val="20"/>
                <w:szCs w:val="20"/>
                <w:color w:val="auto"/>
              </w:rPr>
            </w:pPr>
            <w:r>
              <w:rPr>
                <w:rFonts w:ascii="Arial" w:cs="Arial" w:eastAsia="Arial" w:hAnsi="Arial"/>
                <w:sz w:val="16"/>
                <w:szCs w:val="16"/>
                <w:color w:val="auto"/>
              </w:rPr>
              <w:t>165.79</w:t>
            </w:r>
          </w:p>
        </w:tc>
      </w:tr>
      <w:tr>
        <w:trPr>
          <w:trHeight w:val="196"/>
        </w:trPr>
        <w:tc>
          <w:tcPr>
            <w:tcW w:w="5720" w:type="dxa"/>
            <w:vAlign w:val="bottom"/>
            <w:tcBorders>
              <w:bottom w:val="single" w:sz="8" w:color="808080"/>
            </w:tcBorders>
            <w:gridSpan w:val="2"/>
          </w:tcPr>
          <w:p>
            <w:pPr>
              <w:ind w:left="40"/>
              <w:spacing w:after="0" w:line="177" w:lineRule="exact"/>
              <w:rPr>
                <w:sz w:val="20"/>
                <w:szCs w:val="20"/>
                <w:color w:val="auto"/>
              </w:rPr>
            </w:pPr>
            <w:r>
              <w:rPr>
                <w:rFonts w:ascii="Arial" w:cs="Arial" w:eastAsia="Arial" w:hAnsi="Arial"/>
                <w:sz w:val="16"/>
                <w:szCs w:val="16"/>
                <w:color w:val="auto"/>
              </w:rPr>
              <w:t>Remaining number of shares that may be repurchased under current authority</w:t>
            </w:r>
          </w:p>
        </w:tc>
        <w:tc>
          <w:tcPr>
            <w:tcW w:w="1440" w:type="dxa"/>
            <w:vAlign w:val="bottom"/>
            <w:tcBorders>
              <w:bottom w:val="single" w:sz="8" w:color="808080"/>
            </w:tcBorders>
          </w:tcPr>
          <w:p>
            <w:pPr>
              <w:spacing w:after="0"/>
              <w:rPr>
                <w:sz w:val="17"/>
                <w:szCs w:val="17"/>
                <w:color w:val="auto"/>
              </w:rPr>
            </w:pPr>
          </w:p>
        </w:tc>
        <w:tc>
          <w:tcPr>
            <w:tcW w:w="142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jc w:val="right"/>
              <w:spacing w:after="0" w:line="177" w:lineRule="exact"/>
              <w:rPr>
                <w:sz w:val="20"/>
                <w:szCs w:val="20"/>
                <w:color w:val="auto"/>
              </w:rPr>
            </w:pPr>
            <w:r>
              <w:rPr>
                <w:rFonts w:ascii="Arial" w:cs="Arial" w:eastAsia="Arial" w:hAnsi="Arial"/>
                <w:sz w:val="16"/>
                <w:szCs w:val="16"/>
                <w:color w:val="auto"/>
                <w:w w:val="98"/>
              </w:rPr>
              <w:t>118,849,288</w:t>
            </w:r>
          </w:p>
        </w:tc>
      </w:tr>
    </w:tbl>
    <w:p>
      <w:pPr>
        <w:spacing w:after="0" w:line="122" w:lineRule="exact"/>
        <w:rPr>
          <w:sz w:val="20"/>
          <w:szCs w:val="20"/>
          <w:color w:val="auto"/>
        </w:rPr>
      </w:pPr>
    </w:p>
    <w:p>
      <w:pPr>
        <w:ind w:left="320" w:hanging="315"/>
        <w:spacing w:after="0"/>
        <w:tabs>
          <w:tab w:leader="none" w:pos="3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8,786,380 and 11,795,930 shares repurchased in February 2020 and 2019, respectively, under accelerated share repurchase programs.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2" w:name="page33"/>
    <w:bookmarkEnd w:id="32"/>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7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Management's assessments of market conditions and other pertinent factors guide the timing and volume of all repurchases. We expect to fund any share repurchases under this program through cash generated from operations, the sale or lease of various operating and non-operating properties, debt issuances, and cash on hand. Open market repurchases are recorded in treasury stock at cost, which includes any applicable commissions and fees.</w:t>
      </w:r>
    </w:p>
    <w:p>
      <w:pPr>
        <w:spacing w:after="0" w:line="13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Accelerated Share Repurchase Programs </w:t>
      </w:r>
      <w:r>
        <w:rPr>
          <w:rFonts w:ascii="Arial" w:cs="Arial" w:eastAsia="Arial" w:hAnsi="Arial"/>
          <w:sz w:val="17"/>
          <w:szCs w:val="17"/>
          <w:color w:val="auto"/>
        </w:rPr>
        <w:t>– The Company has established accelerated share repurchase programs (ASRs) with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institutions to repurchase shares of our common stock. These ASRs have been structured so that at the time of commencement, we pay a specified amount to the financial institutions and receive an initial delivery of shares. Additional shares may be received at the time of settlement. The final number of shares to be received is based on the volume weighted average price of the Company’s common stock during the ASR term, less a discount and subject to potential adjustments pursuant to the terms of such ASR.</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color w:val="auto"/>
        </w:rPr>
        <w:t>On February 19, 2020, the Company received 8,786,380 shares of its common stock repurchased under ASRs for an aggregate of $2.0 billion. When the shares were received, the exchange was accounted for as an equity transaction with $1.6 billion of the aggregate amount allocated to treasury stock and the remaining $0.4 billion allocated to paid-in-surplus. This delivery of shares represents the initial and likely minimum number of shares that we may receive under the ASRs initiated in 2020. The final settlement is expected to be completed prior to the end of the third quarter of 2020.</w:t>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On February 26, 2019, the Company received 11,795,930 shares of its common stock repurchased under ASRs for an aggregate of $2.5 billion.</w:t>
      </w:r>
    </w:p>
    <w:p>
      <w:pPr>
        <w:spacing w:after="0"/>
        <w:rPr>
          <w:sz w:val="20"/>
          <w:szCs w:val="20"/>
          <w:color w:val="auto"/>
        </w:rPr>
      </w:pPr>
      <w:r>
        <w:rPr>
          <w:rFonts w:ascii="Arial" w:cs="Arial" w:eastAsia="Arial" w:hAnsi="Arial"/>
          <w:sz w:val="17"/>
          <w:szCs w:val="17"/>
          <w:color w:val="auto"/>
        </w:rPr>
        <w:t>Upon settlement of these ASRs in the third quarter of 2019, we received 3,172,900 additional shares.</w:t>
      </w:r>
    </w:p>
    <w:p>
      <w:pPr>
        <w:spacing w:after="0" w:line="17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ASRs are accounted for as equity transactions, and at the time of receipt, shares are included in treasury stock at fair market value as of the corresponding initiation or settlement date. The Company reflects shares received as a repurchase of common stock in the weighted average common shares outstanding calculation for basic and diluted earnings per share.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 Contractual Obligations, and Commercial Commitments</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described in the notes to the Condensed Consolidated Financial Statements and as referenced in the tables below, we have contractual obligations and commercial commitments that may affect our financial condition. However, based on our assessment of the underlying provisions and circumstances of our contractual obligations and commercial commitments, including material sources of off-balance sheet and structured finance arrangements, there is no known trend, demand, commitment, event, or uncertainty that is reasonably likely to occur that would have a material adverse effect on our consolidated results of operations, financial condition, or liquidity. In addition, our commercial obligations, financings, and commitments are customary transactions that are similar to those of other comparable corporations, particularly within the transportation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3" w:name="page34"/>
    <w:bookmarkEnd w:id="33"/>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identify material obligations and commitments as of March 31, 2020:</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00" w:type="dxa"/>
            <w:vAlign w:val="bottom"/>
            <w:tcBorders>
              <w:top w:val="single" w:sz="8" w:color="7F7F7F"/>
            </w:tcBorders>
          </w:tcPr>
          <w:p>
            <w:pPr>
              <w:spacing w:after="0"/>
              <w:rPr>
                <w:sz w:val="18"/>
                <w:szCs w:val="18"/>
                <w:color w:val="auto"/>
              </w:rPr>
            </w:pPr>
          </w:p>
        </w:tc>
        <w:tc>
          <w:tcPr>
            <w:tcW w:w="820" w:type="dxa"/>
            <w:vAlign w:val="bottom"/>
            <w:tcBorders>
              <w:top w:val="single" w:sz="8" w:color="7F7F7F"/>
            </w:tcBorders>
          </w:tcPr>
          <w:p>
            <w:pPr>
              <w:spacing w:after="0"/>
              <w:rPr>
                <w:sz w:val="18"/>
                <w:szCs w:val="18"/>
                <w:color w:val="auto"/>
              </w:rPr>
            </w:pPr>
          </w:p>
        </w:tc>
        <w:tc>
          <w:tcPr>
            <w:tcW w:w="700" w:type="dxa"/>
            <w:vAlign w:val="bottom"/>
            <w:tcBorders>
              <w:top w:val="single" w:sz="8" w:color="7F7F7F"/>
            </w:tcBorders>
          </w:tcPr>
          <w:p>
            <w:pPr>
              <w:spacing w:after="0"/>
              <w:rPr>
                <w:sz w:val="18"/>
                <w:szCs w:val="18"/>
                <w:color w:val="auto"/>
              </w:rPr>
            </w:pPr>
          </w:p>
        </w:tc>
        <w:tc>
          <w:tcPr>
            <w:tcW w:w="260" w:type="dxa"/>
            <w:vAlign w:val="bottom"/>
            <w:tcBorders>
              <w:top w:val="single" w:sz="8" w:color="7F7F7F"/>
            </w:tcBorders>
          </w:tcPr>
          <w:p>
            <w:pPr>
              <w:spacing w:after="0"/>
              <w:rPr>
                <w:sz w:val="18"/>
                <w:szCs w:val="18"/>
                <w:color w:val="auto"/>
              </w:rPr>
            </w:pPr>
          </w:p>
        </w:tc>
        <w:tc>
          <w:tcPr>
            <w:tcW w:w="74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Apr. 1</w:t>
            </w:r>
          </w:p>
        </w:tc>
        <w:tc>
          <w:tcPr>
            <w:tcW w:w="320" w:type="dxa"/>
            <w:vAlign w:val="bottom"/>
            <w:tcBorders>
              <w:top w:val="single" w:sz="8" w:color="7F7F7F"/>
            </w:tcBorders>
          </w:tcPr>
          <w:p>
            <w:pPr>
              <w:spacing w:after="0"/>
              <w:rPr>
                <w:sz w:val="18"/>
                <w:szCs w:val="18"/>
                <w:color w:val="auto"/>
              </w:rPr>
            </w:pPr>
          </w:p>
        </w:tc>
        <w:tc>
          <w:tcPr>
            <w:tcW w:w="660" w:type="dxa"/>
            <w:vAlign w:val="bottom"/>
            <w:tcBorders>
              <w:top w:val="single" w:sz="8" w:color="7F7F7F"/>
            </w:tcBorders>
          </w:tcPr>
          <w:p>
            <w:pPr>
              <w:spacing w:after="0"/>
              <w:rPr>
                <w:sz w:val="18"/>
                <w:szCs w:val="18"/>
                <w:color w:val="auto"/>
              </w:rPr>
            </w:pPr>
          </w:p>
        </w:tc>
        <w:tc>
          <w:tcPr>
            <w:tcW w:w="300" w:type="dxa"/>
            <w:vAlign w:val="bottom"/>
            <w:tcBorders>
              <w:top w:val="single" w:sz="8" w:color="7F7F7F"/>
            </w:tcBorders>
          </w:tcPr>
          <w:p>
            <w:pPr>
              <w:spacing w:after="0"/>
              <w:rPr>
                <w:sz w:val="18"/>
                <w:szCs w:val="18"/>
                <w:color w:val="auto"/>
              </w:rPr>
            </w:pPr>
          </w:p>
        </w:tc>
        <w:tc>
          <w:tcPr>
            <w:tcW w:w="640" w:type="dxa"/>
            <w:vAlign w:val="bottom"/>
            <w:tcBorders>
              <w:top w:val="single" w:sz="8" w:color="7F7F7F"/>
            </w:tcBorders>
          </w:tcPr>
          <w:p>
            <w:pPr>
              <w:spacing w:after="0"/>
              <w:rPr>
                <w:sz w:val="18"/>
                <w:szCs w:val="18"/>
                <w:color w:val="auto"/>
              </w:rPr>
            </w:pPr>
          </w:p>
        </w:tc>
        <w:tc>
          <w:tcPr>
            <w:tcW w:w="1960" w:type="dxa"/>
            <w:vAlign w:val="bottom"/>
            <w:tcBorders>
              <w:top w:val="single" w:sz="8" w:color="7F7F7F"/>
            </w:tcBorders>
            <w:gridSpan w:val="4"/>
          </w:tcPr>
          <w:p>
            <w:pPr>
              <w:jc w:val="right"/>
              <w:spacing w:after="0"/>
              <w:rPr>
                <w:sz w:val="20"/>
                <w:szCs w:val="20"/>
                <w:color w:val="auto"/>
              </w:rPr>
            </w:pPr>
            <w:r>
              <w:rPr>
                <w:rFonts w:ascii="Arial" w:cs="Arial" w:eastAsia="Arial" w:hAnsi="Arial"/>
                <w:sz w:val="16"/>
                <w:szCs w:val="16"/>
                <w:i w:val="1"/>
                <w:iCs w:val="1"/>
                <w:color w:val="auto"/>
                <w:w w:val="98"/>
              </w:rPr>
              <w:t>Payments Due by Dec. 31,</w:t>
            </w:r>
          </w:p>
        </w:tc>
        <w:tc>
          <w:tcPr>
            <w:tcW w:w="280" w:type="dxa"/>
            <w:vAlign w:val="bottom"/>
            <w:tcBorders>
              <w:top w:val="single" w:sz="8" w:color="7F7F7F"/>
            </w:tcBorders>
          </w:tcPr>
          <w:p>
            <w:pPr>
              <w:spacing w:after="0"/>
              <w:rPr>
                <w:sz w:val="18"/>
                <w:szCs w:val="18"/>
                <w:color w:val="auto"/>
              </w:rPr>
            </w:pPr>
          </w:p>
        </w:tc>
        <w:tc>
          <w:tcPr>
            <w:tcW w:w="700" w:type="dxa"/>
            <w:vAlign w:val="bottom"/>
            <w:tcBorders>
              <w:top w:val="single" w:sz="8" w:color="7F7F7F"/>
            </w:tcBorders>
          </w:tcPr>
          <w:p>
            <w:pPr>
              <w:spacing w:after="0"/>
              <w:rPr>
                <w:sz w:val="18"/>
                <w:szCs w:val="18"/>
                <w:color w:val="auto"/>
              </w:rPr>
            </w:pPr>
          </w:p>
        </w:tc>
        <w:tc>
          <w:tcPr>
            <w:tcW w:w="360" w:type="dxa"/>
            <w:vAlign w:val="bottom"/>
            <w:tcBorders>
              <w:top w:val="single" w:sz="8" w:color="7F7F7F"/>
            </w:tcBorders>
          </w:tcPr>
          <w:p>
            <w:pPr>
              <w:spacing w:after="0"/>
              <w:rPr>
                <w:sz w:val="18"/>
                <w:szCs w:val="18"/>
                <w:color w:val="auto"/>
              </w:rPr>
            </w:pPr>
          </w:p>
        </w:tc>
        <w:tc>
          <w:tcPr>
            <w:tcW w:w="600" w:type="dxa"/>
            <w:vAlign w:val="bottom"/>
            <w:tcBorders>
              <w:top w:val="single" w:sz="8" w:color="7F7F7F"/>
            </w:tcBorders>
          </w:tcPr>
          <w:p>
            <w:pPr>
              <w:spacing w:after="0"/>
              <w:rPr>
                <w:sz w:val="18"/>
                <w:szCs w:val="18"/>
                <w:color w:val="auto"/>
              </w:rPr>
            </w:pPr>
          </w:p>
        </w:tc>
      </w:tr>
      <w:tr>
        <w:trPr>
          <w:trHeight w:val="26"/>
        </w:trPr>
        <w:tc>
          <w:tcPr>
            <w:tcW w:w="29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Borders>
              <w:right w:val="single" w:sz="8" w:color="7F7F7F"/>
            </w:tcBorders>
          </w:tcPr>
          <w:p>
            <w:pPr>
              <w:spacing w:after="0"/>
              <w:rPr>
                <w:sz w:val="2"/>
                <w:szCs w:val="2"/>
                <w:color w:val="auto"/>
              </w:rPr>
            </w:pPr>
          </w:p>
        </w:tc>
        <w:tc>
          <w:tcPr>
            <w:tcW w:w="320" w:type="dxa"/>
            <w:vAlign w:val="bottom"/>
            <w:shd w:val="clear" w:color="auto" w:fill="7F7F7F"/>
          </w:tcPr>
          <w:p>
            <w:pPr>
              <w:spacing w:after="0"/>
              <w:rPr>
                <w:sz w:val="2"/>
                <w:szCs w:val="2"/>
                <w:color w:val="auto"/>
              </w:rPr>
            </w:pPr>
          </w:p>
        </w:tc>
        <w:tc>
          <w:tcPr>
            <w:tcW w:w="660" w:type="dxa"/>
            <w:vAlign w:val="bottom"/>
            <w:shd w:val="clear" w:color="auto" w:fill="7F7F7F"/>
          </w:tcPr>
          <w:p>
            <w:pPr>
              <w:spacing w:after="0"/>
              <w:rPr>
                <w:sz w:val="2"/>
                <w:szCs w:val="2"/>
                <w:color w:val="auto"/>
              </w:rPr>
            </w:pPr>
          </w:p>
        </w:tc>
        <w:tc>
          <w:tcPr>
            <w:tcW w:w="300" w:type="dxa"/>
            <w:vAlign w:val="bottom"/>
            <w:shd w:val="clear" w:color="auto" w:fill="7F7F7F"/>
          </w:tcPr>
          <w:p>
            <w:pPr>
              <w:spacing w:after="0"/>
              <w:rPr>
                <w:sz w:val="2"/>
                <w:szCs w:val="2"/>
                <w:color w:val="auto"/>
              </w:rPr>
            </w:pPr>
          </w:p>
        </w:tc>
        <w:tc>
          <w:tcPr>
            <w:tcW w:w="640" w:type="dxa"/>
            <w:vAlign w:val="bottom"/>
            <w:shd w:val="clear" w:color="auto" w:fill="7F7F7F"/>
          </w:tcPr>
          <w:p>
            <w:pPr>
              <w:spacing w:after="0"/>
              <w:rPr>
                <w:sz w:val="2"/>
                <w:szCs w:val="2"/>
                <w:color w:val="auto"/>
              </w:rPr>
            </w:pPr>
          </w:p>
        </w:tc>
        <w:tc>
          <w:tcPr>
            <w:tcW w:w="340" w:type="dxa"/>
            <w:vAlign w:val="bottom"/>
            <w:shd w:val="clear" w:color="auto" w:fill="7F7F7F"/>
          </w:tcPr>
          <w:p>
            <w:pPr>
              <w:spacing w:after="0"/>
              <w:rPr>
                <w:sz w:val="2"/>
                <w:szCs w:val="2"/>
                <w:color w:val="auto"/>
              </w:rPr>
            </w:pPr>
          </w:p>
        </w:tc>
        <w:tc>
          <w:tcPr>
            <w:tcW w:w="660" w:type="dxa"/>
            <w:vAlign w:val="bottom"/>
            <w:shd w:val="clear" w:color="auto" w:fill="7F7F7F"/>
          </w:tcPr>
          <w:p>
            <w:pPr>
              <w:spacing w:after="0"/>
              <w:rPr>
                <w:sz w:val="2"/>
                <w:szCs w:val="2"/>
                <w:color w:val="auto"/>
              </w:rPr>
            </w:pPr>
          </w:p>
        </w:tc>
        <w:tc>
          <w:tcPr>
            <w:tcW w:w="300" w:type="dxa"/>
            <w:vAlign w:val="bottom"/>
            <w:shd w:val="clear" w:color="auto" w:fill="7F7F7F"/>
          </w:tcPr>
          <w:p>
            <w:pPr>
              <w:spacing w:after="0"/>
              <w:rPr>
                <w:sz w:val="2"/>
                <w:szCs w:val="2"/>
                <w:color w:val="auto"/>
              </w:rPr>
            </w:pPr>
          </w:p>
        </w:tc>
        <w:tc>
          <w:tcPr>
            <w:tcW w:w="660" w:type="dxa"/>
            <w:vAlign w:val="bottom"/>
            <w:shd w:val="clear" w:color="auto" w:fill="7F7F7F"/>
          </w:tcPr>
          <w:p>
            <w:pPr>
              <w:spacing w:after="0"/>
              <w:rPr>
                <w:sz w:val="2"/>
                <w:szCs w:val="2"/>
                <w:color w:val="auto"/>
              </w:rPr>
            </w:pPr>
          </w:p>
        </w:tc>
        <w:tc>
          <w:tcPr>
            <w:tcW w:w="280" w:type="dxa"/>
            <w:vAlign w:val="bottom"/>
            <w:shd w:val="clear" w:color="auto" w:fill="7F7F7F"/>
          </w:tcPr>
          <w:p>
            <w:pPr>
              <w:spacing w:after="0"/>
              <w:rPr>
                <w:sz w:val="2"/>
                <w:szCs w:val="2"/>
                <w:color w:val="auto"/>
              </w:rPr>
            </w:pPr>
          </w:p>
        </w:tc>
        <w:tc>
          <w:tcPr>
            <w:tcW w:w="700" w:type="dxa"/>
            <w:vAlign w:val="bottom"/>
            <w:shd w:val="clear" w:color="auto" w:fill="7F7F7F"/>
          </w:tcPr>
          <w:p>
            <w:pPr>
              <w:spacing w:after="0"/>
              <w:rPr>
                <w:sz w:val="2"/>
                <w:szCs w:val="2"/>
                <w:color w:val="auto"/>
              </w:rPr>
            </w:pPr>
          </w:p>
        </w:tc>
        <w:tc>
          <w:tcPr>
            <w:tcW w:w="360" w:type="dxa"/>
            <w:vAlign w:val="bottom"/>
            <w:shd w:val="clear" w:color="auto" w:fill="7F7F7F"/>
          </w:tcPr>
          <w:p>
            <w:pPr>
              <w:spacing w:after="0"/>
              <w:rPr>
                <w:sz w:val="2"/>
                <w:szCs w:val="2"/>
                <w:color w:val="auto"/>
              </w:rPr>
            </w:pPr>
          </w:p>
        </w:tc>
        <w:tc>
          <w:tcPr>
            <w:tcW w:w="600" w:type="dxa"/>
            <w:vAlign w:val="bottom"/>
            <w:shd w:val="clear" w:color="auto" w:fill="7F7F7F"/>
          </w:tcPr>
          <w:p>
            <w:pPr>
              <w:spacing w:after="0"/>
              <w:rPr>
                <w:sz w:val="2"/>
                <w:szCs w:val="2"/>
                <w:color w:val="auto"/>
              </w:rPr>
            </w:pPr>
          </w:p>
        </w:tc>
      </w:tr>
      <w:tr>
        <w:trPr>
          <w:trHeight w:val="216"/>
        </w:trPr>
        <w:tc>
          <w:tcPr>
            <w:tcW w:w="2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through</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2"/>
        </w:trPr>
        <w:tc>
          <w:tcPr>
            <w:tcW w:w="29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Contractual Obligations</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i w:val="1"/>
                <w:iCs w:val="1"/>
                <w:color w:val="auto"/>
              </w:rPr>
              <w:t>Dec. 31,</w:t>
            </w: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After</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1"/>
        </w:trPr>
        <w:tc>
          <w:tcPr>
            <w:tcW w:w="290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820" w:type="dxa"/>
            <w:vAlign w:val="bottom"/>
            <w:tcBorders>
              <w:bottom w:val="single" w:sz="8" w:color="7F7F7F"/>
            </w:tcBorders>
          </w:tcPr>
          <w:p>
            <w:pPr>
              <w:spacing w:after="0"/>
              <w:rPr>
                <w:sz w:val="16"/>
                <w:szCs w:val="16"/>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Total</w:t>
            </w:r>
          </w:p>
        </w:tc>
        <w:tc>
          <w:tcPr>
            <w:tcW w:w="260" w:type="dxa"/>
            <w:vAlign w:val="bottom"/>
            <w:tcBorders>
              <w:bottom w:val="single" w:sz="8" w:color="7F7F7F"/>
            </w:tcBorders>
          </w:tcPr>
          <w:p>
            <w:pPr>
              <w:spacing w:after="0"/>
              <w:rPr>
                <w:sz w:val="16"/>
                <w:szCs w:val="16"/>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2020</w:t>
            </w:r>
          </w:p>
        </w:tc>
        <w:tc>
          <w:tcPr>
            <w:tcW w:w="32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2021</w:t>
            </w:r>
          </w:p>
        </w:tc>
        <w:tc>
          <w:tcPr>
            <w:tcW w:w="300" w:type="dxa"/>
            <w:vAlign w:val="bottom"/>
            <w:tcBorders>
              <w:bottom w:val="single" w:sz="8" w:color="7F7F7F"/>
            </w:tcBorders>
          </w:tcPr>
          <w:p>
            <w:pPr>
              <w:spacing w:after="0"/>
              <w:rPr>
                <w:sz w:val="16"/>
                <w:szCs w:val="16"/>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2022</w:t>
            </w:r>
          </w:p>
        </w:tc>
        <w:tc>
          <w:tcPr>
            <w:tcW w:w="34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2023</w:t>
            </w:r>
          </w:p>
        </w:tc>
        <w:tc>
          <w:tcPr>
            <w:tcW w:w="30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2024</w:t>
            </w:r>
          </w:p>
        </w:tc>
        <w:tc>
          <w:tcPr>
            <w:tcW w:w="280" w:type="dxa"/>
            <w:vAlign w:val="bottom"/>
            <w:tcBorders>
              <w:bottom w:val="single" w:sz="8" w:color="7F7F7F"/>
            </w:tcBorders>
          </w:tcPr>
          <w:p>
            <w:pPr>
              <w:spacing w:after="0"/>
              <w:rPr>
                <w:sz w:val="16"/>
                <w:szCs w:val="16"/>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2024</w:t>
            </w:r>
          </w:p>
        </w:tc>
        <w:tc>
          <w:tcPr>
            <w:tcW w:w="360" w:type="dxa"/>
            <w:vAlign w:val="bottom"/>
            <w:tcBorders>
              <w:bottom w:val="single" w:sz="8" w:color="7F7F7F"/>
            </w:tcBorders>
          </w:tcPr>
          <w:p>
            <w:pPr>
              <w:spacing w:after="0"/>
              <w:rPr>
                <w:sz w:val="16"/>
                <w:szCs w:val="16"/>
                <w:color w:val="auto"/>
              </w:rPr>
            </w:pP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Other</w:t>
            </w:r>
          </w:p>
        </w:tc>
      </w:tr>
      <w:tr>
        <w:trPr>
          <w:trHeight w:val="197"/>
        </w:trPr>
        <w:tc>
          <w:tcPr>
            <w:tcW w:w="2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[a]</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48,918</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1,548</w:t>
            </w:r>
          </w:p>
        </w:tc>
        <w:tc>
          <w:tcPr>
            <w:tcW w:w="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2,148</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2,236</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2,255</w:t>
            </w:r>
          </w:p>
        </w:tc>
        <w:tc>
          <w:tcPr>
            <w:tcW w:w="2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38,061</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900" w:type="dxa"/>
            <w:vAlign w:val="bottom"/>
          </w:tcPr>
          <w:p>
            <w:pPr>
              <w:ind w:left="40"/>
              <w:spacing w:after="0"/>
              <w:rPr>
                <w:sz w:val="20"/>
                <w:szCs w:val="20"/>
                <w:color w:val="auto"/>
              </w:rPr>
            </w:pPr>
            <w:r>
              <w:rPr>
                <w:rFonts w:ascii="Arial" w:cs="Arial" w:eastAsia="Arial" w:hAnsi="Arial"/>
                <w:sz w:val="16"/>
                <w:szCs w:val="16"/>
                <w:color w:val="auto"/>
              </w:rPr>
              <w:t>Operating leases [b]</w:t>
            </w:r>
          </w:p>
        </w:tc>
        <w:tc>
          <w:tcPr>
            <w:tcW w:w="82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1,935</w:t>
            </w:r>
          </w:p>
        </w:tc>
        <w:tc>
          <w:tcPr>
            <w:tcW w:w="26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147</w:t>
            </w:r>
          </w:p>
        </w:tc>
        <w:tc>
          <w:tcPr>
            <w:tcW w:w="32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302</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267</w:t>
            </w:r>
          </w:p>
        </w:tc>
        <w:tc>
          <w:tcPr>
            <w:tcW w:w="34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226</w:t>
            </w:r>
          </w:p>
        </w:tc>
        <w:tc>
          <w:tcPr>
            <w:tcW w:w="30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216</w:t>
            </w:r>
          </w:p>
        </w:tc>
        <w:tc>
          <w:tcPr>
            <w:tcW w:w="28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777</w:t>
            </w: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Finance lease obligations [c]</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640</w:t>
            </w:r>
          </w:p>
        </w:tc>
        <w:tc>
          <w:tcPr>
            <w:tcW w:w="2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84</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124</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900" w:type="dxa"/>
            <w:vAlign w:val="bottom"/>
          </w:tcPr>
          <w:p>
            <w:pPr>
              <w:ind w:left="40"/>
              <w:spacing w:after="0"/>
              <w:rPr>
                <w:sz w:val="20"/>
                <w:szCs w:val="20"/>
                <w:color w:val="auto"/>
              </w:rPr>
            </w:pPr>
            <w:r>
              <w:rPr>
                <w:rFonts w:ascii="Arial" w:cs="Arial" w:eastAsia="Arial" w:hAnsi="Arial"/>
                <w:sz w:val="16"/>
                <w:szCs w:val="16"/>
                <w:color w:val="auto"/>
              </w:rPr>
              <w:t>Purchase obligations [d]</w:t>
            </w:r>
          </w:p>
        </w:tc>
        <w:tc>
          <w:tcPr>
            <w:tcW w:w="82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2,664</w:t>
            </w:r>
          </w:p>
        </w:tc>
        <w:tc>
          <w:tcPr>
            <w:tcW w:w="26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1,060</w:t>
            </w:r>
          </w:p>
        </w:tc>
        <w:tc>
          <w:tcPr>
            <w:tcW w:w="32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458</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219</w:t>
            </w:r>
          </w:p>
        </w:tc>
        <w:tc>
          <w:tcPr>
            <w:tcW w:w="340" w:type="dxa"/>
            <w:vAlign w:val="bottom"/>
          </w:tcPr>
          <w:p>
            <w:pPr>
              <w:spacing w:after="0"/>
              <w:rPr>
                <w:sz w:val="17"/>
                <w:szCs w:val="17"/>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169</w:t>
            </w:r>
          </w:p>
        </w:tc>
        <w:tc>
          <w:tcPr>
            <w:tcW w:w="30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153</w:t>
            </w:r>
          </w:p>
        </w:tc>
        <w:tc>
          <w:tcPr>
            <w:tcW w:w="28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602</w:t>
            </w: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2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postretirement benefits [e]</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313</w:t>
            </w:r>
          </w:p>
        </w:tc>
        <w:tc>
          <w:tcPr>
            <w:tcW w:w="2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90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Income tax contingencies [f]</w:t>
            </w:r>
          </w:p>
        </w:tc>
        <w:tc>
          <w:tcPr>
            <w:tcW w:w="82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tcPr>
          <w:p>
            <w:pPr>
              <w:jc w:val="right"/>
              <w:ind w:right="1"/>
              <w:spacing w:after="0"/>
              <w:rPr>
                <w:sz w:val="20"/>
                <w:szCs w:val="20"/>
                <w:color w:val="auto"/>
              </w:rPr>
            </w:pPr>
            <w:r>
              <w:rPr>
                <w:rFonts w:ascii="Arial" w:cs="Arial" w:eastAsia="Arial" w:hAnsi="Arial"/>
                <w:sz w:val="16"/>
                <w:szCs w:val="16"/>
                <w:color w:val="auto"/>
              </w:rPr>
              <w:t>67</w:t>
            </w:r>
          </w:p>
        </w:tc>
        <w:tc>
          <w:tcPr>
            <w:tcW w:w="260" w:type="dxa"/>
            <w:vAlign w:val="bottom"/>
            <w:tcBorders>
              <w:bottom w:val="single" w:sz="8" w:color="7F7F7F"/>
            </w:tcBorders>
          </w:tcPr>
          <w:p>
            <w:pPr>
              <w:spacing w:after="0"/>
              <w:rPr>
                <w:sz w:val="17"/>
                <w:szCs w:val="17"/>
                <w:color w:val="auto"/>
              </w:rPr>
            </w:pPr>
          </w:p>
        </w:tc>
        <w:tc>
          <w:tcPr>
            <w:tcW w:w="740" w:type="dxa"/>
            <w:vAlign w:val="bottom"/>
            <w:tcBorders>
              <w:bottom w:val="single" w:sz="8" w:color="7F7F7F"/>
            </w:tcBorders>
          </w:tcPr>
          <w:p>
            <w:pPr>
              <w:jc w:val="right"/>
              <w:ind w:right="1"/>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7F7F7F"/>
            </w:tcBorders>
          </w:tcPr>
          <w:p>
            <w:pPr>
              <w:spacing w:after="0"/>
              <w:rPr>
                <w:sz w:val="17"/>
                <w:szCs w:val="17"/>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spacing w:after="0"/>
              <w:rPr>
                <w:sz w:val="17"/>
                <w:szCs w:val="17"/>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7F7F7F"/>
            </w:tcBorders>
          </w:tcPr>
          <w:p>
            <w:pPr>
              <w:spacing w:after="0"/>
              <w:rPr>
                <w:sz w:val="17"/>
                <w:szCs w:val="17"/>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7F7F7F"/>
            </w:tcBorders>
          </w:tcPr>
          <w:p>
            <w:pPr>
              <w:spacing w:after="0"/>
              <w:rPr>
                <w:sz w:val="17"/>
                <w:szCs w:val="17"/>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7F7F7F"/>
            </w:tcBorders>
          </w:tcPr>
          <w:p>
            <w:pPr>
              <w:spacing w:after="0"/>
              <w:rPr>
                <w:sz w:val="17"/>
                <w:szCs w:val="17"/>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65</w:t>
            </w:r>
          </w:p>
        </w:tc>
      </w:tr>
      <w:tr>
        <w:trPr>
          <w:trHeight w:val="268"/>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contractual obligations</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54,537</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right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2,878</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3,086</w:t>
            </w: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3,316</w:t>
            </w:r>
          </w:p>
        </w:tc>
        <w:tc>
          <w:tcPr>
            <w:tcW w:w="3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2,752</w:t>
            </w: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2,728</w:t>
            </w:r>
          </w:p>
        </w:tc>
        <w:tc>
          <w:tcPr>
            <w:tcW w:w="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39,709</w:t>
            </w: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39"/>
        </w:trPr>
        <w:tc>
          <w:tcPr>
            <w:tcW w:w="2900" w:type="dxa"/>
            <w:vAlign w:val="bottom"/>
            <w:shd w:val="clear" w:color="auto" w:fill="7F7F7F"/>
          </w:tcPr>
          <w:p>
            <w:pPr>
              <w:spacing w:after="0"/>
              <w:rPr>
                <w:sz w:val="3"/>
                <w:szCs w:val="3"/>
                <w:color w:val="auto"/>
              </w:rPr>
            </w:pPr>
          </w:p>
        </w:tc>
        <w:tc>
          <w:tcPr>
            <w:tcW w:w="820" w:type="dxa"/>
            <w:vAlign w:val="bottom"/>
            <w:shd w:val="clear" w:color="auto" w:fill="7F7F7F"/>
          </w:tcPr>
          <w:p>
            <w:pPr>
              <w:spacing w:after="0"/>
              <w:rPr>
                <w:sz w:val="3"/>
                <w:szCs w:val="3"/>
                <w:color w:val="auto"/>
              </w:rPr>
            </w:pPr>
          </w:p>
        </w:tc>
        <w:tc>
          <w:tcPr>
            <w:tcW w:w="700" w:type="dxa"/>
            <w:vAlign w:val="bottom"/>
            <w:shd w:val="clear" w:color="auto" w:fill="7F7F7F"/>
          </w:tcPr>
          <w:p>
            <w:pPr>
              <w:spacing w:after="0"/>
              <w:rPr>
                <w:sz w:val="3"/>
                <w:szCs w:val="3"/>
                <w:color w:val="auto"/>
              </w:rPr>
            </w:pPr>
          </w:p>
        </w:tc>
        <w:tc>
          <w:tcPr>
            <w:tcW w:w="260" w:type="dxa"/>
            <w:vAlign w:val="bottom"/>
            <w:shd w:val="clear" w:color="auto" w:fill="7F7F7F"/>
          </w:tcPr>
          <w:p>
            <w:pPr>
              <w:spacing w:after="0"/>
              <w:rPr>
                <w:sz w:val="3"/>
                <w:szCs w:val="3"/>
                <w:color w:val="auto"/>
              </w:rPr>
            </w:pPr>
          </w:p>
        </w:tc>
        <w:tc>
          <w:tcPr>
            <w:tcW w:w="740" w:type="dxa"/>
            <w:vAlign w:val="bottom"/>
            <w:tcBorders>
              <w:right w:val="single" w:sz="8" w:color="7F7F7F"/>
            </w:tcBorders>
            <w:shd w:val="clear" w:color="auto" w:fill="7F7F7F"/>
          </w:tcPr>
          <w:p>
            <w:pPr>
              <w:spacing w:after="0"/>
              <w:rPr>
                <w:sz w:val="3"/>
                <w:szCs w:val="3"/>
                <w:color w:val="auto"/>
              </w:rPr>
            </w:pPr>
          </w:p>
        </w:tc>
        <w:tc>
          <w:tcPr>
            <w:tcW w:w="320" w:type="dxa"/>
            <w:vAlign w:val="bottom"/>
            <w:shd w:val="clear" w:color="auto" w:fill="7F7F7F"/>
          </w:tcPr>
          <w:p>
            <w:pPr>
              <w:spacing w:after="0"/>
              <w:rPr>
                <w:sz w:val="3"/>
                <w:szCs w:val="3"/>
                <w:color w:val="auto"/>
              </w:rPr>
            </w:pPr>
          </w:p>
        </w:tc>
        <w:tc>
          <w:tcPr>
            <w:tcW w:w="660" w:type="dxa"/>
            <w:vAlign w:val="bottom"/>
            <w:shd w:val="clear" w:color="auto" w:fill="7F7F7F"/>
          </w:tcPr>
          <w:p>
            <w:pPr>
              <w:spacing w:after="0"/>
              <w:rPr>
                <w:sz w:val="3"/>
                <w:szCs w:val="3"/>
                <w:color w:val="auto"/>
              </w:rPr>
            </w:pPr>
          </w:p>
        </w:tc>
        <w:tc>
          <w:tcPr>
            <w:tcW w:w="300" w:type="dxa"/>
            <w:vAlign w:val="bottom"/>
            <w:shd w:val="clear" w:color="auto" w:fill="7F7F7F"/>
          </w:tcPr>
          <w:p>
            <w:pPr>
              <w:spacing w:after="0"/>
              <w:rPr>
                <w:sz w:val="3"/>
                <w:szCs w:val="3"/>
                <w:color w:val="auto"/>
              </w:rPr>
            </w:pPr>
          </w:p>
        </w:tc>
        <w:tc>
          <w:tcPr>
            <w:tcW w:w="640" w:type="dxa"/>
            <w:vAlign w:val="bottom"/>
            <w:shd w:val="clear" w:color="auto" w:fill="7F7F7F"/>
          </w:tcPr>
          <w:p>
            <w:pPr>
              <w:spacing w:after="0"/>
              <w:rPr>
                <w:sz w:val="3"/>
                <w:szCs w:val="3"/>
                <w:color w:val="auto"/>
              </w:rPr>
            </w:pPr>
          </w:p>
        </w:tc>
        <w:tc>
          <w:tcPr>
            <w:tcW w:w="340" w:type="dxa"/>
            <w:vAlign w:val="bottom"/>
            <w:shd w:val="clear" w:color="auto" w:fill="7F7F7F"/>
          </w:tcPr>
          <w:p>
            <w:pPr>
              <w:spacing w:after="0"/>
              <w:rPr>
                <w:sz w:val="3"/>
                <w:szCs w:val="3"/>
                <w:color w:val="auto"/>
              </w:rPr>
            </w:pPr>
          </w:p>
        </w:tc>
        <w:tc>
          <w:tcPr>
            <w:tcW w:w="660" w:type="dxa"/>
            <w:vAlign w:val="bottom"/>
            <w:shd w:val="clear" w:color="auto" w:fill="7F7F7F"/>
          </w:tcPr>
          <w:p>
            <w:pPr>
              <w:spacing w:after="0"/>
              <w:rPr>
                <w:sz w:val="3"/>
                <w:szCs w:val="3"/>
                <w:color w:val="auto"/>
              </w:rPr>
            </w:pPr>
          </w:p>
        </w:tc>
        <w:tc>
          <w:tcPr>
            <w:tcW w:w="300" w:type="dxa"/>
            <w:vAlign w:val="bottom"/>
            <w:shd w:val="clear" w:color="auto" w:fill="7F7F7F"/>
          </w:tcPr>
          <w:p>
            <w:pPr>
              <w:spacing w:after="0"/>
              <w:rPr>
                <w:sz w:val="3"/>
                <w:szCs w:val="3"/>
                <w:color w:val="auto"/>
              </w:rPr>
            </w:pPr>
          </w:p>
        </w:tc>
        <w:tc>
          <w:tcPr>
            <w:tcW w:w="660" w:type="dxa"/>
            <w:vAlign w:val="bottom"/>
            <w:shd w:val="clear" w:color="auto" w:fill="7F7F7F"/>
          </w:tcPr>
          <w:p>
            <w:pPr>
              <w:spacing w:after="0"/>
              <w:rPr>
                <w:sz w:val="3"/>
                <w:szCs w:val="3"/>
                <w:color w:val="auto"/>
              </w:rPr>
            </w:pPr>
          </w:p>
        </w:tc>
        <w:tc>
          <w:tcPr>
            <w:tcW w:w="280" w:type="dxa"/>
            <w:vAlign w:val="bottom"/>
            <w:shd w:val="clear" w:color="auto" w:fill="7F7F7F"/>
          </w:tcPr>
          <w:p>
            <w:pPr>
              <w:spacing w:after="0"/>
              <w:rPr>
                <w:sz w:val="3"/>
                <w:szCs w:val="3"/>
                <w:color w:val="auto"/>
              </w:rPr>
            </w:pPr>
          </w:p>
        </w:tc>
        <w:tc>
          <w:tcPr>
            <w:tcW w:w="700" w:type="dxa"/>
            <w:vAlign w:val="bottom"/>
            <w:shd w:val="clear" w:color="auto" w:fill="7F7F7F"/>
          </w:tcPr>
          <w:p>
            <w:pPr>
              <w:spacing w:after="0"/>
              <w:rPr>
                <w:sz w:val="3"/>
                <w:szCs w:val="3"/>
                <w:color w:val="auto"/>
              </w:rPr>
            </w:pPr>
          </w:p>
        </w:tc>
        <w:tc>
          <w:tcPr>
            <w:tcW w:w="360" w:type="dxa"/>
            <w:vAlign w:val="bottom"/>
            <w:shd w:val="clear" w:color="auto" w:fill="7F7F7F"/>
          </w:tcPr>
          <w:p>
            <w:pPr>
              <w:spacing w:after="0"/>
              <w:rPr>
                <w:sz w:val="3"/>
                <w:szCs w:val="3"/>
                <w:color w:val="auto"/>
              </w:rPr>
            </w:pPr>
          </w:p>
        </w:tc>
        <w:tc>
          <w:tcPr>
            <w:tcW w:w="600" w:type="dxa"/>
            <w:vAlign w:val="bottom"/>
            <w:shd w:val="clear" w:color="auto" w:fill="7F7F7F"/>
          </w:tcPr>
          <w:p>
            <w:pPr>
              <w:spacing w:after="0"/>
              <w:rPr>
                <w:sz w:val="3"/>
                <w:szCs w:val="3"/>
                <w:color w:val="auto"/>
              </w:rPr>
            </w:pPr>
          </w:p>
        </w:tc>
      </w:tr>
    </w:tbl>
    <w:p>
      <w:pPr>
        <w:spacing w:after="0" w:line="161" w:lineRule="exact"/>
        <w:rPr>
          <w:sz w:val="20"/>
          <w:szCs w:val="20"/>
          <w:color w:val="auto"/>
        </w:rPr>
      </w:pPr>
    </w:p>
    <w:p>
      <w:pPr>
        <w:ind w:left="320" w:hanging="315"/>
        <w:spacing w:after="0" w:line="247" w:lineRule="auto"/>
        <w:tabs>
          <w:tab w:leader="none" w:pos="3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Excludes finance lease obligations of $552 million, as well as unamortized discount and deferred issuance costs of $(1,212) million. Includes an interest component of $20,382 million.</w:t>
      </w:r>
    </w:p>
    <w:p>
      <w:pPr>
        <w:spacing w:after="0" w:line="9" w:lineRule="exact"/>
        <w:rPr>
          <w:rFonts w:ascii="Arial" w:cs="Arial" w:eastAsia="Arial" w:hAnsi="Arial"/>
          <w:sz w:val="14"/>
          <w:szCs w:val="14"/>
          <w:i w:val="1"/>
          <w:iCs w:val="1"/>
          <w:color w:val="auto"/>
        </w:rPr>
      </w:pPr>
    </w:p>
    <w:p>
      <w:pPr>
        <w:ind w:left="320" w:hanging="315"/>
        <w:spacing w:after="0"/>
        <w:tabs>
          <w:tab w:leader="none" w:pos="3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leases for locomotives, freight cars, other equipment, and real estate. Includes an interest component of $270 million.</w:t>
      </w:r>
    </w:p>
    <w:p>
      <w:pPr>
        <w:spacing w:after="0" w:line="35" w:lineRule="exact"/>
        <w:rPr>
          <w:rFonts w:ascii="Arial" w:cs="Arial" w:eastAsia="Arial" w:hAnsi="Arial"/>
          <w:sz w:val="14"/>
          <w:szCs w:val="14"/>
          <w:i w:val="1"/>
          <w:iCs w:val="1"/>
          <w:color w:val="auto"/>
        </w:rPr>
      </w:pPr>
    </w:p>
    <w:p>
      <w:pPr>
        <w:ind w:left="320" w:hanging="315"/>
        <w:spacing w:after="0"/>
        <w:tabs>
          <w:tab w:leader="none" w:pos="3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total obligations, including interest component of $88 million.</w:t>
      </w:r>
    </w:p>
    <w:p>
      <w:pPr>
        <w:spacing w:after="0" w:line="35" w:lineRule="exact"/>
        <w:rPr>
          <w:rFonts w:ascii="Arial" w:cs="Arial" w:eastAsia="Arial" w:hAnsi="Arial"/>
          <w:sz w:val="14"/>
          <w:szCs w:val="14"/>
          <w:i w:val="1"/>
          <w:iCs w:val="1"/>
          <w:color w:val="auto"/>
        </w:rPr>
      </w:pPr>
    </w:p>
    <w:p>
      <w:pPr>
        <w:ind w:left="320" w:hanging="315"/>
        <w:spacing w:after="0" w:line="247" w:lineRule="auto"/>
        <w:tabs>
          <w:tab w:leader="none" w:pos="3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Purchase obligations include locomotive maintenance contracts; purchase commitments for fuel purchases, locomotives, ties, ballast, and rail; and agreements to purchase other goods and services. For amounts where we cannot reasonably estimate the year of settlement, they are included in the Other column.</w:t>
      </w:r>
    </w:p>
    <w:p>
      <w:pPr>
        <w:spacing w:after="0" w:line="9" w:lineRule="exact"/>
        <w:rPr>
          <w:rFonts w:ascii="Arial" w:cs="Arial" w:eastAsia="Arial" w:hAnsi="Arial"/>
          <w:sz w:val="14"/>
          <w:szCs w:val="14"/>
          <w:i w:val="1"/>
          <w:iCs w:val="1"/>
          <w:color w:val="auto"/>
        </w:rPr>
      </w:pPr>
    </w:p>
    <w:p>
      <w:pPr>
        <w:ind w:left="320" w:hanging="315"/>
        <w:spacing w:after="0"/>
        <w:tabs>
          <w:tab w:leader="none" w:pos="3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estimated other postretirement, medical, and life insurance payments and payments made under the unfunded pension plan for the next ten years.</w:t>
      </w:r>
    </w:p>
    <w:p>
      <w:pPr>
        <w:spacing w:after="0" w:line="35" w:lineRule="exact"/>
        <w:rPr>
          <w:rFonts w:ascii="Arial" w:cs="Arial" w:eastAsia="Arial" w:hAnsi="Arial"/>
          <w:sz w:val="14"/>
          <w:szCs w:val="14"/>
          <w:i w:val="1"/>
          <w:iCs w:val="1"/>
          <w:color w:val="auto"/>
        </w:rPr>
      </w:pPr>
    </w:p>
    <w:p>
      <w:pPr>
        <w:ind w:left="320" w:hanging="315"/>
        <w:spacing w:after="0" w:line="247" w:lineRule="auto"/>
        <w:tabs>
          <w:tab w:leader="none" w:pos="320"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Future cash flows for income tax contingencies reflect the recorded liabilities and assets for unrecognized tax benefits, including any interest or penalties, as of March 31, 2020. For amounts where the year of settlement is uncertain, they are included in the Other column.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Borders>
              <w:top w:val="single" w:sz="8" w:color="7F7F7F"/>
            </w:tcBorders>
          </w:tcPr>
          <w:p>
            <w:pPr>
              <w:spacing w:after="0"/>
              <w:rPr>
                <w:sz w:val="18"/>
                <w:szCs w:val="18"/>
                <w:color w:val="auto"/>
              </w:rPr>
            </w:pPr>
          </w:p>
        </w:tc>
        <w:tc>
          <w:tcPr>
            <w:tcW w:w="1180" w:type="dxa"/>
            <w:vAlign w:val="bottom"/>
            <w:tcBorders>
              <w:top w:val="single" w:sz="8" w:color="7F7F7F"/>
            </w:tcBorders>
          </w:tcPr>
          <w:p>
            <w:pPr>
              <w:spacing w:after="0"/>
              <w:rPr>
                <w:sz w:val="18"/>
                <w:szCs w:val="18"/>
                <w:color w:val="auto"/>
              </w:rPr>
            </w:pPr>
          </w:p>
        </w:tc>
        <w:tc>
          <w:tcPr>
            <w:tcW w:w="680" w:type="dxa"/>
            <w:vAlign w:val="bottom"/>
            <w:tcBorders>
              <w:top w:val="single" w:sz="8" w:color="7F7F7F"/>
            </w:tcBorders>
          </w:tcPr>
          <w:p>
            <w:pPr>
              <w:spacing w:after="0"/>
              <w:rPr>
                <w:sz w:val="18"/>
                <w:szCs w:val="18"/>
                <w:color w:val="auto"/>
              </w:rPr>
            </w:pPr>
          </w:p>
        </w:tc>
        <w:tc>
          <w:tcPr>
            <w:tcW w:w="260" w:type="dxa"/>
            <w:vAlign w:val="bottom"/>
            <w:tcBorders>
              <w:top w:val="single" w:sz="8" w:color="7F7F7F"/>
            </w:tcBorders>
          </w:tcPr>
          <w:p>
            <w:pPr>
              <w:spacing w:after="0"/>
              <w:rPr>
                <w:sz w:val="18"/>
                <w:szCs w:val="18"/>
                <w:color w:val="auto"/>
              </w:rPr>
            </w:pP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6"/>
                <w:szCs w:val="16"/>
                <w:i w:val="1"/>
                <w:iCs w:val="1"/>
                <w:color w:val="auto"/>
              </w:rPr>
              <w:t>Apr. 1</w:t>
            </w:r>
          </w:p>
        </w:tc>
        <w:tc>
          <w:tcPr>
            <w:tcW w:w="420" w:type="dxa"/>
            <w:vAlign w:val="bottom"/>
            <w:tcBorders>
              <w:top w:val="single" w:sz="8" w:color="7F7F7F"/>
              <w:bottom w:val="single" w:sz="8" w:color="7F7F7F"/>
            </w:tcBorders>
          </w:tcPr>
          <w:p>
            <w:pPr>
              <w:spacing w:after="0"/>
              <w:rPr>
                <w:sz w:val="18"/>
                <w:szCs w:val="18"/>
                <w:color w:val="auto"/>
              </w:rPr>
            </w:pPr>
          </w:p>
        </w:tc>
        <w:tc>
          <w:tcPr>
            <w:tcW w:w="3960" w:type="dxa"/>
            <w:vAlign w:val="bottom"/>
            <w:tcBorders>
              <w:top w:val="single" w:sz="8" w:color="7F7F7F"/>
              <w:bottom w:val="single" w:sz="8" w:color="7F7F7F"/>
            </w:tcBorders>
            <w:gridSpan w:val="8"/>
          </w:tcPr>
          <w:p>
            <w:pPr>
              <w:jc w:val="right"/>
              <w:ind w:right="221"/>
              <w:spacing w:after="0"/>
              <w:rPr>
                <w:sz w:val="20"/>
                <w:szCs w:val="20"/>
                <w:color w:val="auto"/>
              </w:rPr>
            </w:pPr>
            <w:r>
              <w:rPr>
                <w:rFonts w:ascii="Arial" w:cs="Arial" w:eastAsia="Arial" w:hAnsi="Arial"/>
                <w:sz w:val="16"/>
                <w:szCs w:val="16"/>
                <w:i w:val="1"/>
                <w:iCs w:val="1"/>
                <w:color w:val="auto"/>
              </w:rPr>
              <w:t>Amount of Commitment Expiration by Dec. 31,</w:t>
            </w:r>
          </w:p>
        </w:tc>
        <w:tc>
          <w:tcPr>
            <w:tcW w:w="560" w:type="dxa"/>
            <w:vAlign w:val="bottom"/>
            <w:tcBorders>
              <w:top w:val="single" w:sz="8" w:color="7F7F7F"/>
              <w:bottom w:val="single" w:sz="8" w:color="7F7F7F"/>
            </w:tcBorders>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through</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34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Other Commercial Commitments</w:t>
            </w:r>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Dec. 31,</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i w:val="1"/>
                <w:iCs w:val="1"/>
                <w:color w:val="auto"/>
              </w:rPr>
              <w:t>After</w:t>
            </w:r>
          </w:p>
        </w:tc>
      </w:tr>
      <w:tr>
        <w:trPr>
          <w:trHeight w:val="191"/>
        </w:trPr>
        <w:tc>
          <w:tcPr>
            <w:tcW w:w="3460" w:type="dxa"/>
            <w:vAlign w:val="bottom"/>
            <w:tcBorders>
              <w:bottom w:val="single" w:sz="8" w:color="7F7F7F"/>
            </w:tcBorders>
          </w:tcPr>
          <w:p>
            <w:pPr>
              <w:ind w:left="40"/>
              <w:spacing w:after="0"/>
              <w:rPr>
                <w:sz w:val="20"/>
                <w:szCs w:val="20"/>
                <w:color w:val="auto"/>
              </w:rPr>
            </w:pPr>
            <w:r>
              <w:rPr>
                <w:rFonts w:ascii="Arial" w:cs="Arial" w:eastAsia="Arial" w:hAnsi="Arial"/>
                <w:sz w:val="16"/>
                <w:szCs w:val="16"/>
                <w:i w:val="1"/>
                <w:iCs w:val="1"/>
                <w:color w:val="auto"/>
              </w:rPr>
              <w:t>Millions</w:t>
            </w:r>
          </w:p>
        </w:tc>
        <w:tc>
          <w:tcPr>
            <w:tcW w:w="1180" w:type="dxa"/>
            <w:vAlign w:val="bottom"/>
            <w:tcBorders>
              <w:bottom w:val="single" w:sz="8" w:color="7F7F7F"/>
            </w:tcBorders>
          </w:tcPr>
          <w:p>
            <w:pPr>
              <w:spacing w:after="0"/>
              <w:rPr>
                <w:sz w:val="16"/>
                <w:szCs w:val="16"/>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Total</w:t>
            </w:r>
          </w:p>
        </w:tc>
        <w:tc>
          <w:tcPr>
            <w:tcW w:w="260" w:type="dxa"/>
            <w:vAlign w:val="bottom"/>
            <w:tcBorders>
              <w:bottom w:val="single" w:sz="8" w:color="7F7F7F"/>
            </w:tcBorders>
          </w:tcPr>
          <w:p>
            <w:pPr>
              <w:spacing w:after="0"/>
              <w:rPr>
                <w:sz w:val="16"/>
                <w:szCs w:val="16"/>
                <w:color w:val="auto"/>
              </w:rPr>
            </w:pP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2020</w:t>
            </w:r>
          </w:p>
        </w:tc>
        <w:tc>
          <w:tcPr>
            <w:tcW w:w="420" w:type="dxa"/>
            <w:vAlign w:val="bottom"/>
            <w:tcBorders>
              <w:bottom w:val="single" w:sz="8" w:color="7F7F7F"/>
            </w:tcBorders>
          </w:tcPr>
          <w:p>
            <w:pPr>
              <w:spacing w:after="0"/>
              <w:rPr>
                <w:sz w:val="16"/>
                <w:szCs w:val="16"/>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2021</w:t>
            </w:r>
          </w:p>
        </w:tc>
        <w:tc>
          <w:tcPr>
            <w:tcW w:w="380" w:type="dxa"/>
            <w:vAlign w:val="bottom"/>
            <w:tcBorders>
              <w:bottom w:val="single" w:sz="8" w:color="7F7F7F"/>
            </w:tcBorders>
          </w:tcPr>
          <w:p>
            <w:pPr>
              <w:spacing w:after="0"/>
              <w:rPr>
                <w:sz w:val="16"/>
                <w:szCs w:val="16"/>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2022</w:t>
            </w:r>
          </w:p>
        </w:tc>
        <w:tc>
          <w:tcPr>
            <w:tcW w:w="320" w:type="dxa"/>
            <w:vAlign w:val="bottom"/>
            <w:tcBorders>
              <w:bottom w:val="single" w:sz="8" w:color="7F7F7F"/>
            </w:tcBorders>
          </w:tcPr>
          <w:p>
            <w:pPr>
              <w:spacing w:after="0"/>
              <w:rPr>
                <w:sz w:val="16"/>
                <w:szCs w:val="16"/>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2023</w:t>
            </w:r>
          </w:p>
        </w:tc>
        <w:tc>
          <w:tcPr>
            <w:tcW w:w="360" w:type="dxa"/>
            <w:vAlign w:val="bottom"/>
            <w:tcBorders>
              <w:bottom w:val="single" w:sz="8" w:color="7F7F7F"/>
            </w:tcBorders>
          </w:tcPr>
          <w:p>
            <w:pPr>
              <w:spacing w:after="0"/>
              <w:rPr>
                <w:sz w:val="16"/>
                <w:szCs w:val="16"/>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2024</w:t>
            </w:r>
          </w:p>
        </w:tc>
        <w:tc>
          <w:tcPr>
            <w:tcW w:w="360" w:type="dxa"/>
            <w:vAlign w:val="bottom"/>
            <w:tcBorders>
              <w:bottom w:val="single" w:sz="8" w:color="7F7F7F"/>
            </w:tcBorders>
          </w:tcPr>
          <w:p>
            <w:pPr>
              <w:spacing w:after="0"/>
              <w:rPr>
                <w:sz w:val="16"/>
                <w:szCs w:val="16"/>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2024</w:t>
            </w:r>
          </w:p>
        </w:tc>
      </w:tr>
      <w:tr>
        <w:trPr>
          <w:trHeight w:val="197"/>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facilities [a]</w:t>
            </w:r>
          </w:p>
        </w:tc>
        <w:tc>
          <w:tcPr>
            <w:tcW w:w="11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2,000</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2,000</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460" w:type="dxa"/>
            <w:vAlign w:val="bottom"/>
          </w:tcPr>
          <w:p>
            <w:pPr>
              <w:ind w:left="40"/>
              <w:spacing w:after="0"/>
              <w:rPr>
                <w:sz w:val="20"/>
                <w:szCs w:val="20"/>
                <w:color w:val="auto"/>
              </w:rPr>
            </w:pPr>
            <w:r>
              <w:rPr>
                <w:rFonts w:ascii="Arial" w:cs="Arial" w:eastAsia="Arial" w:hAnsi="Arial"/>
                <w:sz w:val="16"/>
                <w:szCs w:val="16"/>
                <w:color w:val="auto"/>
              </w:rPr>
              <w:t>Receivables securitization facility [b]</w:t>
            </w:r>
          </w:p>
        </w:tc>
        <w:tc>
          <w:tcPr>
            <w:tcW w:w="118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800</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800</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Guarantees [c]</w:t>
            </w:r>
          </w:p>
        </w:tc>
        <w:tc>
          <w:tcPr>
            <w:tcW w:w="1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460" w:type="dxa"/>
            <w:vAlign w:val="bottom"/>
            <w:tcBorders>
              <w:bottom w:val="single" w:sz="8" w:color="7F7F7F"/>
            </w:tcBorders>
          </w:tcPr>
          <w:p>
            <w:pPr>
              <w:ind w:left="40"/>
              <w:spacing w:after="0"/>
              <w:rPr>
                <w:sz w:val="20"/>
                <w:szCs w:val="20"/>
                <w:color w:val="auto"/>
              </w:rPr>
            </w:pPr>
            <w:r>
              <w:rPr>
                <w:rFonts w:ascii="Arial" w:cs="Arial" w:eastAsia="Arial" w:hAnsi="Arial"/>
                <w:sz w:val="16"/>
                <w:szCs w:val="16"/>
                <w:color w:val="auto"/>
              </w:rPr>
              <w:t>Standby letters of credit [d]</w:t>
            </w:r>
          </w:p>
        </w:tc>
        <w:tc>
          <w:tcPr>
            <w:tcW w:w="118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tcPr>
          <w:p>
            <w:pPr>
              <w:jc w:val="right"/>
              <w:ind w:right="21"/>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7F7F7F"/>
            </w:tcBorders>
          </w:tcPr>
          <w:p>
            <w:pPr>
              <w:spacing w:after="0"/>
              <w:rPr>
                <w:sz w:val="17"/>
                <w:szCs w:val="17"/>
                <w:color w:val="auto"/>
              </w:rPr>
            </w:pP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7</w:t>
            </w:r>
          </w:p>
        </w:tc>
        <w:tc>
          <w:tcPr>
            <w:tcW w:w="420" w:type="dxa"/>
            <w:vAlign w:val="bottom"/>
            <w:tcBorders>
              <w:bottom w:val="single" w:sz="8" w:color="7F7F7F"/>
            </w:tcBorders>
          </w:tcPr>
          <w:p>
            <w:pPr>
              <w:spacing w:after="0"/>
              <w:rPr>
                <w:sz w:val="17"/>
                <w:szCs w:val="17"/>
                <w:color w:val="auto"/>
              </w:rPr>
            </w:pPr>
          </w:p>
        </w:tc>
        <w:tc>
          <w:tcPr>
            <w:tcW w:w="640" w:type="dxa"/>
            <w:vAlign w:val="bottom"/>
            <w:tcBorders>
              <w:bottom w:val="single" w:sz="8" w:color="7F7F7F"/>
            </w:tcBorders>
          </w:tcPr>
          <w:p>
            <w:pPr>
              <w:jc w:val="right"/>
              <w:ind w:right="21"/>
              <w:spacing w:after="0"/>
              <w:rPr>
                <w:sz w:val="20"/>
                <w:szCs w:val="20"/>
                <w:color w:val="auto"/>
              </w:rPr>
            </w:pPr>
            <w:r>
              <w:rPr>
                <w:rFonts w:ascii="Arial" w:cs="Arial" w:eastAsia="Arial" w:hAnsi="Arial"/>
                <w:sz w:val="16"/>
                <w:szCs w:val="16"/>
                <w:color w:val="auto"/>
              </w:rPr>
              <w:t>11</w:t>
            </w:r>
          </w:p>
        </w:tc>
        <w:tc>
          <w:tcPr>
            <w:tcW w:w="38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7F7F7F"/>
            </w:tcBorders>
          </w:tcPr>
          <w:p>
            <w:pPr>
              <w:spacing w:after="0"/>
              <w:rPr>
                <w:sz w:val="17"/>
                <w:szCs w:val="17"/>
                <w:color w:val="auto"/>
              </w:rPr>
            </w:pPr>
          </w:p>
        </w:tc>
        <w:tc>
          <w:tcPr>
            <w:tcW w:w="6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7F7F7F"/>
            </w:tcBorders>
          </w:tcPr>
          <w:p>
            <w:pPr>
              <w:spacing w:after="0"/>
              <w:rPr>
                <w:sz w:val="17"/>
                <w:szCs w:val="17"/>
                <w:color w:val="auto"/>
              </w:rPr>
            </w:pPr>
          </w:p>
        </w:tc>
        <w:tc>
          <w:tcPr>
            <w:tcW w:w="62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7F7F7F"/>
            </w:tcBorders>
          </w:tcPr>
          <w:p>
            <w:pPr>
              <w:spacing w:after="0"/>
              <w:rPr>
                <w:sz w:val="17"/>
                <w:szCs w:val="17"/>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 commitments</w:t>
            </w:r>
          </w:p>
        </w:tc>
        <w:tc>
          <w:tcPr>
            <w:tcW w:w="11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2,833</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2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3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805</w:t>
            </w:r>
          </w:p>
        </w:tc>
        <w:tc>
          <w:tcPr>
            <w:tcW w:w="3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2,000</w:t>
            </w: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9"/>
        </w:trPr>
        <w:tc>
          <w:tcPr>
            <w:tcW w:w="3460" w:type="dxa"/>
            <w:vAlign w:val="bottom"/>
            <w:shd w:val="clear" w:color="auto" w:fill="7F7F7F"/>
          </w:tcPr>
          <w:p>
            <w:pPr>
              <w:spacing w:after="0"/>
              <w:rPr>
                <w:sz w:val="3"/>
                <w:szCs w:val="3"/>
                <w:color w:val="auto"/>
              </w:rPr>
            </w:pPr>
          </w:p>
        </w:tc>
        <w:tc>
          <w:tcPr>
            <w:tcW w:w="1180" w:type="dxa"/>
            <w:vAlign w:val="bottom"/>
            <w:shd w:val="clear" w:color="auto" w:fill="7F7F7F"/>
          </w:tcPr>
          <w:p>
            <w:pPr>
              <w:spacing w:after="0"/>
              <w:rPr>
                <w:sz w:val="3"/>
                <w:szCs w:val="3"/>
                <w:color w:val="auto"/>
              </w:rPr>
            </w:pPr>
          </w:p>
        </w:tc>
        <w:tc>
          <w:tcPr>
            <w:tcW w:w="680" w:type="dxa"/>
            <w:vAlign w:val="bottom"/>
            <w:shd w:val="clear" w:color="auto" w:fill="7F7F7F"/>
          </w:tcPr>
          <w:p>
            <w:pPr>
              <w:spacing w:after="0"/>
              <w:rPr>
                <w:sz w:val="3"/>
                <w:szCs w:val="3"/>
                <w:color w:val="auto"/>
              </w:rPr>
            </w:pPr>
          </w:p>
        </w:tc>
        <w:tc>
          <w:tcPr>
            <w:tcW w:w="260" w:type="dxa"/>
            <w:vAlign w:val="bottom"/>
            <w:shd w:val="clear" w:color="auto" w:fill="7F7F7F"/>
          </w:tcPr>
          <w:p>
            <w:pPr>
              <w:spacing w:after="0"/>
              <w:rPr>
                <w:sz w:val="3"/>
                <w:szCs w:val="3"/>
                <w:color w:val="auto"/>
              </w:rPr>
            </w:pPr>
          </w:p>
        </w:tc>
        <w:tc>
          <w:tcPr>
            <w:tcW w:w="720" w:type="dxa"/>
            <w:vAlign w:val="bottom"/>
            <w:shd w:val="clear" w:color="auto" w:fill="7F7F7F"/>
          </w:tcPr>
          <w:p>
            <w:pPr>
              <w:spacing w:after="0"/>
              <w:rPr>
                <w:sz w:val="3"/>
                <w:szCs w:val="3"/>
                <w:color w:val="auto"/>
              </w:rPr>
            </w:pPr>
          </w:p>
        </w:tc>
        <w:tc>
          <w:tcPr>
            <w:tcW w:w="420" w:type="dxa"/>
            <w:vAlign w:val="bottom"/>
            <w:shd w:val="clear" w:color="auto" w:fill="7F7F7F"/>
          </w:tcPr>
          <w:p>
            <w:pPr>
              <w:spacing w:after="0"/>
              <w:rPr>
                <w:sz w:val="3"/>
                <w:szCs w:val="3"/>
                <w:color w:val="auto"/>
              </w:rPr>
            </w:pPr>
          </w:p>
        </w:tc>
        <w:tc>
          <w:tcPr>
            <w:tcW w:w="640" w:type="dxa"/>
            <w:vAlign w:val="bottom"/>
            <w:shd w:val="clear" w:color="auto" w:fill="7F7F7F"/>
          </w:tcPr>
          <w:p>
            <w:pPr>
              <w:spacing w:after="0"/>
              <w:rPr>
                <w:sz w:val="3"/>
                <w:szCs w:val="3"/>
                <w:color w:val="auto"/>
              </w:rPr>
            </w:pPr>
          </w:p>
        </w:tc>
        <w:tc>
          <w:tcPr>
            <w:tcW w:w="380" w:type="dxa"/>
            <w:vAlign w:val="bottom"/>
            <w:shd w:val="clear" w:color="auto" w:fill="7F7F7F"/>
          </w:tcPr>
          <w:p>
            <w:pPr>
              <w:spacing w:after="0"/>
              <w:rPr>
                <w:sz w:val="3"/>
                <w:szCs w:val="3"/>
                <w:color w:val="auto"/>
              </w:rPr>
            </w:pPr>
          </w:p>
        </w:tc>
        <w:tc>
          <w:tcPr>
            <w:tcW w:w="620" w:type="dxa"/>
            <w:vAlign w:val="bottom"/>
            <w:shd w:val="clear" w:color="auto" w:fill="7F7F7F"/>
          </w:tcPr>
          <w:p>
            <w:pPr>
              <w:spacing w:after="0"/>
              <w:rPr>
                <w:sz w:val="3"/>
                <w:szCs w:val="3"/>
                <w:color w:val="auto"/>
              </w:rPr>
            </w:pPr>
          </w:p>
        </w:tc>
        <w:tc>
          <w:tcPr>
            <w:tcW w:w="320" w:type="dxa"/>
            <w:vAlign w:val="bottom"/>
            <w:shd w:val="clear" w:color="auto" w:fill="7F7F7F"/>
          </w:tcPr>
          <w:p>
            <w:pPr>
              <w:spacing w:after="0"/>
              <w:rPr>
                <w:sz w:val="3"/>
                <w:szCs w:val="3"/>
                <w:color w:val="auto"/>
              </w:rPr>
            </w:pPr>
          </w:p>
        </w:tc>
        <w:tc>
          <w:tcPr>
            <w:tcW w:w="660" w:type="dxa"/>
            <w:vAlign w:val="bottom"/>
            <w:shd w:val="clear" w:color="auto" w:fill="7F7F7F"/>
          </w:tcPr>
          <w:p>
            <w:pPr>
              <w:spacing w:after="0"/>
              <w:rPr>
                <w:sz w:val="3"/>
                <w:szCs w:val="3"/>
                <w:color w:val="auto"/>
              </w:rPr>
            </w:pPr>
          </w:p>
        </w:tc>
        <w:tc>
          <w:tcPr>
            <w:tcW w:w="360" w:type="dxa"/>
            <w:vAlign w:val="bottom"/>
            <w:shd w:val="clear" w:color="auto" w:fill="7F7F7F"/>
          </w:tcPr>
          <w:p>
            <w:pPr>
              <w:spacing w:after="0"/>
              <w:rPr>
                <w:sz w:val="3"/>
                <w:szCs w:val="3"/>
                <w:color w:val="auto"/>
              </w:rPr>
            </w:pPr>
          </w:p>
        </w:tc>
        <w:tc>
          <w:tcPr>
            <w:tcW w:w="620" w:type="dxa"/>
            <w:vAlign w:val="bottom"/>
            <w:shd w:val="clear" w:color="auto" w:fill="7F7F7F"/>
          </w:tcPr>
          <w:p>
            <w:pPr>
              <w:spacing w:after="0"/>
              <w:rPr>
                <w:sz w:val="3"/>
                <w:szCs w:val="3"/>
                <w:color w:val="auto"/>
              </w:rPr>
            </w:pPr>
          </w:p>
        </w:tc>
        <w:tc>
          <w:tcPr>
            <w:tcW w:w="360" w:type="dxa"/>
            <w:vAlign w:val="bottom"/>
            <w:shd w:val="clear" w:color="auto" w:fill="7F7F7F"/>
          </w:tcPr>
          <w:p>
            <w:pPr>
              <w:spacing w:after="0"/>
              <w:rPr>
                <w:sz w:val="3"/>
                <w:szCs w:val="3"/>
                <w:color w:val="auto"/>
              </w:rPr>
            </w:pPr>
          </w:p>
        </w:tc>
        <w:tc>
          <w:tcPr>
            <w:tcW w:w="560" w:type="dxa"/>
            <w:vAlign w:val="bottom"/>
            <w:shd w:val="clear" w:color="auto" w:fill="7F7F7F"/>
          </w:tcPr>
          <w:p>
            <w:pPr>
              <w:spacing w:after="0"/>
              <w:rPr>
                <w:sz w:val="3"/>
                <w:szCs w:val="3"/>
                <w:color w:val="auto"/>
              </w:rPr>
            </w:pPr>
          </w:p>
        </w:tc>
      </w:tr>
    </w:tbl>
    <w:p>
      <w:pPr>
        <w:spacing w:after="0" w:line="161" w:lineRule="exact"/>
        <w:rPr>
          <w:sz w:val="20"/>
          <w:szCs w:val="20"/>
          <w:color w:val="auto"/>
        </w:rPr>
      </w:pPr>
    </w:p>
    <w:p>
      <w:pPr>
        <w:ind w:left="320" w:hanging="315"/>
        <w:spacing w:after="0"/>
        <w:tabs>
          <w:tab w:leader="none" w:pos="3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None of the credit facility was used as of March 31, 2020.</w:t>
      </w:r>
    </w:p>
    <w:p>
      <w:pPr>
        <w:spacing w:after="0" w:line="35" w:lineRule="exact"/>
        <w:rPr>
          <w:rFonts w:ascii="Arial" w:cs="Arial" w:eastAsia="Arial" w:hAnsi="Arial"/>
          <w:sz w:val="14"/>
          <w:szCs w:val="14"/>
          <w:i w:val="1"/>
          <w:iCs w:val="1"/>
          <w:color w:val="auto"/>
        </w:rPr>
      </w:pPr>
    </w:p>
    <w:p>
      <w:pPr>
        <w:ind w:left="320" w:hanging="315"/>
        <w:spacing w:after="0"/>
        <w:tabs>
          <w:tab w:leader="none" w:pos="3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$400 million of the receivables securitization facility was utilized as of March 31, 2020, which is accounted for as debt. The full program matures in July 2022.</w:t>
      </w:r>
    </w:p>
    <w:p>
      <w:pPr>
        <w:spacing w:after="0" w:line="35" w:lineRule="exact"/>
        <w:rPr>
          <w:rFonts w:ascii="Arial" w:cs="Arial" w:eastAsia="Arial" w:hAnsi="Arial"/>
          <w:sz w:val="14"/>
          <w:szCs w:val="14"/>
          <w:i w:val="1"/>
          <w:iCs w:val="1"/>
          <w:color w:val="auto"/>
        </w:rPr>
      </w:pPr>
    </w:p>
    <w:p>
      <w:pPr>
        <w:ind w:left="320" w:hanging="315"/>
        <w:spacing w:after="0"/>
        <w:tabs>
          <w:tab w:leader="none" w:pos="3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Includes guaranteed obligations related to our affiliated operations.</w:t>
      </w:r>
    </w:p>
    <w:p>
      <w:pPr>
        <w:spacing w:after="0" w:line="35" w:lineRule="exact"/>
        <w:rPr>
          <w:rFonts w:ascii="Arial" w:cs="Arial" w:eastAsia="Arial" w:hAnsi="Arial"/>
          <w:sz w:val="14"/>
          <w:szCs w:val="14"/>
          <w:i w:val="1"/>
          <w:iCs w:val="1"/>
          <w:color w:val="auto"/>
        </w:rPr>
      </w:pPr>
    </w:p>
    <w:p>
      <w:pPr>
        <w:ind w:left="320" w:hanging="315"/>
        <w:spacing w:after="0"/>
        <w:tabs>
          <w:tab w:leader="none" w:pos="3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None of the letters of credit were drawn upon as of March 31, 2020.</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17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color w:val="auto"/>
        </w:rPr>
        <w:t xml:space="preserve">Asserted and Unasserted Claims </w:t>
      </w:r>
      <w:r>
        <w:rPr>
          <w:rFonts w:ascii="Arial" w:cs="Arial" w:eastAsia="Arial" w:hAnsi="Arial"/>
          <w:sz w:val="17"/>
          <w:szCs w:val="17"/>
          <w:color w:val="auto"/>
        </w:rPr>
        <w:t>– Various claims and lawsuits are pending against us and certain of our subsidiaries. We cannot fully</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 the effect of all asserted and unasserted claims on our consolidated results of operations, financial condition, or liquidity. To the extent possible, we have recorded a liability where asserted and unasserted claims are considered probable and where such claims can be reasonably estimated. We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4" w:name="page35"/>
    <w:bookmarkEnd w:id="34"/>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b w:val="1"/>
          <w:bCs w:val="1"/>
          <w:color w:val="auto"/>
        </w:rPr>
        <w:t xml:space="preserve">Indemnities </w:t>
      </w:r>
      <w:r>
        <w:rPr>
          <w:rFonts w:ascii="Arial" w:cs="Arial" w:eastAsia="Arial" w:hAnsi="Arial"/>
          <w:sz w:val="17"/>
          <w:szCs w:val="17"/>
          <w:color w:val="auto"/>
        </w:rPr>
        <w:t>– We are contingently obligated under a variety of indemnification arrangements, although in some cases the extent of our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is limited,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Accounting Pronouncements </w:t>
      </w:r>
      <w:r>
        <w:rPr>
          <w:rFonts w:ascii="Arial" w:cs="Arial" w:eastAsia="Arial" w:hAnsi="Arial"/>
          <w:sz w:val="17"/>
          <w:szCs w:val="17"/>
          <w:color w:val="auto"/>
        </w:rPr>
        <w:t>– See Note 2 to the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54"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Our Internet website is www.up.com. We make available free of charge on our website (under the “Investors” caption link) our Annual Reports on Form 10-K; our Quarterly Reports on Form 10-Q; our current reports on Form 8-K; our proxy statements; Forms 3, 4, and 5, filed on behalf of directors and executive officers; and amendments to any such reports filed or furnished pursuant to the Securities Exchange Act of 1934, as amended (the Exchange Act), as soon as reasonably practicable after such material is electronically filed with, or furnished to, the Securities and Exchange Commission (SEC). We also make available on our website previously filed SEC reports and exhibits via a link to EDGAR on the SEC’s Internet site at www.sec.gov. We provide these previously filed reports as a convenience and their contents reflect only information that was true and correct as of the date of the report. We assume no obligation to update this historical information. Additionally, our corporate governance materials, including By-Laws, Board Committee charters, governance guidelines and policies, and codes of conduct and ethics for directors, officers, and employees are available on our website. From time to time, the corporate governance materials on our website may be updated as necessary to comply with rules issued by the SEC and the New York Stock Exchange or as desirable to promote the effective and efficient governance of our company. Any security holder wishing to receive, without charge, a copy of any of our SEC filings or corporate governance materials should send a written request to: Corporate Secretary, Union Pacific Corporation, 1400 Douglas Street, Omaha, NE 68179.</w:t>
      </w:r>
    </w:p>
    <w:p>
      <w:pPr>
        <w:spacing w:after="0" w:line="11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References to our website address in this report, including references in Management’s Discussion and Analysis of Financial Condition and Results of Operations, Item 2, are provided as a convenience and do not constitute, and should not be deemed, an incorporation by reference of the information contained on, or available through, the website. Therefore, such information should not be considered part of this report.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There were no material changes to the Quantitative and Qualitative Disclosures About Market Risk previously disclosed in our 2019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9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As of the end of the period covered by this report, the Corporation carried out an evaluation, under the supervision and with the participation of the Corporation’s management, including the Corporation’s Chief Executive Officer (CEO) and Executive Vice President and Chief Financial Officer (CFO), of the effectiveness of the design and operation of the Corporation’s disclosure controls and procedures pursuant to Exchange Act Rules 13a-15 and 15d-15.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the end of the period covered by this report, the Corporation’s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0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Additionally, the CEO and CFO determined that there were no changes to the Corporation’s internal control over financial reporting (as defined in Exchange Act Rules 13a-15(f) and 15d-15(f)) during the last fiscal quarter that materially affected, or are reasonably likely to materially affect, the Corporation’s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5" w:name="page36"/>
    <w:bookmarkEnd w:id="35"/>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PART II. OTHER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94"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From time to time, we are involved in legal proceedings, claims, and litigation that occur in connection with our business. We routinely assess our liabilities and contingencies in connection with these matters based upon the latest available information and, when necessary, we seek input from our third-party advisors when making these assessments. Consistent with SEC rules and requirements, we describe below material pending legal proceedings (other than ordinary routine litigation incidental to our business), material proceedings known to be contemplated by governmental authorities, other proceedings arising under federal, state, or local environmental laws and regulations (including governmental proceedings involving potential fines, penalties, or other monetary sanctions in excess of $100,000), and such other pending matters that we may determine to be appropriate.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19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We receive notices from the EPA and state environmental agencies alleging that we are or may be liable under federal or state environmental laws for remediation costs at various sites throughout the U.S., including sites on the Superfund National Priorities List or state superfund lists. We cannot predict the ultimate impact of these proceedings and suits because of the number of potentially responsible parties involved, the degree of contamination by various wastes, the scarcity and quality of volumetric data related to many of the sites, and the speculative nature of remediation costs.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7"/>
          <w:szCs w:val="17"/>
          <w:color w:val="auto"/>
        </w:rPr>
        <w:t>Information concerning environmental claims and contingencies and estimated remediation costs is set forth in Management’s Discussion and Analysis of Financial Condition and Results of Operations – Critical Accounting Policies – Environmental, Item 7 of our 2019 Annual Report on Form 10-K.</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Matters</w:t>
      </w:r>
    </w:p>
    <w:p>
      <w:pPr>
        <w:spacing w:after="0" w:line="194"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As reported in our Annual Report on Form 10-K for the fiscal year ended December 31, 2019, in 2016, a lawsuit was filed in U.S. District Court for the Western District of Washington (the District Court-Washington) alleging violations of the Americans with Disabilities Act (ADA) and Genetic Information Nondiscrimination Act relating to Fitness for Duty requirements for safety sensitive positions. On August 8, 2016, the District Court-Washington granted plaintiffs' motion to transfer their claim to the U.S. District Court of Nebraska (the District Court-Nebraska). On February 5, 2019, the District Court-Nebraska granted plaintiffs’ motion to certify the ADA allegations as a class action. We were granted the right to appeal this class certification to the U.S. Court of Appeals for the Eighth Circuit (the Eighth Circuit) on March 13, 2019 and the matter was argued before the Eighth Circuit in November 2019. On March 24, 2020, a panel of Eighth Circuit judges issued a decision overturning the District Court-Nebraska and decertified the class action. Plaintiff’s counsel has indicated that they will not pursue an appeal of the Eighth Circuit’s decision and will instead pursue former class members’ individual potential ADA claims.</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We believe that these lawsuits are without merit, and we will vigorously defend our actions. We currently believe that these matters will not have a material adverse effect on our results of operations, financial condition, and liquidity.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94"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For a discussion of our potential risks and uncertainties, see the risk factor below and the information under Item 1A of our Annual Report on Form 10-K for the year ended December 31, 2019.</w:t>
      </w:r>
    </w:p>
    <w:p>
      <w:pPr>
        <w:spacing w:after="0" w:line="13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Our business, financial condition and results of operations have been adversely affected and in the future could be materially adversely affected by the coronavirus (COVID-19) pandemic.</w:t>
      </w:r>
    </w:p>
    <w:p>
      <w:pPr>
        <w:spacing w:after="0" w:line="13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Our business, financial condition and results of operations have been adversely affected by the COVID-19 pandemic that has caused, and is expected to continue to cause, the global slowdown of economic activity (including the decrease in demand for a broad variety of goods), disruptions in global supply chains and significant volatility and disruption of financial markets and that also has adversely affected workforces, customers, and regional and local economies.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7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Because the severity, magnitude and duration of the COVID-19 pandemic and its economic consequences are uncertain, rapidly changing and difficult to predict, the impact on our business and financial condition remains uncertain and difficult to predict. The ultimate impact of the COVID-19 pandemic on our results of operations and financial condition remains uncertain and depends on numerous evolving factors, many of which are not within our control, and which we may not be able to effectively respond to, including, but not limited to: governmental, business and individuals’ actions that have been and continue to be taken in response to the pandemic (including restrictions on travel and transport, workforce pressures and social distancing and shelter-in-place orders); the effect of the pandemic on economic activity and actions taken in response; the effect on our customers and their demand for our services; the effect of the pandemic on the credit-worthiness of our customers; national or global supply chain challenges or disruption; facility closures; commodity cost volatility; general economic uncertainty in key global markets and financial market volatility; global economic conditions and levels of economic growth; and the pace of recovery when the COVID-19 pandemic subsides, as well as response to a potential reoccurrence.</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7"/>
          <w:szCs w:val="17"/>
          <w:color w:val="auto"/>
        </w:rPr>
        <w:t>Further, the COVID-19 pandemic, and the volatile regional and global economic conditions stemming from the pandemic, could also precipitate or aggravate the other risk factors that we identify in our 2019 Annual Report on Form 10-K, which could materially adversely affect our business, financial condition, results of operations (including revenues and profitability) and/or stock price. Additionally, COVID-19 may also affect our operating and financial results in a manner that is not presently known to us or that we currently do not consider to present significant risks to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7" w:name="page38"/>
    <w:bookmarkEnd w:id="37"/>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 The following table presents common stock repurchases during each month for the first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13613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2476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2120" w:type="dxa"/>
            <w:vAlign w:val="bottom"/>
            <w:vMerge w:val="restart"/>
          </w:tcPr>
          <w:p>
            <w:pPr>
              <w:jc w:val="right"/>
              <w:ind w:right="21"/>
              <w:spacing w:after="0"/>
              <w:rPr>
                <w:sz w:val="20"/>
                <w:szCs w:val="20"/>
                <w:color w:val="auto"/>
              </w:rPr>
            </w:pPr>
            <w:r>
              <w:rPr>
                <w:rFonts w:ascii="Arial" w:cs="Arial" w:eastAsia="Arial" w:hAnsi="Arial"/>
                <w:sz w:val="16"/>
                <w:szCs w:val="16"/>
                <w:i w:val="1"/>
                <w:iCs w:val="1"/>
                <w:color w:val="auto"/>
              </w:rPr>
              <w:t>Total Number of</w:t>
            </w:r>
          </w:p>
        </w:tc>
        <w:tc>
          <w:tcPr>
            <w:tcW w:w="320" w:type="dxa"/>
            <w:vAlign w:val="bottom"/>
          </w:tcPr>
          <w:p>
            <w:pPr>
              <w:spacing w:after="0"/>
              <w:rPr>
                <w:sz w:val="16"/>
                <w:szCs w:val="16"/>
                <w:color w:val="auto"/>
              </w:rPr>
            </w:pPr>
          </w:p>
        </w:tc>
        <w:tc>
          <w:tcPr>
            <w:tcW w:w="1320" w:type="dxa"/>
            <w:vAlign w:val="bottom"/>
            <w:vMerge w:val="restart"/>
          </w:tcPr>
          <w:p>
            <w:pPr>
              <w:jc w:val="center"/>
              <w:ind w:right="181"/>
              <w:spacing w:after="0"/>
              <w:rPr>
                <w:sz w:val="20"/>
                <w:szCs w:val="20"/>
                <w:color w:val="auto"/>
              </w:rPr>
            </w:pPr>
            <w:r>
              <w:rPr>
                <w:rFonts w:ascii="Arial" w:cs="Arial" w:eastAsia="Arial" w:hAnsi="Arial"/>
                <w:sz w:val="16"/>
                <w:szCs w:val="16"/>
                <w:i w:val="1"/>
                <w:iCs w:val="1"/>
                <w:color w:val="auto"/>
                <w:w w:val="97"/>
              </w:rPr>
              <w:t>Average</w:t>
            </w:r>
          </w:p>
        </w:tc>
        <w:tc>
          <w:tcPr>
            <w:tcW w:w="2720" w:type="dxa"/>
            <w:vAlign w:val="bottom"/>
          </w:tcPr>
          <w:p>
            <w:pPr>
              <w:jc w:val="right"/>
              <w:ind w:right="401"/>
              <w:spacing w:after="0"/>
              <w:rPr>
                <w:sz w:val="20"/>
                <w:szCs w:val="20"/>
                <w:color w:val="auto"/>
              </w:rPr>
            </w:pPr>
            <w:r>
              <w:rPr>
                <w:rFonts w:ascii="Arial" w:cs="Arial" w:eastAsia="Arial" w:hAnsi="Arial"/>
                <w:sz w:val="16"/>
                <w:szCs w:val="16"/>
                <w:i w:val="1"/>
                <w:iCs w:val="1"/>
                <w:color w:val="auto"/>
              </w:rPr>
              <w:t>Total Number of Shares</w:t>
            </w:r>
          </w:p>
        </w:tc>
        <w:tc>
          <w:tcPr>
            <w:tcW w:w="2260" w:type="dxa"/>
            <w:vAlign w:val="bottom"/>
          </w:tcPr>
          <w:p>
            <w:pPr>
              <w:jc w:val="right"/>
              <w:spacing w:after="0"/>
              <w:rPr>
                <w:sz w:val="20"/>
                <w:szCs w:val="20"/>
                <w:color w:val="auto"/>
              </w:rPr>
            </w:pPr>
            <w:r>
              <w:rPr>
                <w:rFonts w:ascii="Arial" w:cs="Arial" w:eastAsia="Arial" w:hAnsi="Arial"/>
                <w:sz w:val="16"/>
                <w:szCs w:val="16"/>
                <w:i w:val="1"/>
                <w:iCs w:val="1"/>
                <w:color w:val="auto"/>
              </w:rPr>
              <w:t>Maximum Number of</w:t>
            </w:r>
          </w:p>
        </w:tc>
        <w:tc>
          <w:tcPr>
            <w:tcW w:w="0" w:type="dxa"/>
            <w:vAlign w:val="bottom"/>
          </w:tcPr>
          <w:p>
            <w:pPr>
              <w:spacing w:after="0"/>
              <w:rPr>
                <w:sz w:val="1"/>
                <w:szCs w:val="1"/>
                <w:color w:val="auto"/>
              </w:rPr>
            </w:pPr>
          </w:p>
        </w:tc>
      </w:tr>
      <w:tr>
        <w:trPr>
          <w:trHeight w:val="157"/>
        </w:trPr>
        <w:tc>
          <w:tcPr>
            <w:tcW w:w="2500" w:type="dxa"/>
            <w:vAlign w:val="bottom"/>
          </w:tcPr>
          <w:p>
            <w:pPr>
              <w:spacing w:after="0"/>
              <w:rPr>
                <w:sz w:val="13"/>
                <w:szCs w:val="13"/>
                <w:color w:val="auto"/>
              </w:rPr>
            </w:pPr>
          </w:p>
        </w:tc>
        <w:tc>
          <w:tcPr>
            <w:tcW w:w="21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2720" w:type="dxa"/>
            <w:vAlign w:val="bottom"/>
          </w:tcPr>
          <w:p>
            <w:pPr>
              <w:jc w:val="right"/>
              <w:ind w:right="401"/>
              <w:spacing w:after="0" w:line="158" w:lineRule="exact"/>
              <w:rPr>
                <w:sz w:val="20"/>
                <w:szCs w:val="20"/>
                <w:color w:val="auto"/>
              </w:rPr>
            </w:pPr>
            <w:r>
              <w:rPr>
                <w:rFonts w:ascii="Arial" w:cs="Arial" w:eastAsia="Arial" w:hAnsi="Arial"/>
                <w:sz w:val="16"/>
                <w:szCs w:val="16"/>
                <w:i w:val="1"/>
                <w:iCs w:val="1"/>
                <w:color w:val="auto"/>
              </w:rPr>
              <w:t>Purchased as Part of a</w:t>
            </w:r>
          </w:p>
        </w:tc>
        <w:tc>
          <w:tcPr>
            <w:tcW w:w="2260" w:type="dxa"/>
            <w:vAlign w:val="bottom"/>
          </w:tcPr>
          <w:p>
            <w:pPr>
              <w:jc w:val="right"/>
              <w:spacing w:after="0" w:line="158" w:lineRule="exact"/>
              <w:rPr>
                <w:sz w:val="20"/>
                <w:szCs w:val="20"/>
                <w:color w:val="auto"/>
              </w:rPr>
            </w:pPr>
            <w:r>
              <w:rPr>
                <w:rFonts w:ascii="Arial" w:cs="Arial" w:eastAsia="Arial" w:hAnsi="Arial"/>
                <w:sz w:val="16"/>
                <w:szCs w:val="16"/>
                <w:i w:val="1"/>
                <w:iCs w:val="1"/>
                <w:color w:val="auto"/>
              </w:rPr>
              <w:t>Shares That May Be</w:t>
            </w:r>
          </w:p>
        </w:tc>
        <w:tc>
          <w:tcPr>
            <w:tcW w:w="0" w:type="dxa"/>
            <w:vAlign w:val="bottom"/>
          </w:tcPr>
          <w:p>
            <w:pPr>
              <w:spacing w:after="0"/>
              <w:rPr>
                <w:sz w:val="1"/>
                <w:szCs w:val="1"/>
                <w:color w:val="auto"/>
              </w:rPr>
            </w:pPr>
          </w:p>
        </w:tc>
      </w:tr>
      <w:tr>
        <w:trPr>
          <w:trHeight w:val="157"/>
        </w:trPr>
        <w:tc>
          <w:tcPr>
            <w:tcW w:w="25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Period</w:t>
            </w:r>
          </w:p>
        </w:tc>
        <w:tc>
          <w:tcPr>
            <w:tcW w:w="2120" w:type="dxa"/>
            <w:vAlign w:val="bottom"/>
          </w:tcPr>
          <w:p>
            <w:pPr>
              <w:jc w:val="right"/>
              <w:ind w:right="21"/>
              <w:spacing w:after="0" w:line="158" w:lineRule="exact"/>
              <w:rPr>
                <w:sz w:val="20"/>
                <w:szCs w:val="20"/>
                <w:color w:val="auto"/>
              </w:rPr>
            </w:pPr>
            <w:r>
              <w:rPr>
                <w:rFonts w:ascii="Arial" w:cs="Arial" w:eastAsia="Arial" w:hAnsi="Arial"/>
                <w:sz w:val="16"/>
                <w:szCs w:val="16"/>
                <w:i w:val="1"/>
                <w:iCs w:val="1"/>
                <w:color w:val="auto"/>
              </w:rPr>
              <w:t>Shares</w:t>
            </w:r>
          </w:p>
        </w:tc>
        <w:tc>
          <w:tcPr>
            <w:tcW w:w="320" w:type="dxa"/>
            <w:vAlign w:val="bottom"/>
          </w:tcPr>
          <w:p>
            <w:pPr>
              <w:spacing w:after="0"/>
              <w:rPr>
                <w:sz w:val="13"/>
                <w:szCs w:val="13"/>
                <w:color w:val="auto"/>
              </w:rPr>
            </w:pPr>
          </w:p>
        </w:tc>
        <w:tc>
          <w:tcPr>
            <w:tcW w:w="1320" w:type="dxa"/>
            <w:vAlign w:val="bottom"/>
          </w:tcPr>
          <w:p>
            <w:pPr>
              <w:jc w:val="right"/>
              <w:ind w:right="421"/>
              <w:spacing w:after="0" w:line="158" w:lineRule="exact"/>
              <w:rPr>
                <w:sz w:val="20"/>
                <w:szCs w:val="20"/>
                <w:color w:val="auto"/>
              </w:rPr>
            </w:pPr>
            <w:r>
              <w:rPr>
                <w:rFonts w:ascii="Arial" w:cs="Arial" w:eastAsia="Arial" w:hAnsi="Arial"/>
                <w:sz w:val="16"/>
                <w:szCs w:val="16"/>
                <w:i w:val="1"/>
                <w:iCs w:val="1"/>
                <w:color w:val="auto"/>
              </w:rPr>
              <w:t>Price Paid</w:t>
            </w:r>
          </w:p>
        </w:tc>
        <w:tc>
          <w:tcPr>
            <w:tcW w:w="2720" w:type="dxa"/>
            <w:vAlign w:val="bottom"/>
          </w:tcPr>
          <w:p>
            <w:pPr>
              <w:jc w:val="right"/>
              <w:ind w:right="401"/>
              <w:spacing w:after="0" w:line="158" w:lineRule="exact"/>
              <w:rPr>
                <w:sz w:val="20"/>
                <w:szCs w:val="20"/>
                <w:color w:val="auto"/>
              </w:rPr>
            </w:pPr>
            <w:r>
              <w:rPr>
                <w:rFonts w:ascii="Arial" w:cs="Arial" w:eastAsia="Arial" w:hAnsi="Arial"/>
                <w:sz w:val="16"/>
                <w:szCs w:val="16"/>
                <w:i w:val="1"/>
                <w:iCs w:val="1"/>
                <w:color w:val="auto"/>
              </w:rPr>
              <w:t>Publicly Announced Plan</w:t>
            </w:r>
          </w:p>
        </w:tc>
        <w:tc>
          <w:tcPr>
            <w:tcW w:w="2260" w:type="dxa"/>
            <w:vAlign w:val="bottom"/>
          </w:tcPr>
          <w:p>
            <w:pPr>
              <w:jc w:val="right"/>
              <w:spacing w:after="0" w:line="158" w:lineRule="exact"/>
              <w:rPr>
                <w:sz w:val="20"/>
                <w:szCs w:val="20"/>
                <w:color w:val="auto"/>
              </w:rPr>
            </w:pPr>
            <w:r>
              <w:rPr>
                <w:rFonts w:ascii="Arial" w:cs="Arial" w:eastAsia="Arial" w:hAnsi="Arial"/>
                <w:sz w:val="16"/>
                <w:szCs w:val="16"/>
                <w:i w:val="1"/>
                <w:iCs w:val="1"/>
                <w:color w:val="auto"/>
              </w:rPr>
              <w:t>Purchased Under Current</w:t>
            </w:r>
          </w:p>
        </w:tc>
        <w:tc>
          <w:tcPr>
            <w:tcW w:w="0" w:type="dxa"/>
            <w:vAlign w:val="bottom"/>
          </w:tcPr>
          <w:p>
            <w:pPr>
              <w:spacing w:after="0"/>
              <w:rPr>
                <w:sz w:val="1"/>
                <w:szCs w:val="1"/>
                <w:color w:val="auto"/>
              </w:rPr>
            </w:pPr>
          </w:p>
        </w:tc>
      </w:tr>
      <w:tr>
        <w:trPr>
          <w:trHeight w:val="190"/>
        </w:trPr>
        <w:tc>
          <w:tcPr>
            <w:tcW w:w="2500" w:type="dxa"/>
            <w:vAlign w:val="bottom"/>
            <w:tcBorders>
              <w:bottom w:val="single" w:sz="8" w:color="7F7F7F"/>
            </w:tcBorders>
            <w:vMerge w:val="continue"/>
          </w:tcPr>
          <w:p>
            <w:pPr>
              <w:spacing w:after="0"/>
              <w:rPr>
                <w:sz w:val="16"/>
                <w:szCs w:val="16"/>
                <w:color w:val="auto"/>
              </w:rPr>
            </w:pPr>
          </w:p>
        </w:tc>
        <w:tc>
          <w:tcPr>
            <w:tcW w:w="2120" w:type="dxa"/>
            <w:vAlign w:val="bottom"/>
            <w:tcBorders>
              <w:bottom w:val="single" w:sz="8" w:color="7F7F7F"/>
            </w:tcBorders>
          </w:tcPr>
          <w:p>
            <w:pPr>
              <w:jc w:val="right"/>
              <w:ind w:right="21"/>
              <w:spacing w:after="0"/>
              <w:rPr>
                <w:sz w:val="20"/>
                <w:szCs w:val="20"/>
                <w:color w:val="auto"/>
              </w:rPr>
            </w:pPr>
            <w:r>
              <w:rPr>
                <w:rFonts w:ascii="Arial" w:cs="Arial" w:eastAsia="Arial" w:hAnsi="Arial"/>
                <w:sz w:val="16"/>
                <w:szCs w:val="16"/>
                <w:i w:val="1"/>
                <w:iCs w:val="1"/>
                <w:color w:val="auto"/>
              </w:rPr>
              <w:t>Purchased [a]</w:t>
            </w:r>
          </w:p>
        </w:tc>
        <w:tc>
          <w:tcPr>
            <w:tcW w:w="320" w:type="dxa"/>
            <w:vAlign w:val="bottom"/>
            <w:tcBorders>
              <w:bottom w:val="single" w:sz="8" w:color="7F7F7F"/>
            </w:tcBorders>
          </w:tcPr>
          <w:p>
            <w:pPr>
              <w:spacing w:after="0"/>
              <w:rPr>
                <w:sz w:val="16"/>
                <w:szCs w:val="16"/>
                <w:color w:val="auto"/>
              </w:rPr>
            </w:pPr>
          </w:p>
        </w:tc>
        <w:tc>
          <w:tcPr>
            <w:tcW w:w="1320" w:type="dxa"/>
            <w:vAlign w:val="bottom"/>
            <w:tcBorders>
              <w:bottom w:val="single" w:sz="8" w:color="7F7F7F"/>
            </w:tcBorders>
          </w:tcPr>
          <w:p>
            <w:pPr>
              <w:jc w:val="right"/>
              <w:ind w:right="421"/>
              <w:spacing w:after="0"/>
              <w:rPr>
                <w:sz w:val="20"/>
                <w:szCs w:val="20"/>
                <w:color w:val="auto"/>
              </w:rPr>
            </w:pPr>
            <w:r>
              <w:rPr>
                <w:rFonts w:ascii="Arial" w:cs="Arial" w:eastAsia="Arial" w:hAnsi="Arial"/>
                <w:sz w:val="16"/>
                <w:szCs w:val="16"/>
                <w:i w:val="1"/>
                <w:iCs w:val="1"/>
                <w:color w:val="auto"/>
              </w:rPr>
              <w:t>Per Share</w:t>
            </w:r>
          </w:p>
        </w:tc>
        <w:tc>
          <w:tcPr>
            <w:tcW w:w="2720" w:type="dxa"/>
            <w:vAlign w:val="bottom"/>
            <w:tcBorders>
              <w:bottom w:val="single" w:sz="8" w:color="7F7F7F"/>
            </w:tcBorders>
          </w:tcPr>
          <w:p>
            <w:pPr>
              <w:jc w:val="right"/>
              <w:ind w:right="401"/>
              <w:spacing w:after="0"/>
              <w:rPr>
                <w:sz w:val="20"/>
                <w:szCs w:val="20"/>
                <w:color w:val="auto"/>
              </w:rPr>
            </w:pPr>
            <w:r>
              <w:rPr>
                <w:rFonts w:ascii="Arial" w:cs="Arial" w:eastAsia="Arial" w:hAnsi="Arial"/>
                <w:sz w:val="16"/>
                <w:szCs w:val="16"/>
                <w:i w:val="1"/>
                <w:iCs w:val="1"/>
                <w:color w:val="auto"/>
              </w:rPr>
              <w:t>or Program</w:t>
            </w:r>
          </w:p>
        </w:tc>
        <w:tc>
          <w:tcPr>
            <w:tcW w:w="2260" w:type="dxa"/>
            <w:vAlign w:val="bottom"/>
            <w:tcBorders>
              <w:bottom w:val="single" w:sz="8" w:color="7F7F7F"/>
            </w:tcBorders>
          </w:tcPr>
          <w:p>
            <w:pPr>
              <w:jc w:val="right"/>
              <w:spacing w:after="0"/>
              <w:rPr>
                <w:sz w:val="20"/>
                <w:szCs w:val="20"/>
                <w:color w:val="auto"/>
              </w:rPr>
            </w:pPr>
            <w:r>
              <w:rPr>
                <w:rFonts w:ascii="Arial" w:cs="Arial" w:eastAsia="Arial" w:hAnsi="Arial"/>
                <w:sz w:val="16"/>
                <w:szCs w:val="16"/>
                <w:i w:val="1"/>
                <w:iCs w:val="1"/>
                <w:color w:val="auto"/>
              </w:rPr>
              <w:t>Authority [b]</w:t>
            </w:r>
          </w:p>
        </w:tc>
        <w:tc>
          <w:tcPr>
            <w:tcW w:w="0" w:type="dxa"/>
            <w:vAlign w:val="bottom"/>
          </w:tcPr>
          <w:p>
            <w:pPr>
              <w:spacing w:after="0"/>
              <w:rPr>
                <w:sz w:val="1"/>
                <w:szCs w:val="1"/>
                <w:color w:val="auto"/>
              </w:rPr>
            </w:pPr>
          </w:p>
        </w:tc>
      </w:tr>
      <w:tr>
        <w:trPr>
          <w:trHeight w:val="197"/>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Jan. 1 through Jan. 31</w:t>
            </w:r>
          </w:p>
        </w:tc>
        <w:tc>
          <w:tcPr>
            <w:tcW w:w="2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2,293,974</w:t>
            </w:r>
          </w:p>
        </w:tc>
        <w:tc>
          <w:tcPr>
            <w:tcW w:w="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center"/>
              <w:ind w:right="161"/>
              <w:spacing w:after="0"/>
              <w:rPr>
                <w:sz w:val="20"/>
                <w:szCs w:val="20"/>
                <w:color w:val="auto"/>
              </w:rPr>
            </w:pPr>
            <w:r>
              <w:rPr>
                <w:rFonts w:ascii="Arial" w:cs="Arial" w:eastAsia="Arial" w:hAnsi="Arial"/>
                <w:sz w:val="16"/>
                <w:szCs w:val="16"/>
                <w:color w:val="auto"/>
                <w:w w:val="98"/>
              </w:rPr>
              <w:t>181.31</w:t>
            </w:r>
          </w:p>
        </w:tc>
        <w:tc>
          <w:tcPr>
            <w:tcW w:w="27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2,141,202</w:t>
            </w:r>
          </w:p>
        </w:tc>
        <w:tc>
          <w:tcPr>
            <w:tcW w:w="2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131,013,879</w:t>
            </w:r>
          </w:p>
        </w:tc>
        <w:tc>
          <w:tcPr>
            <w:tcW w:w="0" w:type="dxa"/>
            <w:vAlign w:val="bottom"/>
          </w:tcPr>
          <w:p>
            <w:pPr>
              <w:spacing w:after="0"/>
              <w:rPr>
                <w:sz w:val="1"/>
                <w:szCs w:val="1"/>
                <w:color w:val="auto"/>
              </w:rPr>
            </w:pPr>
          </w:p>
        </w:tc>
      </w:tr>
      <w:tr>
        <w:trPr>
          <w:trHeight w:val="207"/>
        </w:trPr>
        <w:tc>
          <w:tcPr>
            <w:tcW w:w="2500" w:type="dxa"/>
            <w:vAlign w:val="bottom"/>
          </w:tcPr>
          <w:p>
            <w:pPr>
              <w:spacing w:after="0"/>
              <w:rPr>
                <w:sz w:val="20"/>
                <w:szCs w:val="20"/>
                <w:color w:val="auto"/>
              </w:rPr>
            </w:pPr>
            <w:r>
              <w:rPr>
                <w:rFonts w:ascii="Arial" w:cs="Arial" w:eastAsia="Arial" w:hAnsi="Arial"/>
                <w:sz w:val="16"/>
                <w:szCs w:val="16"/>
                <w:color w:val="auto"/>
              </w:rPr>
              <w:t>Feb. 1 through Feb. 29</w:t>
            </w:r>
          </w:p>
        </w:tc>
        <w:tc>
          <w:tcPr>
            <w:tcW w:w="2120" w:type="dxa"/>
            <w:vAlign w:val="bottom"/>
          </w:tcPr>
          <w:p>
            <w:pPr>
              <w:jc w:val="right"/>
              <w:ind w:right="21"/>
              <w:spacing w:after="0"/>
              <w:rPr>
                <w:sz w:val="20"/>
                <w:szCs w:val="20"/>
                <w:color w:val="auto"/>
              </w:rPr>
            </w:pPr>
            <w:r>
              <w:rPr>
                <w:rFonts w:ascii="Arial" w:cs="Arial" w:eastAsia="Arial" w:hAnsi="Arial"/>
                <w:sz w:val="16"/>
                <w:szCs w:val="16"/>
                <w:color w:val="auto"/>
              </w:rPr>
              <w:t>11,314,456</w:t>
            </w:r>
          </w:p>
        </w:tc>
        <w:tc>
          <w:tcPr>
            <w:tcW w:w="320" w:type="dxa"/>
            <w:vAlign w:val="bottom"/>
          </w:tcPr>
          <w:p>
            <w:pPr>
              <w:spacing w:after="0"/>
              <w:rPr>
                <w:sz w:val="17"/>
                <w:szCs w:val="17"/>
                <w:color w:val="auto"/>
              </w:rPr>
            </w:pPr>
          </w:p>
        </w:tc>
        <w:tc>
          <w:tcPr>
            <w:tcW w:w="1320" w:type="dxa"/>
            <w:vAlign w:val="bottom"/>
          </w:tcPr>
          <w:p>
            <w:pPr>
              <w:jc w:val="center"/>
              <w:ind w:right="161"/>
              <w:spacing w:after="0"/>
              <w:rPr>
                <w:sz w:val="20"/>
                <w:szCs w:val="20"/>
                <w:color w:val="auto"/>
              </w:rPr>
            </w:pPr>
            <w:r>
              <w:rPr>
                <w:rFonts w:ascii="Arial" w:cs="Arial" w:eastAsia="Arial" w:hAnsi="Arial"/>
                <w:sz w:val="16"/>
                <w:szCs w:val="16"/>
                <w:color w:val="auto"/>
                <w:w w:val="98"/>
              </w:rPr>
              <w:t>181.97</w:t>
            </w:r>
          </w:p>
        </w:tc>
        <w:tc>
          <w:tcPr>
            <w:tcW w:w="2720" w:type="dxa"/>
            <w:vAlign w:val="bottom"/>
          </w:tcPr>
          <w:p>
            <w:pPr>
              <w:jc w:val="right"/>
              <w:ind w:right="441"/>
              <w:spacing w:after="0"/>
              <w:rPr>
                <w:sz w:val="20"/>
                <w:szCs w:val="20"/>
                <w:color w:val="auto"/>
              </w:rPr>
            </w:pPr>
            <w:r>
              <w:rPr>
                <w:rFonts w:ascii="Arial" w:cs="Arial" w:eastAsia="Arial" w:hAnsi="Arial"/>
                <w:sz w:val="16"/>
                <w:szCs w:val="16"/>
                <w:color w:val="auto"/>
              </w:rPr>
              <w:t>10,969,260</w:t>
            </w:r>
          </w:p>
        </w:tc>
        <w:tc>
          <w:tcPr>
            <w:tcW w:w="2260" w:type="dxa"/>
            <w:vAlign w:val="bottom"/>
          </w:tcPr>
          <w:p>
            <w:pPr>
              <w:jc w:val="right"/>
              <w:spacing w:after="0"/>
              <w:rPr>
                <w:sz w:val="20"/>
                <w:szCs w:val="20"/>
                <w:color w:val="auto"/>
              </w:rPr>
            </w:pPr>
            <w:r>
              <w:rPr>
                <w:rFonts w:ascii="Arial" w:cs="Arial" w:eastAsia="Arial" w:hAnsi="Arial"/>
                <w:sz w:val="16"/>
                <w:szCs w:val="16"/>
                <w:color w:val="auto"/>
              </w:rPr>
              <w:t>120,044,619</w:t>
            </w:r>
          </w:p>
        </w:tc>
        <w:tc>
          <w:tcPr>
            <w:tcW w:w="0" w:type="dxa"/>
            <w:vAlign w:val="bottom"/>
          </w:tcPr>
          <w:p>
            <w:pPr>
              <w:spacing w:after="0"/>
              <w:rPr>
                <w:sz w:val="1"/>
                <w:szCs w:val="1"/>
                <w:color w:val="auto"/>
              </w:rPr>
            </w:pPr>
          </w:p>
        </w:tc>
      </w:tr>
      <w:tr>
        <w:trPr>
          <w:trHeight w:val="206"/>
        </w:trPr>
        <w:tc>
          <w:tcPr>
            <w:tcW w:w="250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6"/>
                <w:szCs w:val="16"/>
                <w:color w:val="auto"/>
              </w:rPr>
              <w:t>Mar. 1 through Mar. 31</w:t>
            </w:r>
          </w:p>
        </w:tc>
        <w:tc>
          <w:tcPr>
            <w:tcW w:w="2120" w:type="dxa"/>
            <w:vAlign w:val="bottom"/>
            <w:tcBorders>
              <w:bottom w:val="single" w:sz="8" w:color="7F7F7F"/>
            </w:tcBorders>
            <w:shd w:val="clear" w:color="auto" w:fill="CCEEFF"/>
          </w:tcPr>
          <w:p>
            <w:pPr>
              <w:jc w:val="right"/>
              <w:ind w:right="21"/>
              <w:spacing w:after="0"/>
              <w:rPr>
                <w:sz w:val="20"/>
                <w:szCs w:val="20"/>
                <w:color w:val="auto"/>
              </w:rPr>
            </w:pPr>
            <w:r>
              <w:rPr>
                <w:rFonts w:ascii="Arial" w:cs="Arial" w:eastAsia="Arial" w:hAnsi="Arial"/>
                <w:sz w:val="16"/>
                <w:szCs w:val="16"/>
                <w:color w:val="auto"/>
              </w:rPr>
              <w:t>1,198,268</w:t>
            </w:r>
          </w:p>
        </w:tc>
        <w:tc>
          <w:tcPr>
            <w:tcW w:w="320" w:type="dxa"/>
            <w:vAlign w:val="bottom"/>
            <w:tcBorders>
              <w:bottom w:val="single" w:sz="8" w:color="7F7F7F"/>
            </w:tcBorders>
            <w:shd w:val="clear" w:color="auto" w:fill="CCEEFF"/>
          </w:tcPr>
          <w:p>
            <w:pPr>
              <w:spacing w:after="0"/>
              <w:rPr>
                <w:sz w:val="17"/>
                <w:szCs w:val="17"/>
                <w:color w:val="auto"/>
              </w:rPr>
            </w:pPr>
          </w:p>
        </w:tc>
        <w:tc>
          <w:tcPr>
            <w:tcW w:w="1320" w:type="dxa"/>
            <w:vAlign w:val="bottom"/>
            <w:tcBorders>
              <w:bottom w:val="single" w:sz="8" w:color="7F7F7F"/>
            </w:tcBorders>
            <w:shd w:val="clear" w:color="auto" w:fill="CCEEFF"/>
          </w:tcPr>
          <w:p>
            <w:pPr>
              <w:jc w:val="center"/>
              <w:ind w:right="161"/>
              <w:spacing w:after="0"/>
              <w:rPr>
                <w:sz w:val="20"/>
                <w:szCs w:val="20"/>
                <w:color w:val="auto"/>
              </w:rPr>
            </w:pPr>
            <w:r>
              <w:rPr>
                <w:rFonts w:ascii="Arial" w:cs="Arial" w:eastAsia="Arial" w:hAnsi="Arial"/>
                <w:sz w:val="16"/>
                <w:szCs w:val="16"/>
                <w:color w:val="auto"/>
                <w:w w:val="98"/>
              </w:rPr>
              <w:t>144.48</w:t>
            </w:r>
          </w:p>
        </w:tc>
        <w:tc>
          <w:tcPr>
            <w:tcW w:w="2720" w:type="dxa"/>
            <w:vAlign w:val="bottom"/>
            <w:tcBorders>
              <w:bottom w:val="single" w:sz="8" w:color="7F7F7F"/>
            </w:tcBorders>
            <w:shd w:val="clear" w:color="auto" w:fill="CCEEFF"/>
          </w:tcPr>
          <w:p>
            <w:pPr>
              <w:jc w:val="right"/>
              <w:ind w:right="441"/>
              <w:spacing w:after="0"/>
              <w:rPr>
                <w:sz w:val="20"/>
                <w:szCs w:val="20"/>
                <w:color w:val="auto"/>
              </w:rPr>
            </w:pPr>
            <w:r>
              <w:rPr>
                <w:rFonts w:ascii="Arial" w:cs="Arial" w:eastAsia="Arial" w:hAnsi="Arial"/>
                <w:sz w:val="16"/>
                <w:szCs w:val="16"/>
                <w:color w:val="auto"/>
              </w:rPr>
              <w:t>1,195,331</w:t>
            </w:r>
          </w:p>
        </w:tc>
        <w:tc>
          <w:tcPr>
            <w:tcW w:w="2260" w:type="dxa"/>
            <w:vAlign w:val="bottom"/>
            <w:tcBorders>
              <w:bottom w:val="single" w:sz="8" w:color="7F7F7F"/>
            </w:tcBorders>
            <w:shd w:val="clear" w:color="auto" w:fill="CCEEFF"/>
          </w:tcPr>
          <w:p>
            <w:pPr>
              <w:jc w:val="right"/>
              <w:spacing w:after="0"/>
              <w:rPr>
                <w:sz w:val="20"/>
                <w:szCs w:val="20"/>
                <w:color w:val="auto"/>
              </w:rPr>
            </w:pPr>
            <w:r>
              <w:rPr>
                <w:rFonts w:ascii="Arial" w:cs="Arial" w:eastAsia="Arial" w:hAnsi="Arial"/>
                <w:sz w:val="16"/>
                <w:szCs w:val="16"/>
                <w:color w:val="auto"/>
              </w:rPr>
              <w:t>118,849,288</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6"/>
                <w:szCs w:val="16"/>
                <w:color w:val="auto"/>
              </w:rPr>
              <w:t>Total</w:t>
            </w:r>
          </w:p>
        </w:tc>
        <w:tc>
          <w:tcPr>
            <w:tcW w:w="2120" w:type="dxa"/>
            <w:vAlign w:val="bottom"/>
          </w:tcPr>
          <w:p>
            <w:pPr>
              <w:jc w:val="right"/>
              <w:ind w:right="21"/>
              <w:spacing w:after="0"/>
              <w:rPr>
                <w:sz w:val="20"/>
                <w:szCs w:val="20"/>
                <w:color w:val="auto"/>
              </w:rPr>
            </w:pPr>
            <w:r>
              <w:rPr>
                <w:rFonts w:ascii="Arial" w:cs="Arial" w:eastAsia="Arial" w:hAnsi="Arial"/>
                <w:sz w:val="16"/>
                <w:szCs w:val="16"/>
                <w:color w:val="auto"/>
              </w:rPr>
              <w:t>14,806,698</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right="161"/>
              <w:spacing w:after="0"/>
              <w:rPr>
                <w:sz w:val="20"/>
                <w:szCs w:val="20"/>
                <w:color w:val="auto"/>
              </w:rPr>
            </w:pPr>
            <w:r>
              <w:rPr>
                <w:rFonts w:ascii="Arial" w:cs="Arial" w:eastAsia="Arial" w:hAnsi="Arial"/>
                <w:sz w:val="16"/>
                <w:szCs w:val="16"/>
                <w:color w:val="auto"/>
                <w:w w:val="98"/>
              </w:rPr>
              <w:t>178.83</w:t>
            </w:r>
          </w:p>
        </w:tc>
        <w:tc>
          <w:tcPr>
            <w:tcW w:w="2720" w:type="dxa"/>
            <w:vAlign w:val="bottom"/>
          </w:tcPr>
          <w:p>
            <w:pPr>
              <w:jc w:val="right"/>
              <w:ind w:right="441"/>
              <w:spacing w:after="0"/>
              <w:rPr>
                <w:sz w:val="20"/>
                <w:szCs w:val="20"/>
                <w:color w:val="auto"/>
              </w:rPr>
            </w:pPr>
            <w:r>
              <w:rPr>
                <w:rFonts w:ascii="Arial" w:cs="Arial" w:eastAsia="Arial" w:hAnsi="Arial"/>
                <w:sz w:val="16"/>
                <w:szCs w:val="16"/>
                <w:color w:val="auto"/>
              </w:rPr>
              <w:t>14,305,793</w:t>
            </w:r>
          </w:p>
        </w:tc>
        <w:tc>
          <w:tcPr>
            <w:tcW w:w="226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65"/>
        </w:trPr>
        <w:tc>
          <w:tcPr>
            <w:tcW w:w="2500" w:type="dxa"/>
            <w:vAlign w:val="bottom"/>
            <w:tcBorders>
              <w:bottom w:val="single" w:sz="8" w:color="7F7F7F"/>
            </w:tcBorders>
          </w:tcPr>
          <w:p>
            <w:pPr>
              <w:spacing w:after="0"/>
              <w:rPr>
                <w:sz w:val="5"/>
                <w:szCs w:val="5"/>
                <w:color w:val="auto"/>
              </w:rPr>
            </w:pPr>
          </w:p>
        </w:tc>
        <w:tc>
          <w:tcPr>
            <w:tcW w:w="2120" w:type="dxa"/>
            <w:vAlign w:val="bottom"/>
            <w:tcBorders>
              <w:bottom w:val="single" w:sz="8" w:color="7F7F7F"/>
            </w:tcBorders>
          </w:tcPr>
          <w:p>
            <w:pPr>
              <w:spacing w:after="0"/>
              <w:rPr>
                <w:sz w:val="5"/>
                <w:szCs w:val="5"/>
                <w:color w:val="auto"/>
              </w:rPr>
            </w:pPr>
          </w:p>
        </w:tc>
        <w:tc>
          <w:tcPr>
            <w:tcW w:w="320" w:type="dxa"/>
            <w:vAlign w:val="bottom"/>
            <w:tcBorders>
              <w:bottom w:val="single" w:sz="8" w:color="7F7F7F"/>
            </w:tcBorders>
          </w:tcPr>
          <w:p>
            <w:pPr>
              <w:spacing w:after="0"/>
              <w:rPr>
                <w:sz w:val="5"/>
                <w:szCs w:val="5"/>
                <w:color w:val="auto"/>
              </w:rPr>
            </w:pPr>
          </w:p>
        </w:tc>
        <w:tc>
          <w:tcPr>
            <w:tcW w:w="1320" w:type="dxa"/>
            <w:vAlign w:val="bottom"/>
            <w:tcBorders>
              <w:bottom w:val="single" w:sz="8" w:color="7F7F7F"/>
            </w:tcBorders>
          </w:tcPr>
          <w:p>
            <w:pPr>
              <w:spacing w:after="0"/>
              <w:rPr>
                <w:sz w:val="5"/>
                <w:szCs w:val="5"/>
                <w:color w:val="auto"/>
              </w:rPr>
            </w:pPr>
          </w:p>
        </w:tc>
        <w:tc>
          <w:tcPr>
            <w:tcW w:w="2720" w:type="dxa"/>
            <w:vAlign w:val="bottom"/>
            <w:tcBorders>
              <w:bottom w:val="single" w:sz="8" w:color="7F7F7F"/>
            </w:tcBorders>
          </w:tcPr>
          <w:p>
            <w:pPr>
              <w:spacing w:after="0"/>
              <w:rPr>
                <w:sz w:val="5"/>
                <w:szCs w:val="5"/>
                <w:color w:val="auto"/>
              </w:rPr>
            </w:pPr>
          </w:p>
        </w:tc>
        <w:tc>
          <w:tcPr>
            <w:tcW w:w="226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20" w:hanging="315"/>
        <w:spacing w:after="0" w:line="247" w:lineRule="auto"/>
        <w:tabs>
          <w:tab w:leader="none" w:pos="3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Total number of shares purchased during the quarter includes 500,905 shares delivered or attested to UPC by employees to pay stock option exercise prices, satisfy excess tax withholding obligations for stock option exercises or vesting of retention units, and pay withholding obligations for vesting of retention shares.</w:t>
      </w:r>
    </w:p>
    <w:p>
      <w:pPr>
        <w:spacing w:after="0" w:line="180" w:lineRule="exact"/>
        <w:rPr>
          <w:rFonts w:ascii="Arial" w:cs="Arial" w:eastAsia="Arial" w:hAnsi="Arial"/>
          <w:sz w:val="14"/>
          <w:szCs w:val="14"/>
          <w:i w:val="1"/>
          <w:iCs w:val="1"/>
          <w:color w:val="auto"/>
        </w:rPr>
      </w:pPr>
    </w:p>
    <w:p>
      <w:pPr>
        <w:ind w:left="320" w:hanging="315"/>
        <w:spacing w:after="0" w:line="247" w:lineRule="auto"/>
        <w:tabs>
          <w:tab w:leader="none" w:pos="32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Effective April 1, 2019, our Board of Directors authorized the repurchase of up to 150 million shares of our common stock by March 31, 2022. These repurchases may be made on the open market or through other transactions. Our management has sole discretion with respect to determining the timing and amount of these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3613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8" w:name="page39"/>
    <w:bookmarkEnd w:id="38"/>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20"/>
                <w:szCs w:val="20"/>
                <w:color w:val="auto"/>
              </w:rPr>
            </w:pPr>
            <w:r>
              <w:rPr>
                <w:rFonts w:ascii="Arial" w:cs="Arial" w:eastAsia="Arial" w:hAnsi="Arial"/>
                <w:sz w:val="17"/>
                <w:szCs w:val="17"/>
                <w:color w:val="auto"/>
              </w:rPr>
              <w:t>Exhibit No.</w:t>
            </w:r>
          </w:p>
        </w:tc>
        <w:tc>
          <w:tcPr>
            <w:tcW w:w="780" w:type="dxa"/>
            <w:vAlign w:val="bottom"/>
          </w:tcPr>
          <w:p>
            <w:pPr>
              <w:spacing w:after="0"/>
              <w:rPr>
                <w:sz w:val="16"/>
                <w:szCs w:val="16"/>
                <w:color w:val="auto"/>
              </w:rPr>
            </w:pPr>
          </w:p>
        </w:tc>
        <w:tc>
          <w:tcPr>
            <w:tcW w:w="9620" w:type="dxa"/>
            <w:vAlign w:val="bottom"/>
            <w:gridSpan w:val="7"/>
          </w:tcPr>
          <w:p>
            <w:pPr>
              <w:spacing w:after="0"/>
              <w:rPr>
                <w:sz w:val="20"/>
                <w:szCs w:val="20"/>
                <w:color w:val="auto"/>
              </w:rPr>
            </w:pPr>
            <w:r>
              <w:rPr>
                <w:rFonts w:ascii="Arial" w:cs="Arial" w:eastAsia="Arial" w:hAnsi="Arial"/>
                <w:sz w:val="17"/>
                <w:szCs w:val="17"/>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7"/>
        </w:trPr>
        <w:tc>
          <w:tcPr>
            <w:tcW w:w="11260" w:type="dxa"/>
            <w:vAlign w:val="bottom"/>
            <w:gridSpan w:val="9"/>
          </w:tcPr>
          <w:p>
            <w:pPr>
              <w:spacing w:after="0"/>
              <w:rPr>
                <w:sz w:val="20"/>
                <w:szCs w:val="20"/>
                <w:color w:val="auto"/>
              </w:rPr>
            </w:pPr>
            <w:r>
              <w:rPr>
                <w:rFonts w:ascii="Arial" w:cs="Arial" w:eastAsia="Arial" w:hAnsi="Arial"/>
                <w:sz w:val="17"/>
                <w:szCs w:val="17"/>
                <w:color w:val="auto"/>
              </w:rPr>
              <w:t>Filed with this Statement</w:t>
            </w:r>
          </w:p>
        </w:tc>
      </w:tr>
      <w:tr>
        <w:trPr>
          <w:trHeight w:val="20"/>
        </w:trPr>
        <w:tc>
          <w:tcPr>
            <w:tcW w:w="8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8"/>
        </w:trPr>
        <w:tc>
          <w:tcPr>
            <w:tcW w:w="860" w:type="dxa"/>
            <w:vAlign w:val="bottom"/>
          </w:tcPr>
          <w:p>
            <w:pPr>
              <w:spacing w:after="0"/>
              <w:rPr>
                <w:sz w:val="20"/>
                <w:szCs w:val="20"/>
                <w:color w:val="auto"/>
              </w:rPr>
            </w:pPr>
            <w:r>
              <w:rPr>
                <w:rFonts w:ascii="Arial" w:cs="Arial" w:eastAsia="Arial" w:hAnsi="Arial"/>
                <w:sz w:val="17"/>
                <w:szCs w:val="17"/>
                <w:color w:val="auto"/>
              </w:rPr>
              <w:t>31(a)</w:t>
            </w:r>
          </w:p>
        </w:tc>
        <w:tc>
          <w:tcPr>
            <w:tcW w:w="780" w:type="dxa"/>
            <w:vAlign w:val="bottom"/>
          </w:tcPr>
          <w:p>
            <w:pPr>
              <w:spacing w:after="0"/>
              <w:rPr>
                <w:sz w:val="24"/>
                <w:szCs w:val="24"/>
                <w:color w:val="auto"/>
              </w:rPr>
            </w:pPr>
          </w:p>
        </w:tc>
        <w:tc>
          <w:tcPr>
            <w:tcW w:w="9620" w:type="dxa"/>
            <w:vAlign w:val="bottom"/>
            <w:tcBorders>
              <w:bottom w:val="single" w:sz="8" w:color="0563C1"/>
            </w:tcBorders>
            <w:gridSpan w:val="7"/>
          </w:tcPr>
          <w:p>
            <w:pPr>
              <w:spacing w:after="0"/>
              <w:rPr>
                <w:rFonts w:ascii="Arial" w:cs="Arial" w:eastAsia="Arial" w:hAnsi="Arial"/>
                <w:sz w:val="17"/>
                <w:szCs w:val="17"/>
                <w:color w:val="0563C1"/>
              </w:rPr>
            </w:pPr>
            <w:hyperlink w:anchor="page41">
              <w:r>
                <w:rPr>
                  <w:rFonts w:ascii="Arial" w:cs="Arial" w:eastAsia="Arial" w:hAnsi="Arial"/>
                  <w:sz w:val="17"/>
                  <w:szCs w:val="17"/>
                  <w:color w:val="0563C1"/>
                </w:rPr>
                <w:t>Certifications Pursuant to Rule 13a-14(a), of the Exchange Act, as Adopted pursuant to Section 302 of the Sarbanes-Oxley</w:t>
              </w:r>
            </w:hyperlink>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20" w:type="dxa"/>
            <w:vAlign w:val="bottom"/>
            <w:gridSpan w:val="7"/>
          </w:tcPr>
          <w:p>
            <w:pPr>
              <w:spacing w:after="0" w:line="163" w:lineRule="exact"/>
              <w:rPr>
                <w:rFonts w:ascii="Arial" w:cs="Arial" w:eastAsia="Arial" w:hAnsi="Arial"/>
                <w:sz w:val="17"/>
                <w:szCs w:val="17"/>
                <w:color w:val="0563C1"/>
              </w:rPr>
            </w:pPr>
            <w:hyperlink w:anchor="page41">
              <w:r>
                <w:rPr>
                  <w:rFonts w:ascii="Arial" w:cs="Arial" w:eastAsia="Arial" w:hAnsi="Arial"/>
                  <w:sz w:val="17"/>
                  <w:szCs w:val="17"/>
                  <w:color w:val="0563C1"/>
                </w:rPr>
                <w:t>Act of 2002 – Lance M. Fritz.</w:t>
              </w:r>
            </w:hyperlink>
          </w:p>
        </w:tc>
      </w:tr>
      <w:tr>
        <w:trPr>
          <w:trHeight w:val="20"/>
        </w:trPr>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20" w:type="dxa"/>
            <w:vAlign w:val="bottom"/>
            <w:gridSpan w:val="3"/>
            <w:shd w:val="clear" w:color="auto" w:fill="0563C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4"/>
        </w:trPr>
        <w:tc>
          <w:tcPr>
            <w:tcW w:w="860" w:type="dxa"/>
            <w:vAlign w:val="bottom"/>
          </w:tcPr>
          <w:p>
            <w:pPr>
              <w:spacing w:after="0"/>
              <w:rPr>
                <w:sz w:val="20"/>
                <w:szCs w:val="20"/>
                <w:color w:val="auto"/>
              </w:rPr>
            </w:pPr>
            <w:r>
              <w:rPr>
                <w:rFonts w:ascii="Arial" w:cs="Arial" w:eastAsia="Arial" w:hAnsi="Arial"/>
                <w:sz w:val="17"/>
                <w:szCs w:val="17"/>
                <w:color w:val="auto"/>
              </w:rPr>
              <w:t>31(b)</w:t>
            </w:r>
          </w:p>
        </w:tc>
        <w:tc>
          <w:tcPr>
            <w:tcW w:w="780" w:type="dxa"/>
            <w:vAlign w:val="bottom"/>
          </w:tcPr>
          <w:p>
            <w:pPr>
              <w:spacing w:after="0"/>
              <w:rPr>
                <w:sz w:val="24"/>
                <w:szCs w:val="24"/>
                <w:color w:val="auto"/>
              </w:rPr>
            </w:pPr>
          </w:p>
        </w:tc>
        <w:tc>
          <w:tcPr>
            <w:tcW w:w="9620" w:type="dxa"/>
            <w:vAlign w:val="bottom"/>
            <w:tcBorders>
              <w:bottom w:val="single" w:sz="8" w:color="0563C1"/>
            </w:tcBorders>
            <w:gridSpan w:val="7"/>
          </w:tcPr>
          <w:p>
            <w:pPr>
              <w:spacing w:after="0"/>
              <w:rPr>
                <w:rFonts w:ascii="Arial" w:cs="Arial" w:eastAsia="Arial" w:hAnsi="Arial"/>
                <w:sz w:val="17"/>
                <w:szCs w:val="17"/>
                <w:color w:val="0563C1"/>
              </w:rPr>
            </w:pPr>
            <w:hyperlink w:anchor="page42">
              <w:r>
                <w:rPr>
                  <w:rFonts w:ascii="Arial" w:cs="Arial" w:eastAsia="Arial" w:hAnsi="Arial"/>
                  <w:sz w:val="17"/>
                  <w:szCs w:val="17"/>
                  <w:color w:val="0563C1"/>
                </w:rPr>
                <w:t>Certifications Pursuant to Rule 13a-14(a), of the Exchange Act, as Adopted pursuant to Section 302 of the Sarbanes-Oxley</w:t>
              </w:r>
            </w:hyperlink>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0" w:type="dxa"/>
            <w:vAlign w:val="bottom"/>
            <w:tcBorders>
              <w:bottom w:val="single" w:sz="8" w:color="0563C1"/>
            </w:tcBorders>
            <w:gridSpan w:val="4"/>
          </w:tcPr>
          <w:p>
            <w:pPr>
              <w:spacing w:after="0" w:line="163" w:lineRule="exact"/>
              <w:rPr>
                <w:rFonts w:ascii="Arial" w:cs="Arial" w:eastAsia="Arial" w:hAnsi="Arial"/>
                <w:sz w:val="17"/>
                <w:szCs w:val="17"/>
                <w:color w:val="0563C1"/>
              </w:rPr>
            </w:pPr>
            <w:hyperlink w:anchor="page42">
              <w:r>
                <w:rPr>
                  <w:rFonts w:ascii="Arial" w:cs="Arial" w:eastAsia="Arial" w:hAnsi="Arial"/>
                  <w:sz w:val="17"/>
                  <w:szCs w:val="17"/>
                  <w:color w:val="0563C1"/>
                </w:rPr>
                <w:t>Act of 2002 – Jennifer L. Hamann</w:t>
              </w:r>
            </w:hyperlink>
          </w:p>
        </w:tc>
        <w:tc>
          <w:tcPr>
            <w:tcW w:w="7020" w:type="dxa"/>
            <w:vAlign w:val="bottom"/>
            <w:gridSpan w:val="3"/>
          </w:tcPr>
          <w:p>
            <w:pPr>
              <w:spacing w:after="0"/>
              <w:rPr>
                <w:sz w:val="14"/>
                <w:szCs w:val="14"/>
                <w:color w:val="auto"/>
              </w:rPr>
            </w:pPr>
          </w:p>
        </w:tc>
      </w:tr>
      <w:tr>
        <w:trPr>
          <w:trHeight w:val="334"/>
        </w:trPr>
        <w:tc>
          <w:tcPr>
            <w:tcW w:w="860" w:type="dxa"/>
            <w:vAlign w:val="bottom"/>
          </w:tcPr>
          <w:p>
            <w:pPr>
              <w:spacing w:after="0"/>
              <w:rPr>
                <w:sz w:val="20"/>
                <w:szCs w:val="20"/>
                <w:color w:val="auto"/>
              </w:rPr>
            </w:pPr>
            <w:r>
              <w:rPr>
                <w:rFonts w:ascii="Arial" w:cs="Arial" w:eastAsia="Arial" w:hAnsi="Arial"/>
                <w:sz w:val="17"/>
                <w:szCs w:val="17"/>
                <w:color w:val="auto"/>
              </w:rPr>
              <w:t>32</w:t>
            </w:r>
          </w:p>
        </w:tc>
        <w:tc>
          <w:tcPr>
            <w:tcW w:w="780" w:type="dxa"/>
            <w:vAlign w:val="bottom"/>
          </w:tcPr>
          <w:p>
            <w:pPr>
              <w:spacing w:after="0"/>
              <w:rPr>
                <w:sz w:val="24"/>
                <w:szCs w:val="24"/>
                <w:color w:val="auto"/>
              </w:rPr>
            </w:pPr>
          </w:p>
        </w:tc>
        <w:tc>
          <w:tcPr>
            <w:tcW w:w="9620" w:type="dxa"/>
            <w:vAlign w:val="bottom"/>
            <w:gridSpan w:val="7"/>
          </w:tcPr>
          <w:p>
            <w:pPr>
              <w:spacing w:after="0"/>
              <w:rPr>
                <w:rFonts w:ascii="Arial" w:cs="Arial" w:eastAsia="Arial" w:hAnsi="Arial"/>
                <w:sz w:val="17"/>
                <w:szCs w:val="17"/>
                <w:color w:val="0563C1"/>
              </w:rPr>
            </w:pPr>
            <w:hyperlink w:anchor="page43">
              <w:r>
                <w:rPr>
                  <w:rFonts w:ascii="Arial" w:cs="Arial" w:eastAsia="Arial" w:hAnsi="Arial"/>
                  <w:sz w:val="17"/>
                  <w:szCs w:val="17"/>
                  <w:color w:val="0563C1"/>
                </w:rPr>
                <w:t>Certifications Pursuant to 18 U.S.C. Section 1350, as Adopted pursuant to Section 906 of the Sarbanes-Oxley Act of 2002 –</w:t>
              </w:r>
            </w:hyperlink>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20" w:type="dxa"/>
            <w:vAlign w:val="bottom"/>
            <w:tcBorders>
              <w:top w:val="single" w:sz="8" w:color="0563C1"/>
              <w:bottom w:val="single" w:sz="8" w:color="0563C1"/>
            </w:tcBorders>
            <w:gridSpan w:val="5"/>
          </w:tcPr>
          <w:p>
            <w:pPr>
              <w:spacing w:after="0" w:line="163" w:lineRule="exact"/>
              <w:rPr>
                <w:rFonts w:ascii="Arial" w:cs="Arial" w:eastAsia="Arial" w:hAnsi="Arial"/>
                <w:sz w:val="17"/>
                <w:szCs w:val="17"/>
                <w:color w:val="0563C1"/>
              </w:rPr>
            </w:pPr>
            <w:hyperlink w:anchor="page43">
              <w:r>
                <w:rPr>
                  <w:rFonts w:ascii="Arial" w:cs="Arial" w:eastAsia="Arial" w:hAnsi="Arial"/>
                  <w:sz w:val="17"/>
                  <w:szCs w:val="17"/>
                  <w:color w:val="0563C1"/>
                </w:rPr>
                <w:t>Lance M. Fritz and Jennifer L. Hamann</w:t>
              </w:r>
            </w:hyperlink>
          </w:p>
        </w:tc>
        <w:tc>
          <w:tcPr>
            <w:tcW w:w="6580" w:type="dxa"/>
            <w:vAlign w:val="bottom"/>
            <w:tcBorders>
              <w:top w:val="single" w:sz="8" w:color="0563C1"/>
            </w:tcBorders>
          </w:tcPr>
          <w:p>
            <w:pPr>
              <w:spacing w:after="0"/>
              <w:rPr>
                <w:sz w:val="14"/>
                <w:szCs w:val="14"/>
                <w:color w:val="auto"/>
              </w:rPr>
            </w:pPr>
          </w:p>
        </w:tc>
        <w:tc>
          <w:tcPr>
            <w:tcW w:w="20" w:type="dxa"/>
            <w:vAlign w:val="bottom"/>
          </w:tcPr>
          <w:p>
            <w:pPr>
              <w:spacing w:after="0"/>
              <w:rPr>
                <w:sz w:val="14"/>
                <w:szCs w:val="14"/>
                <w:color w:val="auto"/>
              </w:rPr>
            </w:pPr>
          </w:p>
        </w:tc>
      </w:tr>
    </w:tbl>
    <w:p>
      <w:pPr>
        <w:spacing w:after="0" w:line="170" w:lineRule="exact"/>
        <w:rPr>
          <w:sz w:val="20"/>
          <w:szCs w:val="20"/>
          <w:color w:val="auto"/>
        </w:rPr>
      </w:pPr>
    </w:p>
    <w:p>
      <w:pPr>
        <w:jc w:val="both"/>
        <w:ind w:left="1640" w:hanging="1635"/>
        <w:spacing w:after="0" w:line="229" w:lineRule="auto"/>
        <w:tabs>
          <w:tab w:leader="none" w:pos="1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following financial and related information from Union Pacific Corporation’s Quarterly Report on Form 10-Q for the period ended March 31, 2020 (filed with the SEC on April 23, 2020), formatted in Inline Extensible Business Reporting Language (iXBRL) includes (i) Condensed Consolidated Statements of Income for the periods ended March 31, 2020 and 2019, (ii) Condensed Consolidated Statements of Comprehensive Income for the periods ended March 31, 2020 and 2019, (iii) Condensed Consolidated Statements of Financial Position at March 31, 2020 and December 31, 2019, (iv) Condensed Consolidated Statements of Cash Flows for the periods ended March 31, 2020 and 2019, (v) Condensed Consolidated Statements of Changes in Common Shareholders’ Equity for the periods ended March 31, 2020 and 2019, and (vi) the Notes to the Condensed Consolidated Financial Statements.</w:t>
      </w:r>
    </w:p>
    <w:p>
      <w:pPr>
        <w:spacing w:after="0" w:line="147" w:lineRule="exact"/>
        <w:rPr>
          <w:sz w:val="20"/>
          <w:szCs w:val="20"/>
          <w:color w:val="auto"/>
        </w:rPr>
      </w:pPr>
    </w:p>
    <w:p>
      <w:pPr>
        <w:ind w:right="3020" w:firstLine="5"/>
        <w:spacing w:after="0" w:line="434" w:lineRule="auto"/>
        <w:tabs>
          <w:tab w:leader="none" w:pos="1626"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Cover Page Interactive Data File, formatted in Inline XBRL (contained in Exhibit 101). </w:t>
      </w:r>
      <w:r>
        <w:rPr>
          <w:rFonts w:ascii="Arial" w:cs="Arial" w:eastAsia="Arial" w:hAnsi="Arial"/>
          <w:sz w:val="17"/>
          <w:szCs w:val="17"/>
          <w:u w:val="single" w:color="auto"/>
          <w:color w:val="auto"/>
        </w:rPr>
        <w:t>Incorporated by Reference</w:t>
      </w:r>
    </w:p>
    <w:tbl>
      <w:tblPr>
        <w:tblLayout w:type="fixed"/>
        <w:tblInd w:w="0" w:type="dxa"/>
        <w:tblCellMar>
          <w:top w:w="0" w:type="dxa"/>
          <w:left w:w="0" w:type="dxa"/>
          <w:bottom w:w="0" w:type="dxa"/>
          <w:right w:w="0" w:type="dxa"/>
        </w:tblCellMar>
      </w:tblPr>
      <w:tr>
        <w:trPr>
          <w:trHeight w:val="172"/>
        </w:trPr>
        <w:tc>
          <w:tcPr>
            <w:tcW w:w="1640" w:type="dxa"/>
            <w:vAlign w:val="bottom"/>
          </w:tcPr>
          <w:p>
            <w:pPr>
              <w:spacing w:after="0" w:line="172" w:lineRule="exact"/>
              <w:rPr>
                <w:sz w:val="20"/>
                <w:szCs w:val="20"/>
                <w:color w:val="auto"/>
              </w:rPr>
            </w:pPr>
            <w:r>
              <w:rPr>
                <w:rFonts w:ascii="Arial" w:cs="Arial" w:eastAsia="Arial" w:hAnsi="Arial"/>
                <w:sz w:val="17"/>
                <w:szCs w:val="17"/>
                <w:color w:val="auto"/>
              </w:rPr>
              <w:t>3(a)</w:t>
            </w:r>
          </w:p>
        </w:tc>
        <w:tc>
          <w:tcPr>
            <w:tcW w:w="9680" w:type="dxa"/>
            <w:vAlign w:val="bottom"/>
            <w:gridSpan w:val="9"/>
          </w:tcPr>
          <w:p>
            <w:pPr>
              <w:spacing w:after="0" w:line="172" w:lineRule="exact"/>
              <w:rPr>
                <w:rFonts w:ascii="Arial" w:cs="Arial" w:eastAsia="Arial" w:hAnsi="Arial"/>
                <w:sz w:val="17"/>
                <w:szCs w:val="17"/>
                <w:color w:val="0563C1"/>
              </w:rPr>
            </w:pPr>
            <w:hyperlink r:id="rId62">
              <w:r>
                <w:rPr>
                  <w:rFonts w:ascii="Arial" w:cs="Arial" w:eastAsia="Arial" w:hAnsi="Arial"/>
                  <w:sz w:val="17"/>
                  <w:szCs w:val="17"/>
                  <w:color w:val="0563C1"/>
                </w:rPr>
                <w:t>Restated Articles of Incorporation of UPC, as amended and restated through June 27, 2011, and as further amended May</w:t>
              </w:r>
            </w:hyperlink>
          </w:p>
        </w:tc>
      </w:tr>
      <w:tr>
        <w:trPr>
          <w:trHeight w:val="164"/>
        </w:trPr>
        <w:tc>
          <w:tcPr>
            <w:tcW w:w="1640" w:type="dxa"/>
            <w:vAlign w:val="bottom"/>
          </w:tcPr>
          <w:p>
            <w:pPr>
              <w:spacing w:after="0"/>
              <w:rPr>
                <w:sz w:val="14"/>
                <w:szCs w:val="14"/>
                <w:color w:val="auto"/>
              </w:rPr>
            </w:pPr>
          </w:p>
        </w:tc>
        <w:tc>
          <w:tcPr>
            <w:tcW w:w="9620" w:type="dxa"/>
            <w:vAlign w:val="bottom"/>
            <w:tcBorders>
              <w:top w:val="single" w:sz="8" w:color="0563C1"/>
              <w:bottom w:val="single" w:sz="8" w:color="0563C1"/>
            </w:tcBorders>
            <w:gridSpan w:val="6"/>
          </w:tcPr>
          <w:p>
            <w:pPr>
              <w:spacing w:after="0" w:line="163" w:lineRule="exact"/>
              <w:rPr>
                <w:rFonts w:ascii="Arial" w:cs="Arial" w:eastAsia="Arial" w:hAnsi="Arial"/>
                <w:sz w:val="17"/>
                <w:szCs w:val="17"/>
                <w:color w:val="0563C1"/>
              </w:rPr>
            </w:pPr>
            <w:hyperlink r:id="rId62">
              <w:r>
                <w:rPr>
                  <w:rFonts w:ascii="Arial" w:cs="Arial" w:eastAsia="Arial" w:hAnsi="Arial"/>
                  <w:sz w:val="17"/>
                  <w:szCs w:val="17"/>
                  <w:color w:val="0563C1"/>
                </w:rPr>
                <w:t>15, 2014, are incorporated herein by reference to Exhibit 3(a) to the Corporation’s Quarterly Report on Form 10-Q for the</w:t>
              </w:r>
            </w:hyperlink>
          </w:p>
        </w:tc>
        <w:tc>
          <w:tcPr>
            <w:tcW w:w="20" w:type="dxa"/>
            <w:vAlign w:val="bottom"/>
            <w:tcBorders>
              <w:bottom w:val="single" w:sz="8" w:color="0563C1"/>
            </w:tcBorders>
          </w:tcPr>
          <w:p>
            <w:pPr>
              <w:spacing w:after="0"/>
              <w:rPr>
                <w:sz w:val="14"/>
                <w:szCs w:val="14"/>
                <w:color w:val="auto"/>
              </w:rPr>
            </w:pPr>
          </w:p>
        </w:tc>
        <w:tc>
          <w:tcPr>
            <w:tcW w:w="20" w:type="dxa"/>
            <w:vAlign w:val="bottom"/>
            <w:tcBorders>
              <w:bottom w:val="single" w:sz="8" w:color="0563C1"/>
            </w:tcBorders>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1640" w:type="dxa"/>
            <w:vAlign w:val="bottom"/>
          </w:tcPr>
          <w:p>
            <w:pPr>
              <w:spacing w:after="0"/>
              <w:rPr>
                <w:sz w:val="14"/>
                <w:szCs w:val="14"/>
                <w:color w:val="auto"/>
              </w:rPr>
            </w:pPr>
          </w:p>
        </w:tc>
        <w:tc>
          <w:tcPr>
            <w:tcW w:w="9660" w:type="dxa"/>
            <w:vAlign w:val="bottom"/>
            <w:gridSpan w:val="8"/>
          </w:tcPr>
          <w:p>
            <w:pPr>
              <w:spacing w:after="0" w:line="163" w:lineRule="exact"/>
              <w:rPr>
                <w:rFonts w:ascii="Arial" w:cs="Arial" w:eastAsia="Arial" w:hAnsi="Arial"/>
                <w:sz w:val="17"/>
                <w:szCs w:val="17"/>
                <w:color w:val="0563C1"/>
              </w:rPr>
            </w:pPr>
            <w:hyperlink r:id="rId62">
              <w:r>
                <w:rPr>
                  <w:rFonts w:ascii="Arial" w:cs="Arial" w:eastAsia="Arial" w:hAnsi="Arial"/>
                  <w:sz w:val="17"/>
                  <w:szCs w:val="17"/>
                  <w:color w:val="0563C1"/>
                </w:rPr>
                <w:t>quarter ended June 30, 2014.</w:t>
              </w:r>
            </w:hyperlink>
          </w:p>
        </w:tc>
        <w:tc>
          <w:tcPr>
            <w:tcW w:w="20" w:type="dxa"/>
            <w:vAlign w:val="bottom"/>
          </w:tcPr>
          <w:p>
            <w:pPr>
              <w:spacing w:after="0"/>
              <w:rPr>
                <w:sz w:val="14"/>
                <w:szCs w:val="14"/>
                <w:color w:val="auto"/>
              </w:rPr>
            </w:pPr>
          </w:p>
        </w:tc>
      </w:tr>
      <w:tr>
        <w:trPr>
          <w:trHeight w:val="20"/>
        </w:trPr>
        <w:tc>
          <w:tcPr>
            <w:tcW w:w="1640" w:type="dxa"/>
            <w:vAlign w:val="bottom"/>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4"/>
        </w:trPr>
        <w:tc>
          <w:tcPr>
            <w:tcW w:w="1640" w:type="dxa"/>
            <w:vAlign w:val="bottom"/>
          </w:tcPr>
          <w:p>
            <w:pPr>
              <w:spacing w:after="0"/>
              <w:rPr>
                <w:sz w:val="20"/>
                <w:szCs w:val="20"/>
                <w:color w:val="auto"/>
              </w:rPr>
            </w:pPr>
            <w:r>
              <w:rPr>
                <w:rFonts w:ascii="Arial" w:cs="Arial" w:eastAsia="Arial" w:hAnsi="Arial"/>
                <w:sz w:val="17"/>
                <w:szCs w:val="17"/>
                <w:color w:val="auto"/>
              </w:rPr>
              <w:t>3(b)</w:t>
            </w:r>
          </w:p>
        </w:tc>
        <w:tc>
          <w:tcPr>
            <w:tcW w:w="9680" w:type="dxa"/>
            <w:vAlign w:val="bottom"/>
            <w:gridSpan w:val="9"/>
          </w:tcPr>
          <w:p>
            <w:pPr>
              <w:spacing w:after="0"/>
              <w:rPr>
                <w:rFonts w:ascii="Arial" w:cs="Arial" w:eastAsia="Arial" w:hAnsi="Arial"/>
                <w:sz w:val="17"/>
                <w:szCs w:val="17"/>
                <w:color w:val="0563C1"/>
              </w:rPr>
            </w:pPr>
            <w:hyperlink r:id="rId63">
              <w:r>
                <w:rPr>
                  <w:rFonts w:ascii="Arial" w:cs="Arial" w:eastAsia="Arial" w:hAnsi="Arial"/>
                  <w:sz w:val="17"/>
                  <w:szCs w:val="17"/>
                  <w:color w:val="0563C1"/>
                </w:rPr>
                <w:t>By-Laws of UPC, as amended, effective November 19, 2015, are incorporated herein by reference to Exhibit 3.2 to the</w:t>
              </w:r>
            </w:hyperlink>
          </w:p>
        </w:tc>
      </w:tr>
      <w:tr>
        <w:trPr>
          <w:trHeight w:val="164"/>
        </w:trPr>
        <w:tc>
          <w:tcPr>
            <w:tcW w:w="1640" w:type="dxa"/>
            <w:vAlign w:val="bottom"/>
          </w:tcPr>
          <w:p>
            <w:pPr>
              <w:spacing w:after="0"/>
              <w:rPr>
                <w:sz w:val="14"/>
                <w:szCs w:val="14"/>
                <w:color w:val="auto"/>
              </w:rPr>
            </w:pPr>
          </w:p>
        </w:tc>
        <w:tc>
          <w:tcPr>
            <w:tcW w:w="9640" w:type="dxa"/>
            <w:vAlign w:val="bottom"/>
            <w:tcBorders>
              <w:top w:val="single" w:sz="8" w:color="0563C1"/>
            </w:tcBorders>
            <w:gridSpan w:val="7"/>
          </w:tcPr>
          <w:p>
            <w:pPr>
              <w:spacing w:after="0" w:line="163" w:lineRule="exact"/>
              <w:rPr>
                <w:rFonts w:ascii="Arial" w:cs="Arial" w:eastAsia="Arial" w:hAnsi="Arial"/>
                <w:sz w:val="17"/>
                <w:szCs w:val="17"/>
                <w:color w:val="0563C1"/>
              </w:rPr>
            </w:pPr>
            <w:hyperlink r:id="rId63">
              <w:r>
                <w:rPr>
                  <w:rFonts w:ascii="Arial" w:cs="Arial" w:eastAsia="Arial" w:hAnsi="Arial"/>
                  <w:sz w:val="17"/>
                  <w:szCs w:val="17"/>
                  <w:color w:val="0563C1"/>
                </w:rPr>
                <w:t>Corporation’s Current Report on Form 8-K dated November 19, 2015.</w:t>
              </w:r>
            </w:hyperlink>
          </w:p>
        </w:tc>
        <w:tc>
          <w:tcPr>
            <w:tcW w:w="40" w:type="dxa"/>
            <w:vAlign w:val="bottom"/>
            <w:gridSpan w:val="2"/>
          </w:tcPr>
          <w:p>
            <w:pPr>
              <w:spacing w:after="0"/>
              <w:rPr>
                <w:sz w:val="14"/>
                <w:szCs w:val="14"/>
                <w:color w:val="auto"/>
              </w:rPr>
            </w:pPr>
          </w:p>
        </w:tc>
      </w:tr>
      <w:tr>
        <w:trPr>
          <w:trHeight w:val="20"/>
        </w:trPr>
        <w:tc>
          <w:tcPr>
            <w:tcW w:w="1640" w:type="dxa"/>
            <w:vAlign w:val="bottom"/>
          </w:tcPr>
          <w:p>
            <w:pPr>
              <w:spacing w:after="0" w:line="20" w:lineRule="exact"/>
              <w:rPr>
                <w:sz w:val="1"/>
                <w:szCs w:val="1"/>
                <w:color w:val="auto"/>
              </w:rPr>
            </w:pPr>
          </w:p>
        </w:tc>
        <w:tc>
          <w:tcPr>
            <w:tcW w:w="150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3480" w:type="dxa"/>
            <w:vAlign w:val="bottom"/>
            <w:gridSpan w:val="2"/>
            <w:shd w:val="clear" w:color="auto" w:fill="0563C1"/>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4"/>
        </w:trPr>
        <w:tc>
          <w:tcPr>
            <w:tcW w:w="1640" w:type="dxa"/>
            <w:vAlign w:val="bottom"/>
          </w:tcPr>
          <w:p>
            <w:pPr>
              <w:spacing w:after="0"/>
              <w:rPr>
                <w:sz w:val="20"/>
                <w:szCs w:val="20"/>
                <w:color w:val="auto"/>
              </w:rPr>
            </w:pPr>
            <w:r>
              <w:rPr>
                <w:rFonts w:ascii="Arial" w:cs="Arial" w:eastAsia="Arial" w:hAnsi="Arial"/>
                <w:sz w:val="17"/>
                <w:szCs w:val="17"/>
                <w:color w:val="auto"/>
              </w:rPr>
              <w:t>4(a)</w:t>
            </w:r>
          </w:p>
        </w:tc>
        <w:tc>
          <w:tcPr>
            <w:tcW w:w="9680" w:type="dxa"/>
            <w:vAlign w:val="bottom"/>
            <w:gridSpan w:val="9"/>
          </w:tcPr>
          <w:p>
            <w:pPr>
              <w:spacing w:after="0"/>
              <w:rPr>
                <w:rFonts w:ascii="Arial" w:cs="Arial" w:eastAsia="Arial" w:hAnsi="Arial"/>
                <w:sz w:val="17"/>
                <w:szCs w:val="17"/>
                <w:color w:val="0563C1"/>
              </w:rPr>
            </w:pPr>
            <w:hyperlink r:id="rId64">
              <w:r>
                <w:rPr>
                  <w:rFonts w:ascii="Arial" w:cs="Arial" w:eastAsia="Arial" w:hAnsi="Arial"/>
                  <w:sz w:val="17"/>
                  <w:szCs w:val="17"/>
                  <w:color w:val="0563C1"/>
                </w:rPr>
                <w:t>Form of 2.150% Note due 2027 is incorporated by reference to Exhibit 4.1 to the Corporation’s Current Report on Form 8-K</w:t>
              </w:r>
            </w:hyperlink>
          </w:p>
        </w:tc>
      </w:tr>
      <w:tr>
        <w:trPr>
          <w:trHeight w:val="164"/>
        </w:trPr>
        <w:tc>
          <w:tcPr>
            <w:tcW w:w="1640" w:type="dxa"/>
            <w:vAlign w:val="bottom"/>
          </w:tcPr>
          <w:p>
            <w:pPr>
              <w:spacing w:after="0"/>
              <w:rPr>
                <w:sz w:val="14"/>
                <w:szCs w:val="14"/>
                <w:color w:val="auto"/>
              </w:rPr>
            </w:pPr>
          </w:p>
        </w:tc>
        <w:tc>
          <w:tcPr>
            <w:tcW w:w="1880" w:type="dxa"/>
            <w:vAlign w:val="bottom"/>
            <w:tcBorders>
              <w:top w:val="single" w:sz="8" w:color="0563C1"/>
              <w:bottom w:val="single" w:sz="8" w:color="0563C1"/>
            </w:tcBorders>
            <w:gridSpan w:val="2"/>
          </w:tcPr>
          <w:p>
            <w:pPr>
              <w:spacing w:after="0" w:line="163" w:lineRule="exact"/>
              <w:rPr>
                <w:rFonts w:ascii="Arial" w:cs="Arial" w:eastAsia="Arial" w:hAnsi="Arial"/>
                <w:sz w:val="17"/>
                <w:szCs w:val="17"/>
                <w:color w:val="0563C1"/>
              </w:rPr>
            </w:pPr>
            <w:hyperlink r:id="rId64">
              <w:r>
                <w:rPr>
                  <w:rFonts w:ascii="Arial" w:cs="Arial" w:eastAsia="Arial" w:hAnsi="Arial"/>
                  <w:sz w:val="17"/>
                  <w:szCs w:val="17"/>
                  <w:color w:val="0563C1"/>
                </w:rPr>
                <w:t>dated January 31, 2020.</w:t>
              </w:r>
            </w:hyperlink>
          </w:p>
        </w:tc>
        <w:tc>
          <w:tcPr>
            <w:tcW w:w="7720" w:type="dxa"/>
            <w:vAlign w:val="bottom"/>
            <w:tcBorders>
              <w:top w:val="single" w:sz="8" w:color="0563C1"/>
            </w:tcBorders>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34"/>
        </w:trPr>
        <w:tc>
          <w:tcPr>
            <w:tcW w:w="1640" w:type="dxa"/>
            <w:vAlign w:val="bottom"/>
          </w:tcPr>
          <w:p>
            <w:pPr>
              <w:spacing w:after="0"/>
              <w:rPr>
                <w:sz w:val="20"/>
                <w:szCs w:val="20"/>
                <w:color w:val="auto"/>
              </w:rPr>
            </w:pPr>
            <w:r>
              <w:rPr>
                <w:rFonts w:ascii="Arial" w:cs="Arial" w:eastAsia="Arial" w:hAnsi="Arial"/>
                <w:sz w:val="17"/>
                <w:szCs w:val="17"/>
                <w:color w:val="auto"/>
              </w:rPr>
              <w:t>4(b)</w:t>
            </w:r>
          </w:p>
        </w:tc>
        <w:tc>
          <w:tcPr>
            <w:tcW w:w="9680" w:type="dxa"/>
            <w:vAlign w:val="bottom"/>
            <w:gridSpan w:val="9"/>
          </w:tcPr>
          <w:p>
            <w:pPr>
              <w:spacing w:after="0"/>
              <w:rPr>
                <w:rFonts w:ascii="Arial" w:cs="Arial" w:eastAsia="Arial" w:hAnsi="Arial"/>
                <w:sz w:val="17"/>
                <w:szCs w:val="17"/>
                <w:color w:val="0563C1"/>
              </w:rPr>
            </w:pPr>
            <w:hyperlink r:id="rId65">
              <w:r>
                <w:rPr>
                  <w:rFonts w:ascii="Arial" w:cs="Arial" w:eastAsia="Arial" w:hAnsi="Arial"/>
                  <w:sz w:val="17"/>
                  <w:szCs w:val="17"/>
                  <w:color w:val="0563C1"/>
                </w:rPr>
                <w:t>Form of 2.400% Note due 2030 is incorporated by reference to Exhibit 4.2 to the Corporation’s Current Report on Form 8-K</w:t>
              </w:r>
            </w:hyperlink>
          </w:p>
        </w:tc>
      </w:tr>
      <w:tr>
        <w:trPr>
          <w:trHeight w:val="164"/>
        </w:trPr>
        <w:tc>
          <w:tcPr>
            <w:tcW w:w="1640" w:type="dxa"/>
            <w:vAlign w:val="bottom"/>
          </w:tcPr>
          <w:p>
            <w:pPr>
              <w:spacing w:after="0"/>
              <w:rPr>
                <w:sz w:val="14"/>
                <w:szCs w:val="14"/>
                <w:color w:val="auto"/>
              </w:rPr>
            </w:pPr>
          </w:p>
        </w:tc>
        <w:tc>
          <w:tcPr>
            <w:tcW w:w="1880" w:type="dxa"/>
            <w:vAlign w:val="bottom"/>
            <w:tcBorders>
              <w:top w:val="single" w:sz="8" w:color="0563C1"/>
              <w:bottom w:val="single" w:sz="8" w:color="0563C1"/>
            </w:tcBorders>
            <w:gridSpan w:val="2"/>
          </w:tcPr>
          <w:p>
            <w:pPr>
              <w:spacing w:after="0" w:line="163" w:lineRule="exact"/>
              <w:rPr>
                <w:rFonts w:ascii="Arial" w:cs="Arial" w:eastAsia="Arial" w:hAnsi="Arial"/>
                <w:sz w:val="17"/>
                <w:szCs w:val="17"/>
                <w:color w:val="0563C1"/>
              </w:rPr>
            </w:pPr>
            <w:hyperlink r:id="rId65">
              <w:r>
                <w:rPr>
                  <w:rFonts w:ascii="Arial" w:cs="Arial" w:eastAsia="Arial" w:hAnsi="Arial"/>
                  <w:sz w:val="17"/>
                  <w:szCs w:val="17"/>
                  <w:color w:val="0563C1"/>
                </w:rPr>
                <w:t>dated January 31, 2020.</w:t>
              </w:r>
            </w:hyperlink>
          </w:p>
        </w:tc>
        <w:tc>
          <w:tcPr>
            <w:tcW w:w="7720" w:type="dxa"/>
            <w:vAlign w:val="bottom"/>
            <w:tcBorders>
              <w:top w:val="single" w:sz="8" w:color="0563C1"/>
            </w:tcBorders>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34"/>
        </w:trPr>
        <w:tc>
          <w:tcPr>
            <w:tcW w:w="1640" w:type="dxa"/>
            <w:vAlign w:val="bottom"/>
          </w:tcPr>
          <w:p>
            <w:pPr>
              <w:spacing w:after="0"/>
              <w:rPr>
                <w:sz w:val="20"/>
                <w:szCs w:val="20"/>
                <w:color w:val="auto"/>
              </w:rPr>
            </w:pPr>
            <w:r>
              <w:rPr>
                <w:rFonts w:ascii="Arial" w:cs="Arial" w:eastAsia="Arial" w:hAnsi="Arial"/>
                <w:sz w:val="17"/>
                <w:szCs w:val="17"/>
                <w:color w:val="auto"/>
              </w:rPr>
              <w:t>4(c)</w:t>
            </w:r>
          </w:p>
        </w:tc>
        <w:tc>
          <w:tcPr>
            <w:tcW w:w="9680" w:type="dxa"/>
            <w:vAlign w:val="bottom"/>
            <w:gridSpan w:val="9"/>
          </w:tcPr>
          <w:p>
            <w:pPr>
              <w:spacing w:after="0"/>
              <w:rPr>
                <w:rFonts w:ascii="Arial" w:cs="Arial" w:eastAsia="Arial" w:hAnsi="Arial"/>
                <w:sz w:val="17"/>
                <w:szCs w:val="17"/>
                <w:color w:val="0563C1"/>
              </w:rPr>
            </w:pPr>
            <w:hyperlink r:id="rId66">
              <w:r>
                <w:rPr>
                  <w:rFonts w:ascii="Arial" w:cs="Arial" w:eastAsia="Arial" w:hAnsi="Arial"/>
                  <w:sz w:val="17"/>
                  <w:szCs w:val="17"/>
                  <w:color w:val="0563C1"/>
                </w:rPr>
                <w:t>Form of 3.250% Note due 2050 is incorporated by reference to Exhibit 4.3 to the Corporation’s Current Report on Form 8-K</w:t>
              </w:r>
            </w:hyperlink>
          </w:p>
        </w:tc>
      </w:tr>
      <w:tr>
        <w:trPr>
          <w:trHeight w:val="164"/>
        </w:trPr>
        <w:tc>
          <w:tcPr>
            <w:tcW w:w="1640" w:type="dxa"/>
            <w:vAlign w:val="bottom"/>
          </w:tcPr>
          <w:p>
            <w:pPr>
              <w:spacing w:after="0"/>
              <w:rPr>
                <w:sz w:val="14"/>
                <w:szCs w:val="14"/>
                <w:color w:val="auto"/>
              </w:rPr>
            </w:pPr>
          </w:p>
        </w:tc>
        <w:tc>
          <w:tcPr>
            <w:tcW w:w="1880" w:type="dxa"/>
            <w:vAlign w:val="bottom"/>
            <w:tcBorders>
              <w:top w:val="single" w:sz="8" w:color="0563C1"/>
              <w:bottom w:val="single" w:sz="8" w:color="0563C1"/>
            </w:tcBorders>
            <w:gridSpan w:val="2"/>
          </w:tcPr>
          <w:p>
            <w:pPr>
              <w:spacing w:after="0" w:line="163" w:lineRule="exact"/>
              <w:rPr>
                <w:rFonts w:ascii="Arial" w:cs="Arial" w:eastAsia="Arial" w:hAnsi="Arial"/>
                <w:sz w:val="17"/>
                <w:szCs w:val="17"/>
                <w:color w:val="0563C1"/>
              </w:rPr>
            </w:pPr>
            <w:hyperlink r:id="rId66">
              <w:r>
                <w:rPr>
                  <w:rFonts w:ascii="Arial" w:cs="Arial" w:eastAsia="Arial" w:hAnsi="Arial"/>
                  <w:sz w:val="17"/>
                  <w:szCs w:val="17"/>
                  <w:color w:val="0563C1"/>
                </w:rPr>
                <w:t>dated January 31, 2020.</w:t>
              </w:r>
            </w:hyperlink>
          </w:p>
        </w:tc>
        <w:tc>
          <w:tcPr>
            <w:tcW w:w="7720" w:type="dxa"/>
            <w:vAlign w:val="bottom"/>
            <w:tcBorders>
              <w:top w:val="single" w:sz="8" w:color="0563C1"/>
            </w:tcBorders>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34"/>
        </w:trPr>
        <w:tc>
          <w:tcPr>
            <w:tcW w:w="1640" w:type="dxa"/>
            <w:vAlign w:val="bottom"/>
          </w:tcPr>
          <w:p>
            <w:pPr>
              <w:spacing w:after="0"/>
              <w:rPr>
                <w:sz w:val="20"/>
                <w:szCs w:val="20"/>
                <w:color w:val="auto"/>
              </w:rPr>
            </w:pPr>
            <w:r>
              <w:rPr>
                <w:rFonts w:ascii="Arial" w:cs="Arial" w:eastAsia="Arial" w:hAnsi="Arial"/>
                <w:sz w:val="17"/>
                <w:szCs w:val="17"/>
                <w:color w:val="auto"/>
              </w:rPr>
              <w:t>4(d)</w:t>
            </w:r>
          </w:p>
        </w:tc>
        <w:tc>
          <w:tcPr>
            <w:tcW w:w="9680" w:type="dxa"/>
            <w:vAlign w:val="bottom"/>
            <w:gridSpan w:val="9"/>
          </w:tcPr>
          <w:p>
            <w:pPr>
              <w:spacing w:after="0"/>
              <w:rPr>
                <w:rFonts w:ascii="Arial" w:cs="Arial" w:eastAsia="Arial" w:hAnsi="Arial"/>
                <w:sz w:val="17"/>
                <w:szCs w:val="17"/>
                <w:color w:val="0563C1"/>
              </w:rPr>
            </w:pPr>
            <w:hyperlink r:id="rId67">
              <w:r>
                <w:rPr>
                  <w:rFonts w:ascii="Arial" w:cs="Arial" w:eastAsia="Arial" w:hAnsi="Arial"/>
                  <w:sz w:val="17"/>
                  <w:szCs w:val="17"/>
                  <w:color w:val="0563C1"/>
                </w:rPr>
                <w:t>Form of 3.750% Note due 2070 is incorporated by reference to Exhibit 4.4 to the Corporation’s Current Report on Form 8-K</w:t>
              </w:r>
            </w:hyperlink>
          </w:p>
        </w:tc>
      </w:tr>
      <w:tr>
        <w:trPr>
          <w:trHeight w:val="164"/>
        </w:trPr>
        <w:tc>
          <w:tcPr>
            <w:tcW w:w="1640" w:type="dxa"/>
            <w:vAlign w:val="bottom"/>
          </w:tcPr>
          <w:p>
            <w:pPr>
              <w:spacing w:after="0"/>
              <w:rPr>
                <w:sz w:val="14"/>
                <w:szCs w:val="14"/>
                <w:color w:val="auto"/>
              </w:rPr>
            </w:pPr>
          </w:p>
        </w:tc>
        <w:tc>
          <w:tcPr>
            <w:tcW w:w="1880" w:type="dxa"/>
            <w:vAlign w:val="bottom"/>
            <w:tcBorders>
              <w:top w:val="single" w:sz="8" w:color="0563C1"/>
              <w:bottom w:val="single" w:sz="8" w:color="0563C1"/>
            </w:tcBorders>
            <w:gridSpan w:val="2"/>
          </w:tcPr>
          <w:p>
            <w:pPr>
              <w:spacing w:after="0" w:line="163" w:lineRule="exact"/>
              <w:rPr>
                <w:rFonts w:ascii="Arial" w:cs="Arial" w:eastAsia="Arial" w:hAnsi="Arial"/>
                <w:sz w:val="17"/>
                <w:szCs w:val="17"/>
                <w:color w:val="0563C1"/>
              </w:rPr>
            </w:pPr>
            <w:hyperlink r:id="rId67">
              <w:r>
                <w:rPr>
                  <w:rFonts w:ascii="Arial" w:cs="Arial" w:eastAsia="Arial" w:hAnsi="Arial"/>
                  <w:sz w:val="17"/>
                  <w:szCs w:val="17"/>
                  <w:color w:val="0563C1"/>
                </w:rPr>
                <w:t>dated January 31, 2020.</w:t>
              </w:r>
            </w:hyperlink>
          </w:p>
        </w:tc>
        <w:tc>
          <w:tcPr>
            <w:tcW w:w="7720" w:type="dxa"/>
            <w:vAlign w:val="bottom"/>
            <w:tcBorders>
              <w:top w:val="single" w:sz="8" w:color="0563C1"/>
            </w:tcBorders>
            <w:gridSpan w:val="3"/>
          </w:tcPr>
          <w:p>
            <w:pPr>
              <w:spacing w:after="0"/>
              <w:rPr>
                <w:sz w:val="14"/>
                <w:szCs w:val="14"/>
                <w:color w:val="auto"/>
              </w:rPr>
            </w:pPr>
          </w:p>
        </w:tc>
        <w:tc>
          <w:tcPr>
            <w:tcW w:w="80" w:type="dxa"/>
            <w:vAlign w:val="bottom"/>
            <w:gridSpan w:val="4"/>
          </w:tcPr>
          <w:p>
            <w:pPr>
              <w:spacing w:after="0"/>
              <w:rPr>
                <w:sz w:val="14"/>
                <w:szCs w:val="14"/>
                <w:color w:val="auto"/>
              </w:rPr>
            </w:pPr>
          </w:p>
        </w:tc>
      </w:tr>
      <w:tr>
        <w:trPr>
          <w:trHeight w:val="334"/>
        </w:trPr>
        <w:tc>
          <w:tcPr>
            <w:tcW w:w="1640" w:type="dxa"/>
            <w:vAlign w:val="bottom"/>
          </w:tcPr>
          <w:p>
            <w:pPr>
              <w:spacing w:after="0"/>
              <w:rPr>
                <w:sz w:val="20"/>
                <w:szCs w:val="20"/>
                <w:color w:val="auto"/>
              </w:rPr>
            </w:pPr>
            <w:r>
              <w:rPr>
                <w:rFonts w:ascii="Arial" w:cs="Arial" w:eastAsia="Arial" w:hAnsi="Arial"/>
                <w:sz w:val="17"/>
                <w:szCs w:val="17"/>
                <w:color w:val="auto"/>
              </w:rPr>
              <w:t>4(e)</w:t>
            </w:r>
          </w:p>
        </w:tc>
        <w:tc>
          <w:tcPr>
            <w:tcW w:w="9680" w:type="dxa"/>
            <w:vAlign w:val="bottom"/>
            <w:gridSpan w:val="9"/>
          </w:tcPr>
          <w:p>
            <w:pPr>
              <w:spacing w:after="0"/>
              <w:rPr>
                <w:rFonts w:ascii="Arial" w:cs="Arial" w:eastAsia="Arial" w:hAnsi="Arial"/>
                <w:sz w:val="17"/>
                <w:szCs w:val="17"/>
                <w:color w:val="0563C1"/>
              </w:rPr>
            </w:pPr>
            <w:hyperlink r:id="rId68">
              <w:r>
                <w:rPr>
                  <w:rFonts w:ascii="Arial" w:cs="Arial" w:eastAsia="Arial" w:hAnsi="Arial"/>
                  <w:sz w:val="17"/>
                  <w:szCs w:val="17"/>
                  <w:color w:val="0563C1"/>
                </w:rPr>
                <w:t>Form of 3.250% Note due 2050 is incorporated by reference to Exhibit 4.1 to the Corporation’s Current Report on Form 8-K</w:t>
              </w:r>
            </w:hyperlink>
          </w:p>
        </w:tc>
      </w:tr>
      <w:tr>
        <w:trPr>
          <w:trHeight w:val="164"/>
        </w:trPr>
        <w:tc>
          <w:tcPr>
            <w:tcW w:w="1640" w:type="dxa"/>
            <w:vAlign w:val="bottom"/>
          </w:tcPr>
          <w:p>
            <w:pPr>
              <w:spacing w:after="0"/>
              <w:rPr>
                <w:sz w:val="14"/>
                <w:szCs w:val="14"/>
                <w:color w:val="auto"/>
              </w:rPr>
            </w:pPr>
          </w:p>
        </w:tc>
        <w:tc>
          <w:tcPr>
            <w:tcW w:w="9600" w:type="dxa"/>
            <w:vAlign w:val="bottom"/>
            <w:tcBorders>
              <w:top w:val="single" w:sz="8" w:color="0563C1"/>
            </w:tcBorders>
            <w:gridSpan w:val="5"/>
          </w:tcPr>
          <w:p>
            <w:pPr>
              <w:spacing w:after="0" w:line="163" w:lineRule="exact"/>
              <w:rPr>
                <w:rFonts w:ascii="Arial" w:cs="Arial" w:eastAsia="Arial" w:hAnsi="Arial"/>
                <w:sz w:val="17"/>
                <w:szCs w:val="17"/>
                <w:color w:val="0563C1"/>
              </w:rPr>
            </w:pPr>
            <w:hyperlink r:id="rId68">
              <w:r>
                <w:rPr>
                  <w:rFonts w:ascii="Arial" w:cs="Arial" w:eastAsia="Arial" w:hAnsi="Arial"/>
                  <w:sz w:val="17"/>
                  <w:szCs w:val="17"/>
                  <w:color w:val="0563C1"/>
                </w:rPr>
                <w:t>dated April 7, 2020.</w:t>
              </w:r>
            </w:hyperlink>
          </w:p>
        </w:tc>
        <w:tc>
          <w:tcPr>
            <w:tcW w:w="80" w:type="dxa"/>
            <w:vAlign w:val="bottom"/>
            <w:gridSpan w:val="4"/>
          </w:tcPr>
          <w:p>
            <w:pPr>
              <w:spacing w:after="0"/>
              <w:rPr>
                <w:sz w:val="14"/>
                <w:szCs w:val="14"/>
                <w:color w:val="auto"/>
              </w:rPr>
            </w:pPr>
          </w:p>
        </w:tc>
      </w:tr>
      <w:tr>
        <w:trPr>
          <w:trHeight w:val="753"/>
        </w:trPr>
        <w:tc>
          <w:tcPr>
            <w:tcW w:w="1640" w:type="dxa"/>
            <w:vAlign w:val="bottom"/>
          </w:tcPr>
          <w:p>
            <w:pPr>
              <w:spacing w:after="0"/>
              <w:rPr>
                <w:sz w:val="24"/>
                <w:szCs w:val="24"/>
                <w:color w:val="auto"/>
              </w:rPr>
            </w:pPr>
          </w:p>
        </w:tc>
        <w:tc>
          <w:tcPr>
            <w:tcW w:w="1500" w:type="dxa"/>
            <w:vAlign w:val="bottom"/>
            <w:tcBorders>
              <w:top w:val="single" w:sz="8" w:color="0563C1"/>
            </w:tcBorders>
          </w:tcPr>
          <w:p>
            <w:pPr>
              <w:spacing w:after="0"/>
              <w:rPr>
                <w:sz w:val="24"/>
                <w:szCs w:val="24"/>
                <w:color w:val="auto"/>
              </w:rPr>
            </w:pPr>
          </w:p>
        </w:tc>
        <w:tc>
          <w:tcPr>
            <w:tcW w:w="3860" w:type="dxa"/>
            <w:vAlign w:val="bottom"/>
            <w:gridSpan w:val="3"/>
          </w:tcPr>
          <w:p>
            <w:pPr>
              <w:jc w:val="right"/>
              <w:ind w:right="1280"/>
              <w:spacing w:after="0"/>
              <w:rPr>
                <w:sz w:val="20"/>
                <w:szCs w:val="20"/>
                <w:color w:val="auto"/>
              </w:rPr>
            </w:pPr>
            <w:r>
              <w:rPr>
                <w:rFonts w:ascii="Arial" w:cs="Arial" w:eastAsia="Arial" w:hAnsi="Arial"/>
                <w:sz w:val="17"/>
                <w:szCs w:val="17"/>
                <w:color w:val="auto"/>
              </w:rPr>
              <w:t>39</w:t>
            </w: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8"/>
        </w:trPr>
        <w:tc>
          <w:tcPr>
            <w:tcW w:w="16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39" w:name="page40"/>
    <w:bookmarkEnd w:id="39"/>
    <w:p>
      <w:pPr>
        <w:spacing w:after="0"/>
        <w:rPr>
          <w:rFonts w:ascii="Arial" w:cs="Arial" w:eastAsia="Arial" w:hAnsi="Arial"/>
          <w:sz w:val="17"/>
          <w:szCs w:val="17"/>
          <w:b w:val="1"/>
          <w:bCs w:val="1"/>
          <w:u w:val="single" w:color="auto"/>
          <w:color w:val="0563C1"/>
        </w:rPr>
      </w:pPr>
      <w:hyperlink w:anchor="page2">
        <w:r>
          <w:rPr>
            <w:rFonts w:ascii="Arial" w:cs="Arial" w:eastAsia="Arial" w:hAnsi="Arial"/>
            <w:sz w:val="17"/>
            <w:szCs w:val="17"/>
            <w:b w:val="1"/>
            <w:bCs w:val="1"/>
            <w:u w:val="single" w:color="auto"/>
            <w:color w:val="0563C1"/>
          </w:rPr>
          <w:t>Table of Contents</w:t>
        </w:r>
      </w:hyperlink>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9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Dated: April 23, 2020</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UNION PACIFIC CORPORATION (Registrant)</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Jennifer L. Hamann</w:t>
      </w:r>
    </w:p>
    <w:p>
      <w:pPr>
        <w:ind w:left="660"/>
        <w:spacing w:after="0" w:line="226" w:lineRule="auto"/>
        <w:rPr>
          <w:sz w:val="20"/>
          <w:szCs w:val="20"/>
          <w:color w:val="auto"/>
        </w:rPr>
      </w:pPr>
      <w:r>
        <w:rPr>
          <w:rFonts w:ascii="Arial" w:cs="Arial" w:eastAsia="Arial" w:hAnsi="Arial"/>
          <w:sz w:val="17"/>
          <w:szCs w:val="17"/>
          <w:color w:val="auto"/>
        </w:rPr>
        <w:t>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-114935</wp:posOffset>
            </wp:positionV>
            <wp:extent cx="31559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3155950" cy="8255"/>
                    </a:xfrm>
                    <a:prstGeom prst="rect">
                      <a:avLst/>
                    </a:prstGeom>
                    <a:noFill/>
                  </pic:spPr>
                </pic:pic>
              </a:graphicData>
            </a:graphic>
          </wp:anchor>
        </w:drawing>
      </w:r>
    </w:p>
    <w:p>
      <w:pPr>
        <w:ind w:left="660"/>
        <w:spacing w:after="0" w:line="226" w:lineRule="auto"/>
        <w:rPr>
          <w:sz w:val="20"/>
          <w:szCs w:val="20"/>
          <w:color w:val="auto"/>
        </w:rPr>
      </w:pPr>
      <w:r>
        <w:rPr>
          <w:rFonts w:ascii="Arial" w:cs="Arial" w:eastAsia="Arial" w:hAnsi="Arial"/>
          <w:sz w:val="17"/>
          <w:szCs w:val="17"/>
          <w:color w:val="auto"/>
        </w:rPr>
        <w:t>Executive Vice President and</w:t>
      </w:r>
    </w:p>
    <w:p>
      <w:pPr>
        <w:ind w:left="660"/>
        <w:spacing w:after="0" w:line="225" w:lineRule="auto"/>
        <w:rPr>
          <w:sz w:val="20"/>
          <w:szCs w:val="20"/>
          <w:color w:val="auto"/>
        </w:rPr>
      </w:pPr>
      <w:r>
        <w:rPr>
          <w:rFonts w:ascii="Arial" w:cs="Arial" w:eastAsia="Arial" w:hAnsi="Arial"/>
          <w:sz w:val="17"/>
          <w:szCs w:val="17"/>
          <w:color w:val="auto"/>
        </w:rPr>
        <w:t>Chief Financial Officer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(Principal Financial Officer)</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Todd M. Rynaski</w:t>
      </w:r>
    </w:p>
    <w:p>
      <w:pPr>
        <w:ind w:left="660"/>
        <w:spacing w:after="0" w:line="226" w:lineRule="auto"/>
        <w:rPr>
          <w:sz w:val="20"/>
          <w:szCs w:val="20"/>
          <w:color w:val="auto"/>
        </w:rPr>
      </w:pPr>
      <w:r>
        <w:rPr>
          <w:rFonts w:ascii="Arial" w:cs="Arial" w:eastAsia="Arial" w:hAnsi="Arial"/>
          <w:sz w:val="17"/>
          <w:szCs w:val="17"/>
          <w:color w:val="auto"/>
        </w:rPr>
        <w:t>Todd M. Rynaski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-114935</wp:posOffset>
            </wp:positionV>
            <wp:extent cx="31559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3155950" cy="8255"/>
                    </a:xfrm>
                    <a:prstGeom prst="rect">
                      <a:avLst/>
                    </a:prstGeom>
                    <a:noFill/>
                  </pic:spPr>
                </pic:pic>
              </a:graphicData>
            </a:graphic>
          </wp:anchor>
        </w:drawing>
      </w:r>
    </w:p>
    <w:p>
      <w:pPr>
        <w:ind w:left="660"/>
        <w:spacing w:after="0" w:line="226" w:lineRule="auto"/>
        <w:rPr>
          <w:sz w:val="20"/>
          <w:szCs w:val="20"/>
          <w:color w:val="auto"/>
        </w:rPr>
      </w:pPr>
      <w:r>
        <w:rPr>
          <w:rFonts w:ascii="Arial" w:cs="Arial" w:eastAsia="Arial" w:hAnsi="Arial"/>
          <w:sz w:val="17"/>
          <w:szCs w:val="17"/>
          <w:color w:val="auto"/>
        </w:rPr>
        <w:t>Vice President and Controller</w:t>
      </w:r>
    </w:p>
    <w:p>
      <w:pPr>
        <w:ind w:left="660"/>
        <w:spacing w:after="0"/>
        <w:rPr>
          <w:sz w:val="20"/>
          <w:szCs w:val="20"/>
          <w:color w:val="auto"/>
        </w:rPr>
      </w:pPr>
      <w:r>
        <w:rPr>
          <w:rFonts w:ascii="Arial" w:cs="Arial" w:eastAsia="Arial" w:hAnsi="Arial"/>
          <w:sz w:val="17"/>
          <w:szCs w:val="17"/>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104" w:right="339" w:bottom="1440" w:gutter="0" w:footer="0" w:header="0"/>
        </w:sectPr>
      </w:pPr>
    </w:p>
    <w:bookmarkStart w:id="40" w:name="page41"/>
    <w:bookmarkEnd w:id="40"/>
    <w:p>
      <w:pPr>
        <w:jc w:val="right"/>
        <w:ind w:right="159"/>
        <w:spacing w:after="0"/>
        <w:rPr>
          <w:sz w:val="20"/>
          <w:szCs w:val="20"/>
          <w:color w:val="auto"/>
        </w:rPr>
      </w:pPr>
      <w:r>
        <w:rPr>
          <w:rFonts w:ascii="Arial" w:cs="Arial" w:eastAsia="Arial" w:hAnsi="Arial"/>
          <w:sz w:val="17"/>
          <w:szCs w:val="17"/>
          <w:b w:val="1"/>
          <w:bCs w:val="1"/>
          <w:color w:val="auto"/>
        </w:rPr>
        <w:t>Exhibit 31(a)</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 Lance M. Fritz, certify that:</w:t>
      </w:r>
    </w:p>
    <w:p>
      <w:pPr>
        <w:spacing w:after="0" w:line="145" w:lineRule="exact"/>
        <w:rPr>
          <w:sz w:val="20"/>
          <w:szCs w:val="20"/>
          <w:color w:val="auto"/>
        </w:rPr>
      </w:pPr>
    </w:p>
    <w:p>
      <w:pPr>
        <w:ind w:left="340" w:hanging="196"/>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Union Pacific Corporation;</w:t>
      </w:r>
    </w:p>
    <w:p>
      <w:pPr>
        <w:spacing w:after="0" w:line="145" w:lineRule="exact"/>
        <w:rPr>
          <w:rFonts w:ascii="Arial" w:cs="Arial" w:eastAsia="Arial" w:hAnsi="Arial"/>
          <w:sz w:val="17"/>
          <w:szCs w:val="17"/>
          <w:color w:val="auto"/>
        </w:rPr>
      </w:pPr>
    </w:p>
    <w:p>
      <w:pPr>
        <w:jc w:val="both"/>
        <w:ind w:left="140" w:right="159" w:firstLine="4"/>
        <w:spacing w:after="0" w:line="225"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7"/>
          <w:szCs w:val="17"/>
          <w:color w:val="auto"/>
        </w:rPr>
      </w:pPr>
    </w:p>
    <w:p>
      <w:pPr>
        <w:jc w:val="both"/>
        <w:ind w:left="140" w:right="159" w:firstLine="4"/>
        <w:spacing w:after="0" w:line="225" w:lineRule="auto"/>
        <w:tabs>
          <w:tab w:leader="none" w:pos="338"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7"/>
          <w:szCs w:val="17"/>
          <w:color w:val="auto"/>
        </w:rPr>
      </w:pPr>
    </w:p>
    <w:p>
      <w:pPr>
        <w:jc w:val="both"/>
        <w:ind w:left="140" w:right="159" w:firstLine="4"/>
        <w:spacing w:after="0" w:line="225" w:lineRule="auto"/>
        <w:tabs>
          <w:tab w:leader="none" w:pos="36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7"/>
          <w:szCs w:val="17"/>
          <w:color w:val="auto"/>
        </w:rPr>
      </w:pPr>
    </w:p>
    <w:p>
      <w:pPr>
        <w:jc w:val="both"/>
        <w:ind w:left="780" w:right="159" w:hanging="321"/>
        <w:spacing w:after="0" w:line="221" w:lineRule="auto"/>
        <w:tabs>
          <w:tab w:leader="none" w:pos="7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7"/>
          <w:szCs w:val="17"/>
          <w:color w:val="auto"/>
        </w:rPr>
      </w:pPr>
    </w:p>
    <w:p>
      <w:pPr>
        <w:jc w:val="both"/>
        <w:ind w:left="780" w:right="159" w:hanging="321"/>
        <w:spacing w:after="0" w:line="221" w:lineRule="auto"/>
        <w:tabs>
          <w:tab w:leader="none" w:pos="7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7"/>
          <w:szCs w:val="17"/>
          <w:color w:val="auto"/>
        </w:rPr>
      </w:pPr>
    </w:p>
    <w:p>
      <w:pPr>
        <w:jc w:val="both"/>
        <w:ind w:left="780" w:right="159" w:hanging="321"/>
        <w:spacing w:after="0" w:line="225" w:lineRule="auto"/>
        <w:tabs>
          <w:tab w:leader="none" w:pos="7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7"/>
          <w:szCs w:val="17"/>
          <w:color w:val="auto"/>
        </w:rPr>
      </w:pPr>
    </w:p>
    <w:p>
      <w:pPr>
        <w:jc w:val="both"/>
        <w:ind w:left="780" w:right="159" w:hanging="321"/>
        <w:spacing w:after="0" w:line="221" w:lineRule="auto"/>
        <w:tabs>
          <w:tab w:leader="none" w:pos="7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7"/>
          <w:szCs w:val="17"/>
          <w:color w:val="auto"/>
        </w:rPr>
      </w:pPr>
    </w:p>
    <w:p>
      <w:pPr>
        <w:jc w:val="both"/>
        <w:ind w:left="140" w:right="159" w:firstLine="4"/>
        <w:spacing w:after="0" w:line="225" w:lineRule="auto"/>
        <w:tabs>
          <w:tab w:leader="none" w:pos="3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7"/>
          <w:szCs w:val="17"/>
          <w:color w:val="auto"/>
        </w:rPr>
      </w:pPr>
    </w:p>
    <w:p>
      <w:pPr>
        <w:jc w:val="both"/>
        <w:ind w:left="780" w:right="159" w:hanging="321"/>
        <w:spacing w:after="0" w:line="225" w:lineRule="auto"/>
        <w:tabs>
          <w:tab w:leader="none" w:pos="7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7"/>
          <w:szCs w:val="17"/>
          <w:color w:val="auto"/>
        </w:rPr>
      </w:pPr>
    </w:p>
    <w:p>
      <w:pPr>
        <w:ind w:left="780" w:right="159" w:hanging="321"/>
        <w:spacing w:after="0" w:line="233" w:lineRule="auto"/>
        <w:tabs>
          <w:tab w:leader="none" w:pos="7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Date: April 23, 2020</w:t>
      </w:r>
    </w:p>
    <w:p>
      <w:pPr>
        <w:spacing w:after="0" w:line="134" w:lineRule="exact"/>
        <w:rPr>
          <w:sz w:val="20"/>
          <w:szCs w:val="20"/>
          <w:color w:val="auto"/>
        </w:rPr>
      </w:pPr>
    </w:p>
    <w:p>
      <w:pPr>
        <w:ind w:left="5000"/>
        <w:spacing w:after="0"/>
        <w:rPr>
          <w:sz w:val="20"/>
          <w:szCs w:val="20"/>
          <w:color w:val="auto"/>
        </w:rPr>
      </w:pPr>
      <w:r>
        <w:rPr>
          <w:rFonts w:ascii="Arial" w:cs="Arial" w:eastAsia="Arial" w:hAnsi="Arial"/>
          <w:sz w:val="17"/>
          <w:szCs w:val="17"/>
          <w:u w:val="single" w:color="auto"/>
          <w:color w:val="auto"/>
        </w:rPr>
        <w:t>/s/ Lance M. Fritz</w:t>
      </w:r>
    </w:p>
    <w:p>
      <w:pPr>
        <w:ind w:left="5000"/>
        <w:spacing w:after="0" w:line="209" w:lineRule="auto"/>
        <w:rPr>
          <w:sz w:val="20"/>
          <w:szCs w:val="20"/>
          <w:color w:val="auto"/>
        </w:rPr>
      </w:pPr>
      <w:r>
        <w:rPr>
          <w:rFonts w:ascii="Arial" w:cs="Arial" w:eastAsia="Arial" w:hAnsi="Arial"/>
          <w:sz w:val="17"/>
          <w:szCs w:val="17"/>
          <w:color w:val="auto"/>
        </w:rPr>
        <w:t>Lance M. Fritz</w:t>
      </w:r>
    </w:p>
    <w:p>
      <w:pPr>
        <w:ind w:left="5000"/>
        <w:spacing w:after="0" w:line="209" w:lineRule="auto"/>
        <w:rPr>
          <w:sz w:val="20"/>
          <w:szCs w:val="20"/>
          <w:color w:val="auto"/>
        </w:rPr>
      </w:pPr>
      <w:r>
        <w:rPr>
          <w:rFonts w:ascii="Arial" w:cs="Arial" w:eastAsia="Arial" w:hAnsi="Arial"/>
          <w:sz w:val="17"/>
          <w:szCs w:val="17"/>
          <w:color w:val="auto"/>
        </w:rPr>
        <w:t>Chairman, President and</w:t>
      </w:r>
    </w:p>
    <w:p>
      <w:pPr>
        <w:ind w:left="500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517525</wp:posOffset>
            </wp:positionV>
            <wp:extent cx="5554345"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5554345" cy="2476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1" w:name="page42"/>
    <w:bookmarkEnd w:id="41"/>
    <w:p>
      <w:pPr>
        <w:jc w:val="right"/>
        <w:ind w:right="159"/>
        <w:spacing w:after="0"/>
        <w:rPr>
          <w:sz w:val="20"/>
          <w:szCs w:val="20"/>
          <w:color w:val="auto"/>
        </w:rPr>
      </w:pPr>
      <w:r>
        <w:rPr>
          <w:rFonts w:ascii="Arial" w:cs="Arial" w:eastAsia="Arial" w:hAnsi="Arial"/>
          <w:sz w:val="17"/>
          <w:szCs w:val="17"/>
          <w:b w:val="1"/>
          <w:bCs w:val="1"/>
          <w:color w:val="auto"/>
        </w:rPr>
        <w:t>Exhibit 31(b)</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 Jennifer L. Hamann, certify that:</w:t>
      </w:r>
    </w:p>
    <w:p>
      <w:pPr>
        <w:spacing w:after="0" w:line="145" w:lineRule="exact"/>
        <w:rPr>
          <w:sz w:val="20"/>
          <w:szCs w:val="20"/>
          <w:color w:val="auto"/>
        </w:rPr>
      </w:pPr>
    </w:p>
    <w:p>
      <w:pPr>
        <w:ind w:left="340" w:hanging="196"/>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Union Pacific Corporation;</w:t>
      </w:r>
    </w:p>
    <w:p>
      <w:pPr>
        <w:spacing w:after="0" w:line="145" w:lineRule="exact"/>
        <w:rPr>
          <w:rFonts w:ascii="Arial" w:cs="Arial" w:eastAsia="Arial" w:hAnsi="Arial"/>
          <w:sz w:val="17"/>
          <w:szCs w:val="17"/>
          <w:color w:val="auto"/>
        </w:rPr>
      </w:pPr>
    </w:p>
    <w:p>
      <w:pPr>
        <w:jc w:val="both"/>
        <w:ind w:left="140" w:right="159" w:firstLine="4"/>
        <w:spacing w:after="0" w:line="225"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7"/>
          <w:szCs w:val="17"/>
          <w:color w:val="auto"/>
        </w:rPr>
      </w:pPr>
    </w:p>
    <w:p>
      <w:pPr>
        <w:jc w:val="both"/>
        <w:ind w:left="140" w:right="159" w:firstLine="4"/>
        <w:spacing w:after="0" w:line="225" w:lineRule="auto"/>
        <w:tabs>
          <w:tab w:leader="none" w:pos="338"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7"/>
          <w:szCs w:val="17"/>
          <w:color w:val="auto"/>
        </w:rPr>
      </w:pPr>
    </w:p>
    <w:p>
      <w:pPr>
        <w:jc w:val="both"/>
        <w:ind w:left="140" w:right="159" w:firstLine="4"/>
        <w:spacing w:after="0" w:line="225" w:lineRule="auto"/>
        <w:tabs>
          <w:tab w:leader="none" w:pos="36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7"/>
          <w:szCs w:val="17"/>
          <w:color w:val="auto"/>
        </w:rPr>
      </w:pPr>
    </w:p>
    <w:p>
      <w:pPr>
        <w:jc w:val="both"/>
        <w:ind w:left="780" w:right="159" w:hanging="321"/>
        <w:spacing w:after="0" w:line="221" w:lineRule="auto"/>
        <w:tabs>
          <w:tab w:leader="none" w:pos="7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7"/>
          <w:szCs w:val="17"/>
          <w:color w:val="auto"/>
        </w:rPr>
      </w:pPr>
    </w:p>
    <w:p>
      <w:pPr>
        <w:jc w:val="both"/>
        <w:ind w:left="780" w:right="159" w:hanging="321"/>
        <w:spacing w:after="0" w:line="221" w:lineRule="auto"/>
        <w:tabs>
          <w:tab w:leader="none" w:pos="7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7"/>
          <w:szCs w:val="17"/>
          <w:color w:val="auto"/>
        </w:rPr>
      </w:pPr>
    </w:p>
    <w:p>
      <w:pPr>
        <w:jc w:val="both"/>
        <w:ind w:left="780" w:right="159" w:hanging="321"/>
        <w:spacing w:after="0" w:line="225" w:lineRule="auto"/>
        <w:tabs>
          <w:tab w:leader="none" w:pos="7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7"/>
          <w:szCs w:val="17"/>
          <w:color w:val="auto"/>
        </w:rPr>
      </w:pPr>
    </w:p>
    <w:p>
      <w:pPr>
        <w:jc w:val="both"/>
        <w:ind w:left="780" w:right="159" w:hanging="321"/>
        <w:spacing w:after="0" w:line="221" w:lineRule="auto"/>
        <w:tabs>
          <w:tab w:leader="none" w:pos="7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7"/>
          <w:szCs w:val="17"/>
          <w:color w:val="auto"/>
        </w:rPr>
      </w:pPr>
    </w:p>
    <w:p>
      <w:pPr>
        <w:jc w:val="both"/>
        <w:ind w:left="140" w:right="159" w:firstLine="4"/>
        <w:spacing w:after="0" w:line="225" w:lineRule="auto"/>
        <w:tabs>
          <w:tab w:leader="none" w:pos="33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7"/>
          <w:szCs w:val="17"/>
          <w:color w:val="auto"/>
        </w:rPr>
      </w:pPr>
    </w:p>
    <w:p>
      <w:pPr>
        <w:jc w:val="both"/>
        <w:ind w:left="780" w:right="159" w:hanging="321"/>
        <w:spacing w:after="0" w:line="225" w:lineRule="auto"/>
        <w:tabs>
          <w:tab w:leader="none" w:pos="7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7"/>
          <w:szCs w:val="17"/>
          <w:color w:val="auto"/>
        </w:rPr>
      </w:pPr>
    </w:p>
    <w:p>
      <w:pPr>
        <w:ind w:left="780" w:right="159" w:hanging="321"/>
        <w:spacing w:after="0" w:line="233" w:lineRule="auto"/>
        <w:tabs>
          <w:tab w:leader="none" w:pos="7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Date: April 23, 2020</w:t>
      </w:r>
    </w:p>
    <w:p>
      <w:pPr>
        <w:spacing w:after="0" w:line="147"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/s/ Jennifer L. Hamann</w:t>
      </w:r>
    </w:p>
    <w:p>
      <w:pPr>
        <w:ind w:left="4620"/>
        <w:spacing w:after="0" w:line="209" w:lineRule="auto"/>
        <w:rPr>
          <w:sz w:val="20"/>
          <w:szCs w:val="20"/>
          <w:color w:val="auto"/>
        </w:rPr>
      </w:pPr>
      <w:r>
        <w:rPr>
          <w:rFonts w:ascii="Arial" w:cs="Arial" w:eastAsia="Arial" w:hAnsi="Arial"/>
          <w:sz w:val="17"/>
          <w:szCs w:val="17"/>
          <w:color w:val="auto"/>
        </w:rPr>
        <w:t>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2939415</wp:posOffset>
            </wp:positionH>
            <wp:positionV relativeFrom="paragraph">
              <wp:posOffset>-106680</wp:posOffset>
            </wp:positionV>
            <wp:extent cx="26149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ind w:left="4620"/>
        <w:spacing w:after="0" w:line="209" w:lineRule="auto"/>
        <w:rPr>
          <w:sz w:val="20"/>
          <w:szCs w:val="20"/>
          <w:color w:val="auto"/>
        </w:rPr>
      </w:pPr>
      <w:r>
        <w:rPr>
          <w:rFonts w:ascii="Arial" w:cs="Arial" w:eastAsia="Arial" w:hAnsi="Arial"/>
          <w:sz w:val="17"/>
          <w:szCs w:val="17"/>
          <w:color w:val="auto"/>
        </w:rPr>
        <w:t>Executive Vice President and</w:t>
      </w:r>
    </w:p>
    <w:p>
      <w:pPr>
        <w:ind w:left="462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517525</wp:posOffset>
            </wp:positionV>
            <wp:extent cx="5554345"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5554345" cy="2476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42" w:name="page43"/>
    <w:bookmarkEnd w:id="42"/>
    <w:p>
      <w:pPr>
        <w:jc w:val="right"/>
        <w:ind w:right="159"/>
        <w:spacing w:after="0"/>
        <w:rPr>
          <w:sz w:val="20"/>
          <w:szCs w:val="20"/>
          <w:color w:val="auto"/>
        </w:rPr>
      </w:pPr>
      <w:r>
        <w:rPr>
          <w:rFonts w:ascii="Arial" w:cs="Arial" w:eastAsia="Arial" w:hAnsi="Arial"/>
          <w:sz w:val="17"/>
          <w:szCs w:val="17"/>
          <w:b w:val="1"/>
          <w:bCs w:val="1"/>
          <w:color w:val="auto"/>
        </w:rPr>
        <w:t>Exhibit 32</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CHIEF EXECUTIVE OFFICER PURSUANT TO</w:t>
      </w:r>
    </w:p>
    <w:p>
      <w:pPr>
        <w:jc w:val="center"/>
        <w:ind w:right="19"/>
        <w:spacing w:after="0" w:line="209" w:lineRule="auto"/>
        <w:rPr>
          <w:sz w:val="20"/>
          <w:szCs w:val="20"/>
          <w:color w:val="auto"/>
        </w:rPr>
      </w:pPr>
      <w:r>
        <w:rPr>
          <w:rFonts w:ascii="Arial" w:cs="Arial" w:eastAsia="Arial" w:hAnsi="Arial"/>
          <w:sz w:val="17"/>
          <w:szCs w:val="17"/>
          <w:b w:val="1"/>
          <w:bCs w:val="1"/>
          <w:color w:val="auto"/>
        </w:rPr>
        <w:t>18 U.S.C. SECTION 1350,</w:t>
      </w:r>
    </w:p>
    <w:p>
      <w:pPr>
        <w:jc w:val="center"/>
        <w:ind w:right="19"/>
        <w:spacing w:after="0" w:line="209" w:lineRule="auto"/>
        <w:rPr>
          <w:sz w:val="20"/>
          <w:szCs w:val="20"/>
          <w:color w:val="auto"/>
        </w:rPr>
      </w:pPr>
      <w:r>
        <w:rPr>
          <w:rFonts w:ascii="Arial" w:cs="Arial" w:eastAsia="Arial" w:hAnsi="Arial"/>
          <w:sz w:val="17"/>
          <w:szCs w:val="17"/>
          <w:b w:val="1"/>
          <w:bCs w:val="1"/>
          <w:color w:val="auto"/>
        </w:rPr>
        <w:t>AS ADOPTED PURSUANT TO</w:t>
      </w:r>
    </w:p>
    <w:p>
      <w:pPr>
        <w:jc w:val="center"/>
        <w:ind w:right="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45" w:lineRule="exact"/>
        <w:rPr>
          <w:sz w:val="20"/>
          <w:szCs w:val="20"/>
          <w:color w:val="auto"/>
        </w:rPr>
      </w:pPr>
    </w:p>
    <w:p>
      <w:pPr>
        <w:jc w:val="both"/>
        <w:ind w:left="140" w:right="159"/>
        <w:spacing w:after="0"/>
        <w:rPr>
          <w:sz w:val="20"/>
          <w:szCs w:val="20"/>
          <w:color w:val="auto"/>
        </w:rPr>
      </w:pPr>
      <w:r>
        <w:rPr>
          <w:rFonts w:ascii="Arial" w:cs="Arial" w:eastAsia="Arial" w:hAnsi="Arial"/>
          <w:sz w:val="17"/>
          <w:szCs w:val="17"/>
          <w:color w:val="auto"/>
        </w:rPr>
        <w:t>In connection with the accompanying quarterly report of Union Pacific Corporation (the Corporation) on Form 10-Q for the period ending March 31, 2020, as filed with the Securities and Exchange Commission on the date hereof (the Report), I, Lance M. Fritz, Chairman, President and Chief Executive Officer of the Corporation, certify, pursuant to 18 U.S.C. Section 1350, as adopted pursuant to Section 906 of the Sarbanes-Oxley Act of 2002 that:</w:t>
      </w:r>
    </w:p>
    <w:p>
      <w:pPr>
        <w:spacing w:after="0" w:line="241" w:lineRule="exact"/>
        <w:rPr>
          <w:sz w:val="20"/>
          <w:szCs w:val="20"/>
          <w:color w:val="auto"/>
        </w:rPr>
      </w:pPr>
    </w:p>
    <w:p>
      <w:pPr>
        <w:ind w:left="780" w:right="159" w:hanging="321"/>
        <w:spacing w:after="0" w:line="233"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1" w:lineRule="exact"/>
        <w:rPr>
          <w:rFonts w:ascii="Arial" w:cs="Arial" w:eastAsia="Arial" w:hAnsi="Arial"/>
          <w:sz w:val="17"/>
          <w:szCs w:val="17"/>
          <w:color w:val="auto"/>
        </w:rPr>
      </w:pPr>
    </w:p>
    <w:p>
      <w:pPr>
        <w:ind w:left="780" w:right="159" w:hanging="321"/>
        <w:spacing w:after="0" w:line="233" w:lineRule="auto"/>
        <w:tabs>
          <w:tab w:leader="none" w:pos="7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Corporation.</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Lance M. Fritz</w:t>
      </w:r>
    </w:p>
    <w:p>
      <w:pPr>
        <w:ind w:left="140"/>
        <w:spacing w:after="0" w:line="209" w:lineRule="auto"/>
        <w:rPr>
          <w:sz w:val="20"/>
          <w:szCs w:val="20"/>
          <w:color w:val="auto"/>
        </w:rPr>
      </w:pPr>
      <w:r>
        <w:rPr>
          <w:rFonts w:ascii="Arial" w:cs="Arial" w:eastAsia="Arial" w:hAnsi="Arial"/>
          <w:sz w:val="17"/>
          <w:szCs w:val="17"/>
          <w:color w:val="auto"/>
        </w:rPr>
        <w:t>Lance M. Fritz</w:t>
      </w:r>
    </w:p>
    <w:p>
      <w:pPr>
        <w:ind w:left="140"/>
        <w:spacing w:after="0" w:line="209" w:lineRule="auto"/>
        <w:rPr>
          <w:sz w:val="20"/>
          <w:szCs w:val="20"/>
          <w:color w:val="auto"/>
        </w:rPr>
      </w:pPr>
      <w:r>
        <w:rPr>
          <w:rFonts w:ascii="Arial" w:cs="Arial" w:eastAsia="Arial" w:hAnsi="Arial"/>
          <w:sz w:val="17"/>
          <w:szCs w:val="17"/>
          <w:color w:val="auto"/>
        </w:rPr>
        <w:t>Chairman, President and</w:t>
      </w:r>
    </w:p>
    <w:p>
      <w:pPr>
        <w:ind w:left="140"/>
        <w:spacing w:after="0" w:line="209" w:lineRule="auto"/>
        <w:rPr>
          <w:sz w:val="20"/>
          <w:szCs w:val="20"/>
          <w:color w:val="auto"/>
        </w:rPr>
      </w:pPr>
      <w:r>
        <w:rPr>
          <w:rFonts w:ascii="Arial" w:cs="Arial" w:eastAsia="Arial" w:hAnsi="Arial"/>
          <w:sz w:val="17"/>
          <w:szCs w:val="17"/>
          <w:color w:val="auto"/>
        </w:rPr>
        <w:t>Chief Executive Officer</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Union Pacific Corporation</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April 23, 2020</w:t>
      </w:r>
    </w:p>
    <w:p>
      <w:pPr>
        <w:spacing w:after="0" w:line="145" w:lineRule="exact"/>
        <w:rPr>
          <w:sz w:val="20"/>
          <w:szCs w:val="20"/>
          <w:color w:val="auto"/>
        </w:rPr>
      </w:pPr>
    </w:p>
    <w:p>
      <w:pPr>
        <w:jc w:val="both"/>
        <w:ind w:left="140" w:right="159"/>
        <w:spacing w:after="0"/>
        <w:rPr>
          <w:sz w:val="20"/>
          <w:szCs w:val="20"/>
          <w:color w:val="auto"/>
        </w:rPr>
      </w:pPr>
      <w:r>
        <w:rPr>
          <w:rFonts w:ascii="Arial" w:cs="Arial" w:eastAsia="Arial" w:hAnsi="Arial"/>
          <w:sz w:val="17"/>
          <w:szCs w:val="17"/>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OF CHIEF FINANCIAL OFFICER PURSUANT TO</w:t>
      </w:r>
    </w:p>
    <w:p>
      <w:pPr>
        <w:jc w:val="center"/>
        <w:ind w:right="19"/>
        <w:spacing w:after="0" w:line="209" w:lineRule="auto"/>
        <w:rPr>
          <w:sz w:val="20"/>
          <w:szCs w:val="20"/>
          <w:color w:val="auto"/>
        </w:rPr>
      </w:pPr>
      <w:r>
        <w:rPr>
          <w:rFonts w:ascii="Arial" w:cs="Arial" w:eastAsia="Arial" w:hAnsi="Arial"/>
          <w:sz w:val="17"/>
          <w:szCs w:val="17"/>
          <w:b w:val="1"/>
          <w:bCs w:val="1"/>
          <w:color w:val="auto"/>
        </w:rPr>
        <w:t>18 U.S.C. SECTION 1350,</w:t>
      </w:r>
    </w:p>
    <w:p>
      <w:pPr>
        <w:jc w:val="center"/>
        <w:ind w:right="19"/>
        <w:spacing w:after="0" w:line="209" w:lineRule="auto"/>
        <w:rPr>
          <w:sz w:val="20"/>
          <w:szCs w:val="20"/>
          <w:color w:val="auto"/>
        </w:rPr>
      </w:pPr>
      <w:r>
        <w:rPr>
          <w:rFonts w:ascii="Arial" w:cs="Arial" w:eastAsia="Arial" w:hAnsi="Arial"/>
          <w:sz w:val="17"/>
          <w:szCs w:val="17"/>
          <w:b w:val="1"/>
          <w:bCs w:val="1"/>
          <w:color w:val="auto"/>
        </w:rPr>
        <w:t>AS ADOPTED PURSUANT TO</w:t>
      </w:r>
    </w:p>
    <w:p>
      <w:pPr>
        <w:jc w:val="center"/>
        <w:ind w:right="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45" w:lineRule="exact"/>
        <w:rPr>
          <w:sz w:val="20"/>
          <w:szCs w:val="20"/>
          <w:color w:val="auto"/>
        </w:rPr>
      </w:pPr>
    </w:p>
    <w:p>
      <w:pPr>
        <w:jc w:val="both"/>
        <w:ind w:left="140" w:right="159"/>
        <w:spacing w:after="0"/>
        <w:rPr>
          <w:sz w:val="20"/>
          <w:szCs w:val="20"/>
          <w:color w:val="auto"/>
        </w:rPr>
      </w:pPr>
      <w:r>
        <w:rPr>
          <w:rFonts w:ascii="Arial" w:cs="Arial" w:eastAsia="Arial" w:hAnsi="Arial"/>
          <w:sz w:val="17"/>
          <w:szCs w:val="17"/>
          <w:color w:val="auto"/>
        </w:rPr>
        <w:t>In connection with the accompanying quarterly report of Union Pacific Corporation (the Corporation) on Form 10-Q for the period ending March 31, 2020, as filed with the Securities and Exchange Commission on the date hereof (the Report), I, Jennifer L. Hamann, Executive Vice President and Chief Financial Officer of the Corporation, certify, pursuant to 18 U.S.C. Section 1350, as adopted pursuant to Section 906 of the Sarbanes-Oxley Act of 2002 that:</w:t>
      </w:r>
    </w:p>
    <w:p>
      <w:pPr>
        <w:spacing w:after="0" w:line="241" w:lineRule="exact"/>
        <w:rPr>
          <w:sz w:val="20"/>
          <w:szCs w:val="20"/>
          <w:color w:val="auto"/>
        </w:rPr>
      </w:pPr>
    </w:p>
    <w:p>
      <w:pPr>
        <w:ind w:left="780" w:right="159" w:hanging="321"/>
        <w:spacing w:after="0" w:line="233"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1" w:lineRule="exact"/>
        <w:rPr>
          <w:rFonts w:ascii="Arial" w:cs="Arial" w:eastAsia="Arial" w:hAnsi="Arial"/>
          <w:sz w:val="17"/>
          <w:szCs w:val="17"/>
          <w:color w:val="auto"/>
        </w:rPr>
      </w:pPr>
    </w:p>
    <w:p>
      <w:pPr>
        <w:ind w:left="780" w:right="159" w:hanging="321"/>
        <w:spacing w:after="0" w:line="233"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Corporation.</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Jennifer L. Hamann</w:t>
      </w:r>
    </w:p>
    <w:p>
      <w:pPr>
        <w:ind w:left="140"/>
        <w:spacing w:after="0" w:line="209" w:lineRule="auto"/>
        <w:rPr>
          <w:sz w:val="20"/>
          <w:szCs w:val="20"/>
          <w:color w:val="auto"/>
        </w:rPr>
      </w:pPr>
      <w:r>
        <w:rPr>
          <w:rFonts w:ascii="Arial" w:cs="Arial" w:eastAsia="Arial" w:hAnsi="Arial"/>
          <w:sz w:val="17"/>
          <w:szCs w:val="17"/>
          <w:color w:val="auto"/>
        </w:rPr>
        <w:t>Jennifer L. Hamann</w:t>
      </w:r>
    </w:p>
    <w:p>
      <w:pPr>
        <w:ind w:left="140"/>
        <w:spacing w:after="0" w:line="209" w:lineRule="auto"/>
        <w:rPr>
          <w:sz w:val="20"/>
          <w:szCs w:val="20"/>
          <w:color w:val="auto"/>
        </w:rPr>
      </w:pPr>
      <w:r>
        <w:rPr>
          <w:rFonts w:ascii="Arial" w:cs="Arial" w:eastAsia="Arial" w:hAnsi="Arial"/>
          <w:sz w:val="17"/>
          <w:szCs w:val="17"/>
          <w:color w:val="auto"/>
        </w:rPr>
        <w:t>Executive Vice President and</w:t>
      </w:r>
    </w:p>
    <w:p>
      <w:pPr>
        <w:ind w:left="140"/>
        <w:spacing w:after="0" w:line="209" w:lineRule="auto"/>
        <w:rPr>
          <w:sz w:val="20"/>
          <w:szCs w:val="20"/>
          <w:color w:val="auto"/>
        </w:rPr>
      </w:pPr>
      <w:r>
        <w:rPr>
          <w:rFonts w:ascii="Arial" w:cs="Arial" w:eastAsia="Arial" w:hAnsi="Arial"/>
          <w:sz w:val="17"/>
          <w:szCs w:val="17"/>
          <w:color w:val="auto"/>
        </w:rPr>
        <w:t>Chief Financial Officer</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Union Pacific Corporation</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April 23, 2020</w:t>
      </w:r>
    </w:p>
    <w:p>
      <w:pPr>
        <w:spacing w:after="0" w:line="145" w:lineRule="exact"/>
        <w:rPr>
          <w:sz w:val="20"/>
          <w:szCs w:val="20"/>
          <w:color w:val="auto"/>
        </w:rPr>
      </w:pPr>
    </w:p>
    <w:p>
      <w:pPr>
        <w:jc w:val="both"/>
        <w:ind w:left="140" w:right="159"/>
        <w:spacing w:after="0"/>
        <w:rPr>
          <w:sz w:val="20"/>
          <w:szCs w:val="20"/>
          <w:color w:val="auto"/>
        </w:rPr>
      </w:pPr>
      <w:r>
        <w:rPr>
          <w:rFonts w:ascii="Arial" w:cs="Arial" w:eastAsia="Arial" w:hAnsi="Arial"/>
          <w:sz w:val="17"/>
          <w:szCs w:val="17"/>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501650</wp:posOffset>
            </wp:positionV>
            <wp:extent cx="5554345"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5554345" cy="2476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lowerLetter"/>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62" Type="http://schemas.openxmlformats.org/officeDocument/2006/relationships/hyperlink" Target="http://www.sec.gov/Archives/edgar/data/100885/000119312514280047/d761509dex3a.htm" TargetMode="External"/><Relationship Id="rId63" Type="http://schemas.openxmlformats.org/officeDocument/2006/relationships/hyperlink" Target="http://www.sec.gov/Archives/edgar/data/100885/000010088515000208/unp-20151119ex32a605ee0.htm" TargetMode="External"/><Relationship Id="rId64" Type="http://schemas.openxmlformats.org/officeDocument/2006/relationships/hyperlink" Target="http://www.sec.gov/Archives/edgar/data/100885/000010088520000046/unp-20200131xex4_1.htm" TargetMode="External"/><Relationship Id="rId65" Type="http://schemas.openxmlformats.org/officeDocument/2006/relationships/hyperlink" Target="http://www.sec.gov/Archives/edgar/data/100885/000010088520000046/unp-20200131xex4_2.htm" TargetMode="External"/><Relationship Id="rId66" Type="http://schemas.openxmlformats.org/officeDocument/2006/relationships/hyperlink" Target="http://www.sec.gov/Archives/edgar/data/100885/000010088520000046/unp-20200131xex4_3.htm" TargetMode="External"/><Relationship Id="rId67" Type="http://schemas.openxmlformats.org/officeDocument/2006/relationships/hyperlink" Target="http://www.sec.gov/Archives/edgar/data/100885/000010088520000046/unp-20200131xex4_4.htm" TargetMode="External"/><Relationship Id="rId68" Type="http://schemas.openxmlformats.org/officeDocument/2006/relationships/hyperlink" Target="http://www.sec.gov/Archives/edgar/data/100885/000010088520000129/unp-20200407x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2020-04-23T16:00:48Z</dcterms:created>
  <dcterms:modified xsi:type="dcterms:W3CDTF">2020-04-23T16:00:48Z</dcterms:modified>
</cp:coreProperties>
</file>