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As filed with the Securities and Exchange Commission on March 3, 2020</w:t>
      </w:r>
    </w:p>
    <w:p>
      <w:pPr>
        <w:spacing w:after="0" w:line="26" w:lineRule="exact"/>
        <w:rPr>
          <w:sz w:val="24"/>
          <w:szCs w:val="24"/>
          <w:color w:val="auto"/>
        </w:rPr>
      </w:pPr>
    </w:p>
    <w:p>
      <w:pPr>
        <w:ind w:left="926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75565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4"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116205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3"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FORM S-4</w:t>
      </w:r>
    </w:p>
    <w:p>
      <w:pPr>
        <w:spacing w:after="0" w:line="30"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REGISTRATION STATEMENT</w:t>
      </w:r>
    </w:p>
    <w:p>
      <w:pPr>
        <w:jc w:val="center"/>
        <w:ind w:right="-17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117475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4" w:lineRule="exact"/>
        <w:rPr>
          <w:sz w:val="24"/>
          <w:szCs w:val="24"/>
          <w:color w:val="auto"/>
        </w:rPr>
      </w:pPr>
    </w:p>
    <w:p>
      <w:pPr>
        <w:jc w:val="center"/>
        <w:ind w:right="-179"/>
        <w:spacing w:after="0"/>
        <w:rPr>
          <w:sz w:val="20"/>
          <w:szCs w:val="20"/>
          <w:color w:val="auto"/>
        </w:rPr>
      </w:pPr>
      <w:r>
        <w:rPr>
          <w:rFonts w:ascii="Arial" w:cs="Arial" w:eastAsia="Arial" w:hAnsi="Arial"/>
          <w:sz w:val="36"/>
          <w:szCs w:val="36"/>
          <w:b w:val="1"/>
          <w:bCs w:val="1"/>
          <w:color w:val="auto"/>
        </w:rPr>
        <w:t>Union Pacific Corporation</w:t>
      </w:r>
    </w:p>
    <w:p>
      <w:pPr>
        <w:spacing w:after="0" w:line="70"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132080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6" w:lineRule="exact"/>
        <w:rPr>
          <w:sz w:val="24"/>
          <w:szCs w:val="24"/>
          <w:color w:val="auto"/>
        </w:rPr>
      </w:pPr>
    </w:p>
    <w:tbl>
      <w:tblPr>
        <w:tblLayout w:type="fixed"/>
        <w:tblInd w:w="1140" w:type="dxa"/>
        <w:tblCellMar>
          <w:top w:w="0" w:type="dxa"/>
          <w:left w:w="0" w:type="dxa"/>
          <w:bottom w:w="0" w:type="dxa"/>
          <w:right w:w="0" w:type="dxa"/>
        </w:tblCellMar>
      </w:tblPr>
      <w:tr>
        <w:trPr>
          <w:trHeight w:val="194"/>
        </w:trPr>
        <w:tc>
          <w:tcPr>
            <w:tcW w:w="2820" w:type="dxa"/>
            <w:vAlign w:val="bottom"/>
          </w:tcPr>
          <w:p>
            <w:pPr>
              <w:jc w:val="center"/>
              <w:ind w:right="885"/>
              <w:spacing w:after="0"/>
              <w:rPr>
                <w:sz w:val="20"/>
                <w:szCs w:val="20"/>
                <w:color w:val="auto"/>
              </w:rPr>
            </w:pPr>
            <w:r>
              <w:rPr>
                <w:rFonts w:ascii="Arial" w:cs="Arial" w:eastAsia="Arial" w:hAnsi="Arial"/>
                <w:sz w:val="16"/>
                <w:szCs w:val="16"/>
                <w:b w:val="1"/>
                <w:bCs w:val="1"/>
                <w:color w:val="auto"/>
                <w:w w:val="95"/>
              </w:rPr>
              <w:t>Utah</w:t>
            </w:r>
          </w:p>
        </w:tc>
        <w:tc>
          <w:tcPr>
            <w:tcW w:w="3860" w:type="dxa"/>
            <w:vAlign w:val="bottom"/>
          </w:tcPr>
          <w:p>
            <w:pPr>
              <w:jc w:val="center"/>
              <w:ind w:right="45"/>
              <w:spacing w:after="0"/>
              <w:rPr>
                <w:sz w:val="20"/>
                <w:szCs w:val="20"/>
                <w:color w:val="auto"/>
              </w:rPr>
            </w:pPr>
            <w:r>
              <w:rPr>
                <w:rFonts w:ascii="Arial" w:cs="Arial" w:eastAsia="Arial" w:hAnsi="Arial"/>
                <w:sz w:val="16"/>
                <w:szCs w:val="16"/>
                <w:b w:val="1"/>
                <w:bCs w:val="1"/>
                <w:color w:val="auto"/>
                <w:w w:val="84"/>
              </w:rPr>
              <w:t>4011</w:t>
            </w:r>
          </w:p>
        </w:tc>
        <w:tc>
          <w:tcPr>
            <w:tcW w:w="2200" w:type="dxa"/>
            <w:vAlign w:val="bottom"/>
          </w:tcPr>
          <w:p>
            <w:pPr>
              <w:jc w:val="center"/>
              <w:ind w:left="1025"/>
              <w:spacing w:after="0"/>
              <w:rPr>
                <w:sz w:val="20"/>
                <w:szCs w:val="20"/>
                <w:color w:val="auto"/>
              </w:rPr>
            </w:pPr>
            <w:r>
              <w:rPr>
                <w:rFonts w:ascii="Arial" w:cs="Arial" w:eastAsia="Arial" w:hAnsi="Arial"/>
                <w:sz w:val="16"/>
                <w:szCs w:val="16"/>
                <w:b w:val="1"/>
                <w:bCs w:val="1"/>
                <w:color w:val="auto"/>
                <w:w w:val="91"/>
              </w:rPr>
              <w:t>13-2626465</w:t>
            </w:r>
          </w:p>
        </w:tc>
      </w:tr>
      <w:tr>
        <w:trPr>
          <w:trHeight w:val="149"/>
        </w:trPr>
        <w:tc>
          <w:tcPr>
            <w:tcW w:w="2820" w:type="dxa"/>
            <w:vAlign w:val="bottom"/>
          </w:tcPr>
          <w:p>
            <w:pPr>
              <w:jc w:val="center"/>
              <w:ind w:right="86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86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2200" w:type="dxa"/>
            <w:vAlign w:val="bottom"/>
          </w:tcPr>
          <w:p>
            <w:pPr>
              <w:jc w:val="center"/>
              <w:ind w:left="1005"/>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865"/>
              <w:spacing w:after="0"/>
              <w:rPr>
                <w:sz w:val="20"/>
                <w:szCs w:val="20"/>
                <w:color w:val="auto"/>
              </w:rPr>
            </w:pPr>
            <w:r>
              <w:rPr>
                <w:rFonts w:ascii="Arial" w:cs="Arial" w:eastAsia="Arial" w:hAnsi="Arial"/>
                <w:sz w:val="14"/>
                <w:szCs w:val="14"/>
                <w:b w:val="1"/>
                <w:bCs w:val="1"/>
                <w:color w:val="auto"/>
                <w:w w:val="94"/>
              </w:rPr>
              <w:t>incorporation or organization)</w:t>
            </w:r>
          </w:p>
        </w:tc>
        <w:tc>
          <w:tcPr>
            <w:tcW w:w="3860" w:type="dxa"/>
            <w:vAlign w:val="bottom"/>
          </w:tcPr>
          <w:p>
            <w:pPr>
              <w:jc w:val="center"/>
              <w:ind w:right="45"/>
              <w:spacing w:after="0"/>
              <w:rPr>
                <w:sz w:val="20"/>
                <w:szCs w:val="20"/>
                <w:color w:val="auto"/>
              </w:rPr>
            </w:pPr>
            <w:r>
              <w:rPr>
                <w:rFonts w:ascii="Arial" w:cs="Arial" w:eastAsia="Arial" w:hAnsi="Arial"/>
                <w:sz w:val="14"/>
                <w:szCs w:val="14"/>
                <w:b w:val="1"/>
                <w:bCs w:val="1"/>
                <w:color w:val="auto"/>
                <w:w w:val="92"/>
              </w:rPr>
              <w:t>Classification Code Number)</w:t>
            </w:r>
          </w:p>
        </w:tc>
        <w:tc>
          <w:tcPr>
            <w:tcW w:w="2200" w:type="dxa"/>
            <w:vAlign w:val="bottom"/>
          </w:tcPr>
          <w:p>
            <w:pPr>
              <w:jc w:val="center"/>
              <w:ind w:left="1005"/>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110490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4"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1400 Douglas Street</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Omaha, Nebraska 68179</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Telephone: (402) 544-5000</w:t>
      </w:r>
    </w:p>
    <w:p>
      <w:pPr>
        <w:spacing w:after="0" w:line="1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107950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4"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Rhonda S. Ferguson</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Executive Vice President, Chief Legal Officer and Corporate Secretary</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1400 Douglas Street</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Omaha, Nebraska 68179</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Telephone: (402) 544-5000</w:t>
      </w:r>
    </w:p>
    <w:p>
      <w:pPr>
        <w:spacing w:after="0" w:line="1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107950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8"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i w:val="1"/>
          <w:iCs w:val="1"/>
          <w:color w:val="auto"/>
        </w:rPr>
        <w:t>Copy to:</w:t>
      </w:r>
    </w:p>
    <w:p>
      <w:pPr>
        <w:spacing w:after="0" w:line="55"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Jonathan A. Koff, Esq.</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Walter L. Draney, Esq.</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Chapman and Cutler LLP</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111 West Monroe Street</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Chicago, Illinois 60603</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(312) 845-3000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127000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38" w:lineRule="exact"/>
        <w:rPr>
          <w:sz w:val="24"/>
          <w:szCs w:val="24"/>
          <w:color w:val="auto"/>
        </w:rPr>
      </w:pPr>
    </w:p>
    <w:p>
      <w:pPr>
        <w:ind w:left="200"/>
        <w:spacing w:after="0"/>
        <w:rPr>
          <w:sz w:val="20"/>
          <w:szCs w:val="20"/>
          <w:color w:val="auto"/>
        </w:rPr>
      </w:pPr>
      <w:r>
        <w:rPr>
          <w:rFonts w:ascii="Arial" w:cs="Arial" w:eastAsia="Arial" w:hAnsi="Arial"/>
          <w:sz w:val="15"/>
          <w:szCs w:val="15"/>
          <w:color w:val="auto"/>
        </w:rPr>
        <w:t>Approximate date of commencement of proposed sale of the securities to the public: As soon as practicable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145415</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67" w:lineRule="exact"/>
        <w:rPr>
          <w:sz w:val="24"/>
          <w:szCs w:val="24"/>
          <w:color w:val="auto"/>
        </w:rPr>
      </w:pPr>
    </w:p>
    <w:p>
      <w:pPr>
        <w:ind w:left="200" w:right="120"/>
        <w:spacing w:after="0" w:line="214" w:lineRule="exact"/>
        <w:rPr>
          <w:sz w:val="20"/>
          <w:szCs w:val="20"/>
          <w:color w:val="auto"/>
        </w:rPr>
      </w:pPr>
      <w:r>
        <w:rPr>
          <w:rFonts w:ascii="Arial" w:cs="Arial" w:eastAsia="Arial" w:hAnsi="Arial"/>
          <w:sz w:val="16"/>
          <w:szCs w:val="16"/>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6"/>
          <w:szCs w:val="16"/>
          <w:color w:val="auto"/>
        </w:rPr>
        <w:t>☐</w:t>
      </w:r>
    </w:p>
    <w:p>
      <w:pPr>
        <w:spacing w:after="0" w:line="33" w:lineRule="exact"/>
        <w:rPr>
          <w:sz w:val="24"/>
          <w:szCs w:val="24"/>
          <w:color w:val="auto"/>
        </w:rPr>
      </w:pPr>
    </w:p>
    <w:p>
      <w:pPr>
        <w:ind w:left="200" w:right="220"/>
        <w:spacing w:after="0" w:line="21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3" w:lineRule="exact"/>
        <w:rPr>
          <w:sz w:val="24"/>
          <w:szCs w:val="24"/>
          <w:color w:val="auto"/>
        </w:rPr>
      </w:pPr>
    </w:p>
    <w:p>
      <w:pPr>
        <w:ind w:left="200" w:right="620"/>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3" w:lineRule="exact"/>
        <w:rPr>
          <w:sz w:val="24"/>
          <w:szCs w:val="24"/>
          <w:color w:val="auto"/>
        </w:rPr>
      </w:pPr>
    </w:p>
    <w:p>
      <w:pPr>
        <w:ind w:left="200" w:right="140"/>
        <w:spacing w:after="0" w:line="28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254"/>
        </w:trPr>
        <w:tc>
          <w:tcPr>
            <w:tcW w:w="1840" w:type="dxa"/>
            <w:vAlign w:val="bottom"/>
            <w:gridSpan w:val="2"/>
          </w:tcPr>
          <w:p>
            <w:pPr>
              <w:spacing w:after="0"/>
              <w:rPr>
                <w:sz w:val="20"/>
                <w:szCs w:val="20"/>
                <w:color w:val="auto"/>
              </w:rPr>
            </w:pPr>
            <w:r>
              <w:rPr>
                <w:rFonts w:ascii="Arial" w:cs="Arial" w:eastAsia="Arial" w:hAnsi="Arial"/>
                <w:sz w:val="16"/>
                <w:szCs w:val="16"/>
                <w:color w:val="auto"/>
              </w:rPr>
              <w:t>Large accelerated filer</w:t>
            </w:r>
          </w:p>
        </w:tc>
        <w:tc>
          <w:tcPr>
            <w:tcW w:w="17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160" w:type="dxa"/>
            <w:vAlign w:val="bottom"/>
            <w:gridSpan w:val="2"/>
          </w:tcPr>
          <w:p>
            <w:pPr>
              <w:ind w:left="960"/>
              <w:spacing w:after="0"/>
              <w:rPr>
                <w:sz w:val="20"/>
                <w:szCs w:val="20"/>
                <w:color w:val="auto"/>
              </w:rPr>
            </w:pPr>
            <w:r>
              <w:rPr>
                <w:rFonts w:ascii="Arial" w:cs="Arial" w:eastAsia="Arial" w:hAnsi="Arial"/>
                <w:sz w:val="16"/>
                <w:szCs w:val="16"/>
                <w:color w:val="auto"/>
              </w:rPr>
              <w:t>Accelerated filer</w:t>
            </w:r>
          </w:p>
        </w:tc>
        <w:tc>
          <w:tcPr>
            <w:tcW w:w="1280" w:type="dxa"/>
            <w:vAlign w:val="bottom"/>
          </w:tcPr>
          <w:p>
            <w:pPr>
              <w:spacing w:after="0"/>
              <w:rPr>
                <w:sz w:val="22"/>
                <w:szCs w:val="22"/>
                <w:color w:val="auto"/>
              </w:rPr>
            </w:pPr>
          </w:p>
        </w:tc>
        <w:tc>
          <w:tcPr>
            <w:tcW w:w="28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11"/>
        </w:trPr>
        <w:tc>
          <w:tcPr>
            <w:tcW w:w="1840" w:type="dxa"/>
            <w:vAlign w:val="bottom"/>
            <w:gridSpan w:val="2"/>
          </w:tcPr>
          <w:p>
            <w:pPr>
              <w:spacing w:after="0"/>
              <w:rPr>
                <w:sz w:val="20"/>
                <w:szCs w:val="20"/>
                <w:color w:val="auto"/>
              </w:rPr>
            </w:pPr>
            <w:r>
              <w:rPr>
                <w:rFonts w:ascii="Arial" w:cs="Arial" w:eastAsia="Arial" w:hAnsi="Arial"/>
                <w:sz w:val="16"/>
                <w:szCs w:val="16"/>
                <w:color w:val="auto"/>
              </w:rPr>
              <w:t>Non-accelerated filer</w:t>
            </w:r>
          </w:p>
        </w:tc>
        <w:tc>
          <w:tcPr>
            <w:tcW w:w="3620" w:type="dxa"/>
            <w:vAlign w:val="bottom"/>
            <w:gridSpan w:val="3"/>
          </w:tcPr>
          <w:p>
            <w:pPr>
              <w:ind w:left="280"/>
              <w:spacing w:after="0" w:line="184" w:lineRule="exact"/>
              <w:rPr>
                <w:sz w:val="20"/>
                <w:szCs w:val="20"/>
                <w:color w:val="auto"/>
              </w:rPr>
            </w:pPr>
            <w:r>
              <w:rPr>
                <w:rFonts w:ascii="MS PGothic" w:cs="MS PGothic" w:eastAsia="MS PGothic" w:hAnsi="MS PGothic"/>
                <w:sz w:val="16"/>
                <w:szCs w:val="16"/>
                <w:color w:val="auto"/>
                <w:w w:val="96"/>
              </w:rPr>
              <w:t>☐</w:t>
            </w:r>
            <w:r>
              <w:rPr>
                <w:rFonts w:ascii="Arial" w:cs="Arial" w:eastAsia="Arial" w:hAnsi="Arial"/>
                <w:sz w:val="16"/>
                <w:szCs w:val="16"/>
                <w:color w:val="auto"/>
                <w:w w:val="96"/>
              </w:rPr>
              <w:t xml:space="preserve"> (Do not check if a smaller reporting company)</w:t>
            </w: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40" w:type="dxa"/>
            <w:vAlign w:val="bottom"/>
            <w:gridSpan w:val="3"/>
          </w:tcPr>
          <w:p>
            <w:pPr>
              <w:ind w:left="960"/>
              <w:spacing w:after="0"/>
              <w:rPr>
                <w:sz w:val="20"/>
                <w:szCs w:val="20"/>
                <w:color w:val="auto"/>
              </w:rPr>
            </w:pPr>
            <w:r>
              <w:rPr>
                <w:rFonts w:ascii="Arial" w:cs="Arial" w:eastAsia="Arial" w:hAnsi="Arial"/>
                <w:sz w:val="16"/>
                <w:szCs w:val="16"/>
                <w:color w:val="auto"/>
              </w:rPr>
              <w:t>Smaller reporting company</w:t>
            </w:r>
          </w:p>
        </w:tc>
        <w:tc>
          <w:tcPr>
            <w:tcW w:w="28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760" w:type="dxa"/>
            <w:vAlign w:val="bottom"/>
            <w:gridSpan w:val="4"/>
          </w:tcPr>
          <w:p>
            <w:pPr>
              <w:ind w:left="400"/>
              <w:spacing w:after="0"/>
              <w:rPr>
                <w:sz w:val="20"/>
                <w:szCs w:val="20"/>
                <w:color w:val="auto"/>
              </w:rPr>
            </w:pPr>
            <w:r>
              <w:rPr>
                <w:rFonts w:ascii="Arial" w:cs="Arial" w:eastAsia="Arial" w:hAnsi="Arial"/>
                <w:sz w:val="16"/>
                <w:szCs w:val="16"/>
                <w:b w:val="1"/>
                <w:bCs w:val="1"/>
                <w:color w:val="auto"/>
              </w:rPr>
              <w:t>CALCULATION OF REGISTRATION FEE</w:t>
            </w:r>
          </w:p>
        </w:tc>
        <w:tc>
          <w:tcPr>
            <w:tcW w:w="1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gridSpan w:val="2"/>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gridSpan w:val="2"/>
            <w:vMerge w:val="restart"/>
          </w:tcPr>
          <w:p>
            <w:pPr>
              <w:jc w:val="center"/>
              <w:ind w:left="1"/>
              <w:spacing w:after="0"/>
              <w:rPr>
                <w:sz w:val="20"/>
                <w:szCs w:val="20"/>
                <w:color w:val="auto"/>
              </w:rPr>
            </w:pPr>
            <w:r>
              <w:rPr>
                <w:rFonts w:ascii="Arial" w:cs="Arial" w:eastAsia="Arial" w:hAnsi="Arial"/>
                <w:sz w:val="14"/>
                <w:szCs w:val="14"/>
                <w:b w:val="1"/>
                <w:bCs w:val="1"/>
                <w:color w:val="auto"/>
                <w:w w:val="94"/>
              </w:rPr>
              <w:t>Amount</w:t>
            </w:r>
          </w:p>
        </w:tc>
        <w:tc>
          <w:tcPr>
            <w:tcW w:w="1860" w:type="dxa"/>
            <w:vAlign w:val="bottom"/>
            <w:tcBorders>
              <w:right w:val="single" w:sz="8" w:color="auto"/>
            </w:tcBorders>
            <w:gridSpan w:val="2"/>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8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3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0"/>
              </w:rPr>
              <w:t>Title of each class of</w:t>
            </w:r>
          </w:p>
        </w:tc>
        <w:tc>
          <w:tcPr>
            <w:tcW w:w="1900" w:type="dxa"/>
            <w:vAlign w:val="bottom"/>
            <w:tcBorders>
              <w:right w:val="single" w:sz="8" w:color="auto"/>
            </w:tcBorders>
            <w:gridSpan w:val="2"/>
            <w:vMerge w:val="continue"/>
          </w:tcPr>
          <w:p>
            <w:pPr>
              <w:spacing w:after="0"/>
              <w:rPr>
                <w:sz w:val="12"/>
                <w:szCs w:val="12"/>
                <w:color w:val="auto"/>
              </w:rPr>
            </w:pPr>
          </w:p>
        </w:tc>
        <w:tc>
          <w:tcPr>
            <w:tcW w:w="1860" w:type="dxa"/>
            <w:vAlign w:val="bottom"/>
            <w:tcBorders>
              <w:right w:val="single" w:sz="8" w:color="auto"/>
            </w:tcBorders>
            <w:gridSpan w:val="2"/>
          </w:tcPr>
          <w:p>
            <w:pPr>
              <w:jc w:val="center"/>
              <w:spacing w:after="0" w:line="145" w:lineRule="exact"/>
              <w:rPr>
                <w:sz w:val="20"/>
                <w:szCs w:val="20"/>
                <w:color w:val="auto"/>
              </w:rPr>
            </w:pPr>
            <w:r>
              <w:rPr>
                <w:rFonts w:ascii="Arial" w:cs="Arial" w:eastAsia="Arial" w:hAnsi="Arial"/>
                <w:sz w:val="14"/>
                <w:szCs w:val="14"/>
                <w:b w:val="1"/>
                <w:bCs w:val="1"/>
                <w:color w:val="auto"/>
                <w:w w:val="97"/>
              </w:rPr>
              <w:t>maximum</w:t>
            </w:r>
          </w:p>
        </w:tc>
        <w:tc>
          <w:tcPr>
            <w:tcW w:w="1860" w:type="dxa"/>
            <w:vAlign w:val="bottom"/>
            <w:tcBorders>
              <w:right w:val="single" w:sz="8" w:color="auto"/>
            </w:tcBorders>
          </w:tcPr>
          <w:p>
            <w:pPr>
              <w:jc w:val="center"/>
              <w:ind w:left="4"/>
              <w:spacing w:after="0" w:line="145" w:lineRule="exact"/>
              <w:rPr>
                <w:sz w:val="20"/>
                <w:szCs w:val="20"/>
                <w:color w:val="auto"/>
              </w:rPr>
            </w:pPr>
            <w:r>
              <w:rPr>
                <w:rFonts w:ascii="Arial" w:cs="Arial" w:eastAsia="Arial" w:hAnsi="Arial"/>
                <w:sz w:val="14"/>
                <w:szCs w:val="14"/>
                <w:b w:val="1"/>
                <w:bCs w:val="1"/>
                <w:color w:val="auto"/>
                <w:w w:val="94"/>
              </w:rPr>
              <w:t>maximum</w:t>
            </w:r>
          </w:p>
        </w:tc>
        <w:tc>
          <w:tcPr>
            <w:tcW w:w="30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Borders>
              <w:right w:val="single" w:sz="8" w:color="auto"/>
            </w:tcBorders>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100" w:type="dxa"/>
            <w:vAlign w:val="bottom"/>
            <w:tcBorders>
              <w:right w:val="single" w:sz="8" w:color="auto"/>
            </w:tcBorders>
          </w:tcPr>
          <w:p>
            <w:pPr>
              <w:jc w:val="center"/>
              <w:ind w:right="648"/>
              <w:spacing w:after="0" w:line="149" w:lineRule="exact"/>
              <w:rPr>
                <w:sz w:val="20"/>
                <w:szCs w:val="20"/>
                <w:color w:val="auto"/>
              </w:rPr>
            </w:pPr>
            <w:r>
              <w:rPr>
                <w:rFonts w:ascii="Arial" w:cs="Arial" w:eastAsia="Arial" w:hAnsi="Arial"/>
                <w:sz w:val="14"/>
                <w:szCs w:val="14"/>
                <w:b w:val="1"/>
                <w:bCs w:val="1"/>
                <w:color w:val="auto"/>
                <w:w w:val="89"/>
              </w:rPr>
              <w:t>to be</w:t>
            </w:r>
          </w:p>
        </w:tc>
        <w:tc>
          <w:tcPr>
            <w:tcW w:w="186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3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900" w:type="dxa"/>
            <w:vAlign w:val="bottom"/>
            <w:tcBorders>
              <w:bottom w:val="single" w:sz="8" w:color="auto"/>
              <w:right w:val="single" w:sz="8" w:color="auto"/>
            </w:tcBorders>
            <w:gridSpan w:val="2"/>
          </w:tcPr>
          <w:p>
            <w:pPr>
              <w:jc w:val="center"/>
              <w:ind w:left="1"/>
              <w:spacing w:after="0"/>
              <w:rPr>
                <w:sz w:val="20"/>
                <w:szCs w:val="20"/>
                <w:color w:val="auto"/>
              </w:rPr>
            </w:pPr>
            <w:r>
              <w:rPr>
                <w:rFonts w:ascii="Arial" w:cs="Arial" w:eastAsia="Arial" w:hAnsi="Arial"/>
                <w:sz w:val="14"/>
                <w:szCs w:val="14"/>
                <w:b w:val="1"/>
                <w:bCs w:val="1"/>
                <w:color w:val="auto"/>
                <w:w w:val="91"/>
              </w:rPr>
              <w:t>registered</w:t>
            </w:r>
          </w:p>
        </w:tc>
        <w:tc>
          <w:tcPr>
            <w:tcW w:w="18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per unit</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offering price</w:t>
            </w: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 (1)</w:t>
            </w:r>
          </w:p>
        </w:tc>
        <w:tc>
          <w:tcPr>
            <w:tcW w:w="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3.839% Notes due 2060</w:t>
            </w:r>
          </w:p>
        </w:tc>
        <w:tc>
          <w:tcPr>
            <w:tcW w:w="17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gridSpan w:val="2"/>
          </w:tcPr>
          <w:p>
            <w:pPr>
              <w:jc w:val="center"/>
              <w:ind w:left="1"/>
              <w:spacing w:after="0"/>
              <w:rPr>
                <w:sz w:val="20"/>
                <w:szCs w:val="20"/>
                <w:color w:val="auto"/>
              </w:rPr>
            </w:pPr>
            <w:r>
              <w:rPr>
                <w:rFonts w:ascii="Arial" w:cs="Arial" w:eastAsia="Arial" w:hAnsi="Arial"/>
                <w:sz w:val="18"/>
                <w:szCs w:val="18"/>
                <w:color w:val="auto"/>
                <w:w w:val="91"/>
              </w:rPr>
              <w:t>$1,841,950,000</w:t>
            </w:r>
          </w:p>
        </w:tc>
        <w:tc>
          <w:tcPr>
            <w:tcW w:w="1200" w:type="dxa"/>
            <w:vAlign w:val="bottom"/>
            <w:tcBorders>
              <w:bottom w:val="single" w:sz="8" w:color="auto"/>
            </w:tcBorders>
          </w:tcPr>
          <w:p>
            <w:pPr>
              <w:jc w:val="center"/>
              <w:ind w:left="626"/>
              <w:spacing w:after="0"/>
              <w:rPr>
                <w:sz w:val="20"/>
                <w:szCs w:val="20"/>
                <w:color w:val="auto"/>
              </w:rPr>
            </w:pPr>
            <w:r>
              <w:rPr>
                <w:rFonts w:ascii="Arial" w:cs="Arial" w:eastAsia="Arial" w:hAnsi="Arial"/>
                <w:sz w:val="18"/>
                <w:szCs w:val="18"/>
                <w:color w:val="auto"/>
                <w:w w:val="91"/>
              </w:rPr>
              <w:t>100%</w:t>
            </w:r>
          </w:p>
        </w:tc>
        <w:tc>
          <w:tcPr>
            <w:tcW w:w="66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$1,841,950,000</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$239,086</w:t>
            </w: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4"/>
          <w:szCs w:val="24"/>
          <w:color w:val="auto"/>
        </w:rPr>
      </w:pPr>
    </w:p>
    <w:p>
      <w:pPr>
        <w:ind w:left="640" w:hanging="436"/>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Calculated pursuant to Rule 457(f) of the Securities Act of 1933, as amended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129540</wp:posOffset>
            </wp:positionV>
            <wp:extent cx="1466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38" w:lineRule="exact"/>
        <w:rPr>
          <w:sz w:val="24"/>
          <w:szCs w:val="24"/>
          <w:color w:val="auto"/>
        </w:rPr>
      </w:pPr>
    </w:p>
    <w:p>
      <w:pPr>
        <w:ind w:left="200" w:right="120"/>
        <w:spacing w:after="0" w:line="275"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39370</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81915</wp:posOffset>
            </wp:positionV>
            <wp:extent cx="6997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124"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200" w:right="180"/>
        <w:spacing w:after="0" w:line="266" w:lineRule="auto"/>
        <w:rPr>
          <w:sz w:val="20"/>
          <w:szCs w:val="20"/>
          <w:color w:val="auto"/>
        </w:rPr>
      </w:pPr>
      <w:r>
        <w:rPr>
          <w:rFonts w:ascii="Arial" w:cs="Arial" w:eastAsia="Arial" w:hAnsi="Arial"/>
          <w:sz w:val="18"/>
          <w:szCs w:val="18"/>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FF4338"/>
        </w:rPr>
        <w:t>SUBJECT TO COMPLETION DATED MARCH 3, 2020</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324" w:lineRule="exact"/>
        <w:rPr>
          <w:sz w:val="20"/>
          <w:szCs w:val="20"/>
          <w:color w:val="auto"/>
        </w:rPr>
      </w:pPr>
    </w:p>
    <w:p>
      <w:pPr>
        <w:jc w:val="center"/>
        <w:ind w:right="-199"/>
        <w:spacing w:after="0"/>
        <w:rPr>
          <w:sz w:val="20"/>
          <w:szCs w:val="20"/>
          <w:color w:val="auto"/>
        </w:rPr>
      </w:pPr>
      <w:r>
        <w:rPr>
          <w:rFonts w:ascii="Arial" w:cs="Arial" w:eastAsia="Arial" w:hAnsi="Arial"/>
          <w:sz w:val="43"/>
          <w:szCs w:val="43"/>
          <w:b w:val="1"/>
          <w:bCs w:val="1"/>
          <w:color w:val="auto"/>
        </w:rPr>
        <w:t>UNION PACIFIC CORPORATION</w:t>
      </w:r>
    </w:p>
    <w:p>
      <w:pPr>
        <w:spacing w:after="0" w:line="200" w:lineRule="exact"/>
        <w:rPr>
          <w:sz w:val="20"/>
          <w:szCs w:val="20"/>
          <w:color w:val="auto"/>
        </w:rPr>
      </w:pPr>
    </w:p>
    <w:p>
      <w:pPr>
        <w:spacing w:after="0" w:line="361" w:lineRule="exact"/>
        <w:rPr>
          <w:sz w:val="20"/>
          <w:szCs w:val="20"/>
          <w:color w:val="auto"/>
        </w:rPr>
      </w:pPr>
    </w:p>
    <w:p>
      <w:pPr>
        <w:jc w:val="center"/>
        <w:ind w:left="440" w:right="1460"/>
        <w:spacing w:after="0" w:line="243" w:lineRule="auto"/>
        <w:rPr>
          <w:sz w:val="20"/>
          <w:szCs w:val="20"/>
          <w:color w:val="auto"/>
        </w:rPr>
      </w:pPr>
      <w:r>
        <w:rPr>
          <w:rFonts w:ascii="Arial" w:cs="Arial" w:eastAsia="Arial" w:hAnsi="Arial"/>
          <w:sz w:val="22"/>
          <w:szCs w:val="22"/>
          <w:b w:val="1"/>
          <w:bCs w:val="1"/>
          <w:color w:val="auto"/>
        </w:rPr>
        <w:t>Offer to Exchange up to $1,841,950,000 Principal Amount of 3.839% Notes due 2060 for a Like Principal Amount of 3.839% Notes due 2060 which have been registered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473075</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0" w:right="60" w:firstLine="441"/>
        <w:spacing w:after="0" w:line="284" w:lineRule="auto"/>
        <w:rPr>
          <w:sz w:val="20"/>
          <w:szCs w:val="20"/>
          <w:color w:val="auto"/>
        </w:rPr>
      </w:pPr>
      <w:r>
        <w:rPr>
          <w:rFonts w:ascii="Arial" w:cs="Arial" w:eastAsia="Arial" w:hAnsi="Arial"/>
          <w:sz w:val="16"/>
          <w:szCs w:val="16"/>
          <w:color w:val="auto"/>
        </w:rPr>
        <w:t>Union Pacific Corporation (“Union Pacific”, the “Company”, the “Issuer”, “we”, “us” or “our”) is offering to exchange: registered 3.839% Notes due 2060 (the “Exchange Notes”) for its outstanding unregistered 3.839% Notes due 2060 (the “Original Notes”). The Original Notes and the Exchange Notes are sometimes referred to in this prospectus together as the “Notes”. The terms of the Exchange Notes are substantially identical to the terms of the Original Notes for which they will be exchanged, except that the Exchange Notes are registered under the Securities Act of 1933, as amended (the “Securities Act”), and the transfer restrictions and registration rights and related additional interest provisions applicable to such Original Notes do not apply to such Exchange Notes. The Original Notes may only be tendered in an amount equal to $1,000 in principal amount or in integral multiples of</w:t>
      </w:r>
    </w:p>
    <w:p>
      <w:pPr>
        <w:spacing w:after="0" w:line="5" w:lineRule="exact"/>
        <w:rPr>
          <w:sz w:val="20"/>
          <w:szCs w:val="20"/>
          <w:color w:val="auto"/>
        </w:rPr>
      </w:pPr>
    </w:p>
    <w:p>
      <w:pPr>
        <w:ind w:left="200" w:right="20"/>
        <w:spacing w:after="0" w:line="261" w:lineRule="auto"/>
        <w:rPr>
          <w:sz w:val="20"/>
          <w:szCs w:val="20"/>
          <w:color w:val="auto"/>
        </w:rPr>
      </w:pPr>
      <w:r>
        <w:rPr>
          <w:rFonts w:ascii="Arial" w:cs="Arial" w:eastAsia="Arial" w:hAnsi="Arial"/>
          <w:sz w:val="18"/>
          <w:szCs w:val="18"/>
          <w:color w:val="auto"/>
        </w:rPr>
        <w:t>$1,000 in excess thereof. This offer is subject to certain customary conditions and will expire at 5:00 p.m., New York City time, on , unless the Issuer extends it. The Exchange Notes will not trade on any established exchange.</w:t>
      </w:r>
    </w:p>
    <w:p>
      <w:pPr>
        <w:spacing w:after="0" w:line="200" w:lineRule="exact"/>
        <w:rPr>
          <w:sz w:val="20"/>
          <w:szCs w:val="20"/>
          <w:color w:val="auto"/>
        </w:rPr>
      </w:pPr>
    </w:p>
    <w:p>
      <w:pPr>
        <w:spacing w:after="0" w:line="308"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Each broker-dealer that receives Exchange Notes for its own account pursuant to the Exchange Offer (as defined herein) must acknowledge that it will deliver a prospectus in connection with any resale of such Exchange Notes. The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Exchange Notes received in exchange for Original Notes where such Original Notes were acquired by such broker-dealer as a result of market-making activities or other trading activities. Union Pacific has agreed that, for a period of 180 days after the Expiration Date (as defined herein), it will make this prospectus available to any broker-dealer for use in connection with any such resale. See “Plan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456565</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0" w:right="40" w:firstLine="441"/>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Please see “</w:t>
      </w:r>
      <w:hyperlink w:anchor="page11">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6 for a discussion of certain factors you should consider in connection with the Exchange Offer.</w:t>
      </w:r>
    </w:p>
    <w:p>
      <w:pPr>
        <w:spacing w:after="0" w:line="200" w:lineRule="exact"/>
        <w:rPr>
          <w:sz w:val="20"/>
          <w:szCs w:val="20"/>
          <w:color w:val="auto"/>
        </w:rPr>
      </w:pPr>
    </w:p>
    <w:p>
      <w:pPr>
        <w:spacing w:after="0" w:line="296" w:lineRule="exact"/>
        <w:rPr>
          <w:sz w:val="20"/>
          <w:szCs w:val="20"/>
          <w:color w:val="auto"/>
        </w:rPr>
      </w:pPr>
    </w:p>
    <w:p>
      <w:pPr>
        <w:ind w:left="200" w:right="140" w:firstLine="441"/>
        <w:spacing w:after="0" w:line="313" w:lineRule="auto"/>
        <w:rPr>
          <w:sz w:val="20"/>
          <w:szCs w:val="20"/>
          <w:color w:val="auto"/>
        </w:rPr>
      </w:pPr>
      <w:r>
        <w:rPr>
          <w:rFonts w:ascii="Arial" w:cs="Arial" w:eastAsia="Arial" w:hAnsi="Arial"/>
          <w:sz w:val="17"/>
          <w:szCs w:val="17"/>
          <w:b w:val="1"/>
          <w:bCs w:val="1"/>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63" w:lineRule="exact"/>
        <w:rPr>
          <w:sz w:val="20"/>
          <w:szCs w:val="20"/>
          <w:color w:val="auto"/>
        </w:rPr>
      </w:pPr>
    </w:p>
    <w:tbl>
      <w:tblPr>
        <w:tblLayout w:type="fixed"/>
        <w:tblInd w:w="396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 2020.</w:t>
            </w:r>
          </w:p>
        </w:tc>
      </w:tr>
    </w:tbl>
    <w:p>
      <w:pPr>
        <w:sectPr>
          <w:pgSz w:w="11900" w:h="16838" w:orient="portrait"/>
          <w:cols w:equalWidth="0" w:num="1">
            <w:col w:w="11220"/>
          </w:cols>
          <w:pgMar w:left="24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are solely responsible for the information contained or incorporated by reference in this prospectus. We have not authorized anyone to provide you with different information. We do not take any responsibility for any other information that others may give you. This prospectus is not an offer to sell or a solicitation of an offer to buy the Notes in any jurisdiction or under any circumstances in which the offer or sale is unlawful. You should not assume that the information contained in this prospectus is accurate as of any date other than the date of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212090</wp:posOffset>
            </wp:positionV>
            <wp:extent cx="1466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20" w:type="dxa"/>
            <w:vAlign w:val="bottom"/>
            <w:gridSpan w:val="2"/>
          </w:tcPr>
          <w:p>
            <w:pPr>
              <w:ind w:left="74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0"/>
                <w:szCs w:val="20"/>
                <w:color w:val="auto"/>
              </w:rPr>
            </w:pPr>
          </w:p>
        </w:tc>
      </w:tr>
      <w:tr>
        <w:trPr>
          <w:trHeight w:val="419"/>
        </w:trPr>
        <w:tc>
          <w:tcPr>
            <w:tcW w:w="3820" w:type="dxa"/>
            <w:vAlign w:val="bottom"/>
            <w:tcBorders>
              <w:bottom w:val="single" w:sz="8" w:color="0000EE"/>
            </w:tcBorders>
            <w:gridSpan w:val="13"/>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WHERE YOU CAN FIND MORE INFORMATION</w:t>
              </w:r>
            </w:hyperlink>
          </w:p>
        </w:tc>
        <w:tc>
          <w:tcPr>
            <w:tcW w:w="4820" w:type="dxa"/>
            <w:vAlign w:val="bottom"/>
            <w:gridSpan w:val="2"/>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196"/>
        </w:trPr>
        <w:tc>
          <w:tcPr>
            <w:tcW w:w="8640" w:type="dxa"/>
            <w:vAlign w:val="bottom"/>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INCORPORATION BY REFERENCE</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FORWARD-LOOKING STATEMENTS</w:t>
              </w:r>
            </w:hyperlink>
          </w:p>
        </w:tc>
        <w:tc>
          <w:tcPr>
            <w:tcW w:w="570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iii</w:t>
            </w:r>
          </w:p>
        </w:tc>
      </w:tr>
      <w:tr>
        <w:trPr>
          <w:trHeight w:val="196"/>
        </w:trPr>
        <w:tc>
          <w:tcPr>
            <w:tcW w:w="8640" w:type="dxa"/>
            <w:vAlign w:val="bottom"/>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1">
              <w:r>
                <w:rPr>
                  <w:rFonts w:ascii="Arial" w:cs="Arial" w:eastAsia="Arial" w:hAnsi="Arial"/>
                  <w:sz w:val="18"/>
                  <w:szCs w:val="18"/>
                  <w:color w:val="0000EE"/>
                  <w:w w:val="93"/>
                </w:rPr>
                <w:t>RISK FACTORS</w:t>
              </w:r>
            </w:hyperlink>
          </w:p>
        </w:tc>
        <w:tc>
          <w:tcPr>
            <w:tcW w:w="7380" w:type="dxa"/>
            <w:vAlign w:val="bottom"/>
            <w:gridSpan w:val="1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8640" w:type="dxa"/>
            <w:vAlign w:val="bottom"/>
            <w:gridSpan w:val="15"/>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USE OF PROCEEDS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40" w:type="dxa"/>
            <w:vAlign w:val="bottom"/>
            <w:gridSpan w:val="15"/>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SELECTED FINANCIAL DATA</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40" w:type="dxa"/>
            <w:vAlign w:val="bottom"/>
            <w:gridSpan w:val="15"/>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DESCRIPTION OF THE EXCHANGE NOTES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5"/>
              </w:rPr>
            </w:pPr>
            <w:hyperlink w:anchor="page23">
              <w:r>
                <w:rPr>
                  <w:rFonts w:ascii="Arial" w:cs="Arial" w:eastAsia="Arial" w:hAnsi="Arial"/>
                  <w:sz w:val="18"/>
                  <w:szCs w:val="18"/>
                  <w:color w:val="0000EE"/>
                  <w:w w:val="95"/>
                </w:rPr>
                <w:t>THE EXCHANGE OFFER</w:t>
              </w:r>
            </w:hyperlink>
          </w:p>
        </w:tc>
        <w:tc>
          <w:tcPr>
            <w:tcW w:w="1500" w:type="dxa"/>
            <w:vAlign w:val="bottom"/>
            <w:tcBorders>
              <w:top w:val="single" w:sz="8" w:color="0000EE"/>
            </w:tcBorders>
            <w:gridSpan w:val="5"/>
          </w:tcPr>
          <w:p>
            <w:pPr>
              <w:spacing w:after="0"/>
              <w:rPr>
                <w:sz w:val="17"/>
                <w:szCs w:val="17"/>
                <w:color w:val="auto"/>
              </w:rPr>
            </w:pPr>
          </w:p>
        </w:tc>
        <w:tc>
          <w:tcPr>
            <w:tcW w:w="514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8640" w:type="dxa"/>
            <w:vAlign w:val="bottom"/>
            <w:gridSpan w:val="15"/>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BOOK-ENTRY NOTES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590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36">
              <w:r>
                <w:rPr>
                  <w:rFonts w:ascii="Arial" w:cs="Arial" w:eastAsia="Arial" w:hAnsi="Arial"/>
                  <w:sz w:val="18"/>
                  <w:szCs w:val="18"/>
                  <w:color w:val="0000EE"/>
                  <w:w w:val="96"/>
                </w:rPr>
                <w:t>MATERIAL UNITED STATES FEDERAL INCOME TAX CONSIDERATIONS</w:t>
              </w:r>
            </w:hyperlink>
          </w:p>
        </w:tc>
        <w:tc>
          <w:tcPr>
            <w:tcW w:w="274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2060" w:type="dxa"/>
            <w:vAlign w:val="bottom"/>
            <w:tcBorders>
              <w:bottom w:val="single" w:sz="8" w:color="0000EE"/>
            </w:tcBorders>
            <w:gridSpan w:val="8"/>
          </w:tcPr>
          <w:p>
            <w:pPr>
              <w:spacing w:after="0" w:line="196" w:lineRule="exact"/>
              <w:rPr>
                <w:rFonts w:ascii="Arial" w:cs="Arial" w:eastAsia="Arial" w:hAnsi="Arial"/>
                <w:sz w:val="18"/>
                <w:szCs w:val="18"/>
                <w:color w:val="0000EE"/>
                <w:w w:val="97"/>
              </w:rPr>
            </w:pPr>
            <w:hyperlink w:anchor="page36">
              <w:r>
                <w:rPr>
                  <w:rFonts w:ascii="Arial" w:cs="Arial" w:eastAsia="Arial" w:hAnsi="Arial"/>
                  <w:sz w:val="18"/>
                  <w:szCs w:val="18"/>
                  <w:color w:val="0000EE"/>
                  <w:w w:val="97"/>
                </w:rPr>
                <w:t>PLAN OF DISTRIBUTION</w:t>
              </w:r>
            </w:hyperlink>
          </w:p>
        </w:tc>
        <w:tc>
          <w:tcPr>
            <w:tcW w:w="6580" w:type="dxa"/>
            <w:vAlign w:val="bottom"/>
            <w:gridSpan w:val="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4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38">
              <w:r>
                <w:rPr>
                  <w:rFonts w:ascii="Arial" w:cs="Arial" w:eastAsia="Arial" w:hAnsi="Arial"/>
                  <w:sz w:val="18"/>
                  <w:szCs w:val="18"/>
                  <w:color w:val="0000EE"/>
                  <w:w w:val="96"/>
                </w:rPr>
                <w:t>LEGAL MATTERS</w:t>
              </w:r>
            </w:hyperlink>
          </w:p>
        </w:tc>
        <w:tc>
          <w:tcPr>
            <w:tcW w:w="7180" w:type="dxa"/>
            <w:vAlign w:val="bottom"/>
            <w:gridSpan w:val="11"/>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EXPERTS</w:t>
              </w:r>
            </w:hyperlink>
          </w:p>
        </w:tc>
        <w:tc>
          <w:tcPr>
            <w:tcW w:w="7860" w:type="dxa"/>
            <w:vAlign w:val="bottom"/>
            <w:gridSpan w:val="1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240030</wp:posOffset>
            </wp:positionV>
            <wp:extent cx="14662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auto"/>
        </w:rPr>
        <w:t>Except as otherwise indicated, this prospectus speaks as of the date of this prospectus. Neither the delivery of the prospectus nor any sale of any Notes shall, under any circumstances, create any implication that there have been no changes in our affairs after the date of this prospectus.</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280" w:firstLine="441"/>
        <w:spacing w:after="0" w:line="257" w:lineRule="auto"/>
        <w:rPr>
          <w:sz w:val="20"/>
          <w:szCs w:val="20"/>
          <w:color w:val="auto"/>
        </w:rPr>
      </w:pPr>
      <w:r>
        <w:rPr>
          <w:rFonts w:ascii="Arial" w:cs="Arial" w:eastAsia="Arial" w:hAnsi="Arial"/>
          <w:sz w:val="18"/>
          <w:szCs w:val="18"/>
          <w:color w:val="auto"/>
        </w:rPr>
        <w:t>We have filed with the SEC a registration statement on Form S-4 under the Securities Act with respect to the Exchange Offer. This prospectus does not contain all of the information contained in the registration statement and the exhibits to the registration statement. You should refer to the registration statement, including the exhibits, for further information about the Exchange Notes being offered hereby. Copies of our SEC filings, including the exhibits to the registration statement, are available through us or from the SEC through the SEC’s website or at its facilities described below.</w:t>
      </w:r>
    </w:p>
    <w:p>
      <w:pPr>
        <w:spacing w:after="0" w:line="188"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color w:val="auto"/>
        </w:rPr>
        <w:t>We are subject to the information requirements of the Securities Exchange Act of 1934 (the “Exchange Act”) and the rules and regulations thereunder and, accordingly, we file annual, quarterly and special reports, proxy statements and other information with the SEC. Our SEC filings are available to the public over the Internet at the SEC’s web site at http://www.sec.gov. You may also read and copy any document we file at the SEC’s Public Reference Room at 100 F Street, N.E., Washington, D.C. 20549. Please call the SEC at 1-800-SEC-0330 for further information on the Public Reference Room. Our common stock is listed and traded on the New York Stock Exchange under the symbol “UNP.” You may also inspect the information we file with the SEC at the offices of the New York Stock Exchange, 11 Wall Street, New York, New York 10005.</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You may request a copy of any filings referred to above, at no cost, by contacting Union Pacific at the following address: Union Pacific</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Corporation, 1400 Douglas Street, Omaha, Nebraska 68179, Attention: Corporate Secretary (telephone (402) 544-5000).</w:t>
      </w:r>
    </w:p>
    <w:p>
      <w:pPr>
        <w:spacing w:after="0" w:line="207" w:lineRule="exact"/>
        <w:rPr>
          <w:sz w:val="20"/>
          <w:szCs w:val="20"/>
          <w:color w:val="auto"/>
        </w:rPr>
      </w:pPr>
    </w:p>
    <w:p>
      <w:pPr>
        <w:jc w:val="both"/>
        <w:ind w:left="200" w:right="80" w:firstLine="441"/>
        <w:spacing w:after="0" w:line="266" w:lineRule="auto"/>
        <w:rPr>
          <w:sz w:val="20"/>
          <w:szCs w:val="20"/>
          <w:color w:val="auto"/>
        </w:rPr>
      </w:pPr>
      <w:r>
        <w:rPr>
          <w:rFonts w:ascii="Arial" w:cs="Arial" w:eastAsia="Arial" w:hAnsi="Arial"/>
          <w:sz w:val="18"/>
          <w:szCs w:val="18"/>
          <w:b w:val="1"/>
          <w:bCs w:val="1"/>
          <w:color w:val="auto"/>
        </w:rPr>
        <w:t>To obtain timely delivery of any copies of filings requested from us, please write or telephone us no later than , , which is five business days prior to the expiration of the Exchange Offer. In the event that we extend the Exchange Offer, please submit your request at least five business days prior to the expiration date, as extended.</w:t>
      </w:r>
    </w:p>
    <w:p>
      <w:pPr>
        <w:spacing w:after="0" w:line="39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We are incorporating by reference into this prospectus the information that we file with the SEC, which means that we are disclosing important information to you by referring you to those documents. The information incorporated by reference is an important part of this prospectus, and the information that we subsequently file with the SEC will automatically update and supersede information in this prospectus and in our other filings with the SEC. We incorporate by reference the documents listed below, which we have already filed with the SEC, and any future filings we make with the SEC under Section 13(a), 13(c), 14, or 15(d) of the Exchange Act after the effectiveness of the registration statement and prior to the termination of the offerings under this prospectus. We are not, however, incorporating by reference any documents or portions thereof, whether specifically listed below or filed in the future, that are not deemed “filed” with the SEC, including any information furnished pursuant to Item 2.02 or 7.01 of Form 8-K except as set forth below.</w:t>
      </w:r>
    </w:p>
    <w:p>
      <w:pPr>
        <w:spacing w:after="0" w:line="98" w:lineRule="exact"/>
        <w:rPr>
          <w:sz w:val="20"/>
          <w:szCs w:val="20"/>
          <w:color w:val="auto"/>
        </w:rPr>
      </w:pPr>
    </w:p>
    <w:p>
      <w:pPr>
        <w:ind w:left="1180" w:hanging="544"/>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2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2019; and</w:t>
      </w:r>
    </w:p>
    <w:p>
      <w:pPr>
        <w:spacing w:after="0" w:line="130" w:lineRule="exact"/>
        <w:rPr>
          <w:rFonts w:ascii="Arial" w:cs="Arial" w:eastAsia="Arial" w:hAnsi="Arial"/>
          <w:sz w:val="18"/>
          <w:szCs w:val="18"/>
          <w:color w:val="auto"/>
        </w:rPr>
      </w:pPr>
    </w:p>
    <w:p>
      <w:pPr>
        <w:ind w:left="1180" w:right="460" w:hanging="544"/>
        <w:spacing w:after="0" w:line="277"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29">
        <w:r>
          <w:rPr>
            <w:rFonts w:ascii="Arial" w:cs="Arial" w:eastAsia="Arial" w:hAnsi="Arial"/>
            <w:sz w:val="18"/>
            <w:szCs w:val="18"/>
            <w:u w:val="single" w:color="auto"/>
            <w:color w:val="0000EE"/>
          </w:rPr>
          <w:t>January 31,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0">
        <w:r>
          <w:rPr>
            <w:rFonts w:ascii="Arial" w:cs="Arial" w:eastAsia="Arial" w:hAnsi="Arial"/>
            <w:sz w:val="18"/>
            <w:szCs w:val="18"/>
            <w:u w:val="single" w:color="auto"/>
            <w:color w:val="0000EE"/>
          </w:rPr>
          <w:t>February 18,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(but only with respect to that Item concerning our accelerated share repurchase program).</w:t>
      </w:r>
    </w:p>
    <w:p>
      <w:pPr>
        <w:spacing w:after="0" w:line="170" w:lineRule="exact"/>
        <w:rPr>
          <w:rFonts w:ascii="Arial" w:cs="Arial" w:eastAsia="Arial" w:hAnsi="Arial"/>
          <w:sz w:val="18"/>
          <w:szCs w:val="18"/>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Any statement contained in this prospectus, or in a document all or a portion of which is incorporated by reference in this prospectus, will be deemed to be modified or superseded for purposes of this prospectus to the extent that a statement contained in this prospectus or in any subsequently filed document incorporated by reference modifies or supersedes the statement. Any such statement or document so modified or superseded will not be deemed, except as so modified or superseded, to constitute a part of this prospectus.</w:t>
      </w:r>
    </w:p>
    <w:p>
      <w:pPr>
        <w:spacing w:after="0" w:line="119" w:lineRule="exact"/>
        <w:rPr>
          <w:rFonts w:ascii="Arial" w:cs="Arial" w:eastAsia="Arial" w:hAnsi="Arial"/>
          <w:sz w:val="18"/>
          <w:szCs w:val="18"/>
          <w:color w:val="auto"/>
        </w:rPr>
      </w:pPr>
    </w:p>
    <w:p>
      <w:pPr>
        <w:jc w:val="center"/>
        <w:ind w:right="-259"/>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1160"/>
          </w:cols>
          <w:pgMar w:left="24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Certain statements in this prospectus and statements in other reports or information filed or to be filed with the SEC and incorporated by reference herein or therein (as well as information included in oral statements or other written statements made or to be made by us), are, or will be, forward-looking statements as defined by the Securities Act and the Exchange Act. These forward-looking statements and information include, without limitation, (A) statements and information specifically identified in our Current Reports on Form 8-K and our reports on Forms 10 K and 10 Q (including statements and information (i) identified under the caption “Cautionary Information” in such periodic and annual reports and (ii) incorporated by reference herein or in our reports filed with the SEC) and (B) statements and information herein or in our Forms 10-K and 10-Q regarding: expectations as to financial performance, revenue growth, and cost savings; the time by which goals, targets, or objectives will be achieved; projections, predictions, expectations, estimates, or forecasts as to our business, financial and operational results, future economic performance, and general economic conditions; expectations as to operational or service performance or improvements; expectations as to the effectiveness of steps taken or to be taken to improve operations and/or service, including capital expenditures for infrastructure improvements and equipment acquisitions, any strategic business acquisitions, and modifications to our transportation plans, including the implementation of Positive Train Control; expectations as to existing or proposed new products and services; expectations as to the impact of any new regulatory activities or legislation on our operations or financial results; estimates of costs relating to environmental remediation and restoration; estimates and expectations regarding tax matters; expectations that claims, litigation, environmental costs, commitments, contingent liabilities, labor negotiations or agreements, or other matters will not have a material adverse effect on our consolidated results of operations, financial condition, or liquidity and any other similar expressions concerning matters that are not historical facts. Forward-looking statements may be identified by their use of forward-looking terminology, such as “believes”, “expects”, “may”, “should”, “would”, “will”, “intends”, “plans”, “estimates”, “anticipates”, “projects” and similar words, phrases or expressions.</w:t>
      </w:r>
    </w:p>
    <w:p>
      <w:pPr>
        <w:spacing w:after="0" w:line="175"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Forward-looking statements should not be read as a guarantee of future performance or results, and will not necessarily be accurate indications of the times that, or by which, such performance or results will be achieved. Forward-looking statements and information are subject to risks and uncertainties that could cause actual performance or results to differ materially from those expressed in the statements and information. Forward-looking statements and information reflect the good faith consideration by management of currently available information, and may be based on underlying assumptions believed to be reasonable under the circumstances. However, such information and assumptions (and, therefore, such forward-looking statements and information) are or may be subject to variables or unknown or unforeseeable events or circumstances over which management has little or no influence or control. The risk factors discussed in Item 1A of our 2019 Annual Report on Form 10-K filed with the SEC on February 7, 2020 could affect our future results and could cause those results or other outcomes to differ materially from those expressed or implied in any forward-looking statements or information. To the extent circumstances require or we deem it otherwise necessary, we will update or amend those risk factors on a Form 10-Q, Form 8-K or subsequent Form 10-K. All forward-looking statements are qualified by, and should be read in conjunction with, these Risk Factors, and you should review the information under the caption “Risk Factors” in this prospectus.</w:t>
      </w:r>
    </w:p>
    <w:p>
      <w:pPr>
        <w:spacing w:after="0" w:line="173"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Forward-looking statements and information speak only as of the date such statements were made. We assume no obligation to update forward-looking information to reflect actual results, changes in assumptions or changes in other factors affecting forward-looking statements or information. If we do update one or more forward-looking statements, no inference should be drawn that we will make additional updates with respect thereto or with respect to other forward-looking statements.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iii -</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385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002145" cy="59385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80" w:right="240" w:firstLine="426"/>
        <w:spacing w:after="0" w:line="255" w:lineRule="auto"/>
        <w:rPr>
          <w:sz w:val="20"/>
          <w:szCs w:val="20"/>
          <w:color w:val="auto"/>
        </w:rPr>
      </w:pPr>
      <w:r>
        <w:rPr>
          <w:rFonts w:ascii="Arial" w:cs="Arial" w:eastAsia="Arial" w:hAnsi="Arial"/>
          <w:sz w:val="18"/>
          <w:szCs w:val="18"/>
          <w:i w:val="1"/>
          <w:iCs w:val="1"/>
          <w:color w:val="auto"/>
        </w:rPr>
        <w:t>This summary highlights selected information from this prospectus and is therefore qualified in its entirety by the more detailed information appearing elsewhere, or incorporated by reference, in this prospectus. It may not contain all the information that is important to you. We urge you to read carefully this entire prospectus including the “Risk Factors” section and the consolidated financial statements and related notes incorporated by reference herein. As used in this prospectus, unless otherwise indicated, “Union Pacific”, “the Company”, “we”, “our” and “us” are used interchangeably to refer to Union Pacific Corporation or to Union Pacific Corporation and its consolidated subsidiaries, as appropriate to the context.</w:t>
      </w:r>
    </w:p>
    <w:p>
      <w:pPr>
        <w:spacing w:after="0" w:line="29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Union Pacific Corporation</w:t>
      </w:r>
    </w:p>
    <w:p>
      <w:pPr>
        <w:spacing w:after="0" w:line="121" w:lineRule="exact"/>
        <w:rPr>
          <w:sz w:val="20"/>
          <w:szCs w:val="20"/>
          <w:color w:val="auto"/>
        </w:rPr>
      </w:pPr>
    </w:p>
    <w:p>
      <w:pPr>
        <w:jc w:val="both"/>
        <w:ind w:left="380" w:right="380" w:firstLine="426"/>
        <w:spacing w:after="0" w:line="288" w:lineRule="auto"/>
        <w:rPr>
          <w:sz w:val="20"/>
          <w:szCs w:val="20"/>
          <w:color w:val="auto"/>
        </w:rPr>
      </w:pPr>
      <w:r>
        <w:rPr>
          <w:rFonts w:ascii="Arial" w:cs="Arial" w:eastAsia="Arial" w:hAnsi="Arial"/>
          <w:sz w:val="16"/>
          <w:szCs w:val="16"/>
          <w:color w:val="auto"/>
        </w:rPr>
        <w:t>Union Pacific Corporation owns Union Pacific Railroad Company, its principal operating subsidiary and one of America’s most recognized companies. Union Pacific Railroad Company links 23 states in the western two-thirds of the country by rail, providing a critical link in the global supply chain. Union Pacific Railroad Company’s diversified business mix includes Agricultural Products, Energy, Industrial and Premium.</w:t>
      </w:r>
    </w:p>
    <w:p>
      <w:pPr>
        <w:ind w:left="380" w:right="380"/>
        <w:spacing w:after="0" w:line="254" w:lineRule="auto"/>
        <w:rPr>
          <w:sz w:val="20"/>
          <w:szCs w:val="20"/>
          <w:color w:val="auto"/>
        </w:rPr>
      </w:pPr>
      <w:r>
        <w:rPr>
          <w:rFonts w:ascii="Arial" w:cs="Arial" w:eastAsia="Arial" w:hAnsi="Arial"/>
          <w:sz w:val="18"/>
          <w:szCs w:val="18"/>
          <w:color w:val="auto"/>
        </w:rPr>
        <w:t>Effective January 1, 2020, the Company reclassified its four commodity groups into three: Bulk, Industrial and Premium. It offers competitive routes from all major West Coast and Gulf Coast ports to eastern gateways. Union Pacific Railroad Company serves many of the fastest-growing U.S. population centers, operates from all major West Coast and Gulf Coast ports to eastern gateways, connects with Canada’s rail systems and is the only railroad serving all six major Mexico gateways.</w:t>
      </w:r>
    </w:p>
    <w:p>
      <w:pPr>
        <w:spacing w:after="0" w:line="190" w:lineRule="exact"/>
        <w:rPr>
          <w:sz w:val="20"/>
          <w:szCs w:val="20"/>
          <w:color w:val="auto"/>
        </w:rPr>
      </w:pPr>
    </w:p>
    <w:p>
      <w:pPr>
        <w:ind w:left="380" w:right="220" w:firstLine="426"/>
        <w:spacing w:after="0" w:line="264" w:lineRule="auto"/>
        <w:rPr>
          <w:sz w:val="20"/>
          <w:szCs w:val="20"/>
          <w:color w:val="auto"/>
        </w:rPr>
      </w:pPr>
      <w:r>
        <w:rPr>
          <w:rFonts w:ascii="Arial" w:cs="Arial" w:eastAsia="Arial" w:hAnsi="Arial"/>
          <w:sz w:val="18"/>
          <w:szCs w:val="18"/>
          <w:color w:val="auto"/>
        </w:rPr>
        <w:t>Union Pacific Corporation was incorporated in Utah in 1969 and maintains its principal executive offices at 1400 Douglas Street, Omaha, NE 68179. The telephone number at that address is (402) 544-5000. The common stock of Union Pacific Corporation is listed on the New York Stock Exchange under the symbol “UNP”.</w:t>
      </w:r>
    </w:p>
    <w:p>
      <w:pPr>
        <w:spacing w:after="0" w:line="181" w:lineRule="exact"/>
        <w:rPr>
          <w:sz w:val="20"/>
          <w:szCs w:val="20"/>
          <w:color w:val="auto"/>
        </w:rPr>
      </w:pPr>
    </w:p>
    <w:p>
      <w:pPr>
        <w:ind w:left="380" w:right="600" w:firstLine="426"/>
        <w:spacing w:after="0" w:line="279" w:lineRule="auto"/>
        <w:rPr>
          <w:sz w:val="20"/>
          <w:szCs w:val="20"/>
          <w:color w:val="auto"/>
        </w:rPr>
      </w:pPr>
      <w:r>
        <w:rPr>
          <w:rFonts w:ascii="Arial" w:cs="Arial" w:eastAsia="Arial" w:hAnsi="Arial"/>
          <w:sz w:val="17"/>
          <w:szCs w:val="17"/>
          <w:color w:val="auto"/>
        </w:rPr>
        <w:t>We will, upon request, provide without charge to each person to whom this prospectus is delivered a copy of any or all of the documents incorporated or deemed to be incorporated by reference into this prospectus (other than exhibits to such documents, unless such exhibits are specifically incorporated by reference into such documents). Written or oral requests should be directed to: Union Pacific Corporation, 1400 Douglas Street, Omaha, Nebraska 68179, Attention: Corporate Secretary (telephone (402) 544-5000).</w:t>
      </w:r>
    </w:p>
    <w:p>
      <w:pPr>
        <w:spacing w:after="0" w:line="27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8340" w:type="dxa"/>
            <w:vAlign w:val="bottom"/>
          </w:tcPr>
          <w:p>
            <w:pPr>
              <w:ind w:left="1060"/>
              <w:spacing w:after="0"/>
              <w:rPr>
                <w:sz w:val="20"/>
                <w:szCs w:val="20"/>
                <w:color w:val="auto"/>
              </w:rPr>
            </w:pPr>
            <w:r>
              <w:rPr>
                <w:rFonts w:ascii="Arial" w:cs="Arial" w:eastAsia="Arial" w:hAnsi="Arial"/>
                <w:sz w:val="18"/>
                <w:szCs w:val="18"/>
                <w:b w:val="1"/>
                <w:bCs w:val="1"/>
                <w:color w:val="auto"/>
              </w:rPr>
              <w:t>Summary of the Terms of the Exchange Offer</w:t>
            </w:r>
          </w:p>
        </w:tc>
      </w:tr>
      <w:tr>
        <w:trPr>
          <w:trHeight w:val="323"/>
        </w:trPr>
        <w:tc>
          <w:tcPr>
            <w:tcW w:w="2700" w:type="dxa"/>
            <w:vAlign w:val="bottom"/>
          </w:tcPr>
          <w:p>
            <w:pPr>
              <w:ind w:left="180"/>
              <w:spacing w:after="0"/>
              <w:rPr>
                <w:sz w:val="20"/>
                <w:szCs w:val="20"/>
                <w:color w:val="auto"/>
              </w:rPr>
            </w:pPr>
            <w:r>
              <w:rPr>
                <w:rFonts w:ascii="Arial" w:cs="Arial" w:eastAsia="Arial" w:hAnsi="Arial"/>
                <w:sz w:val="18"/>
                <w:szCs w:val="18"/>
                <w:color w:val="auto"/>
              </w:rPr>
              <w:t>Background</w:t>
            </w:r>
          </w:p>
        </w:tc>
        <w:tc>
          <w:tcPr>
            <w:tcW w:w="8340" w:type="dxa"/>
            <w:vAlign w:val="bottom"/>
          </w:tcPr>
          <w:p>
            <w:pPr>
              <w:ind w:left="1520"/>
              <w:spacing w:after="0"/>
              <w:rPr>
                <w:sz w:val="20"/>
                <w:szCs w:val="20"/>
                <w:color w:val="auto"/>
              </w:rPr>
            </w:pPr>
            <w:r>
              <w:rPr>
                <w:rFonts w:ascii="Arial" w:cs="Arial" w:eastAsia="Arial" w:hAnsi="Arial"/>
                <w:sz w:val="18"/>
                <w:szCs w:val="18"/>
                <w:color w:val="auto"/>
              </w:rPr>
              <w:t>On November 20, 2019, we completed private offers to exchange certain of our</w:t>
            </w:r>
          </w:p>
        </w:tc>
      </w:tr>
      <w:tr>
        <w:trPr>
          <w:trHeight w:val="216"/>
        </w:trPr>
        <w:tc>
          <w:tcPr>
            <w:tcW w:w="2700" w:type="dxa"/>
            <w:vAlign w:val="bottom"/>
          </w:tcPr>
          <w:p>
            <w:pPr>
              <w:spacing w:after="0"/>
              <w:rPr>
                <w:sz w:val="18"/>
                <w:szCs w:val="18"/>
                <w:color w:val="auto"/>
              </w:rPr>
            </w:pPr>
          </w:p>
        </w:tc>
        <w:tc>
          <w:tcPr>
            <w:tcW w:w="8340" w:type="dxa"/>
            <w:vAlign w:val="bottom"/>
          </w:tcPr>
          <w:p>
            <w:pPr>
              <w:ind w:left="1520"/>
              <w:spacing w:after="0"/>
              <w:rPr>
                <w:sz w:val="20"/>
                <w:szCs w:val="20"/>
                <w:color w:val="auto"/>
              </w:rPr>
            </w:pPr>
            <w:r>
              <w:rPr>
                <w:rFonts w:ascii="Arial" w:cs="Arial" w:eastAsia="Arial" w:hAnsi="Arial"/>
                <w:sz w:val="18"/>
                <w:szCs w:val="18"/>
                <w:color w:val="auto"/>
                <w:w w:val="95"/>
              </w:rPr>
              <w:t>outstanding debt securities for $1,841,950,000 aggregate principal amount of the Original</w:t>
            </w:r>
          </w:p>
        </w:tc>
      </w:tr>
      <w:tr>
        <w:trPr>
          <w:trHeight w:val="216"/>
        </w:trPr>
        <w:tc>
          <w:tcPr>
            <w:tcW w:w="2700" w:type="dxa"/>
            <w:vAlign w:val="bottom"/>
          </w:tcPr>
          <w:p>
            <w:pPr>
              <w:spacing w:after="0"/>
              <w:rPr>
                <w:sz w:val="18"/>
                <w:szCs w:val="18"/>
                <w:color w:val="auto"/>
              </w:rPr>
            </w:pPr>
          </w:p>
        </w:tc>
        <w:tc>
          <w:tcPr>
            <w:tcW w:w="8340" w:type="dxa"/>
            <w:vAlign w:val="bottom"/>
          </w:tcPr>
          <w:p>
            <w:pPr>
              <w:ind w:left="1520"/>
              <w:spacing w:after="0"/>
              <w:rPr>
                <w:sz w:val="20"/>
                <w:szCs w:val="20"/>
                <w:color w:val="auto"/>
              </w:rPr>
            </w:pPr>
            <w:r>
              <w:rPr>
                <w:rFonts w:ascii="Arial" w:cs="Arial" w:eastAsia="Arial" w:hAnsi="Arial"/>
                <w:sz w:val="18"/>
                <w:szCs w:val="18"/>
                <w:color w:val="auto"/>
              </w:rPr>
              <w:t>Notes and cash. In connection with the private offers to exchange, we entered into a</w:t>
            </w:r>
          </w:p>
        </w:tc>
      </w:tr>
      <w:tr>
        <w:trPr>
          <w:trHeight w:val="216"/>
        </w:trPr>
        <w:tc>
          <w:tcPr>
            <w:tcW w:w="2700" w:type="dxa"/>
            <w:vAlign w:val="bottom"/>
          </w:tcPr>
          <w:p>
            <w:pPr>
              <w:spacing w:after="0"/>
              <w:rPr>
                <w:sz w:val="18"/>
                <w:szCs w:val="18"/>
                <w:color w:val="auto"/>
              </w:rPr>
            </w:pPr>
          </w:p>
        </w:tc>
        <w:tc>
          <w:tcPr>
            <w:tcW w:w="8340" w:type="dxa"/>
            <w:vAlign w:val="bottom"/>
          </w:tcPr>
          <w:p>
            <w:pPr>
              <w:ind w:left="1520"/>
              <w:spacing w:after="0"/>
              <w:rPr>
                <w:sz w:val="20"/>
                <w:szCs w:val="20"/>
                <w:color w:val="auto"/>
              </w:rPr>
            </w:pPr>
            <w:r>
              <w:rPr>
                <w:rFonts w:ascii="Arial" w:cs="Arial" w:eastAsia="Arial" w:hAnsi="Arial"/>
                <w:sz w:val="18"/>
                <w:szCs w:val="18"/>
                <w:color w:val="auto"/>
                <w:w w:val="97"/>
              </w:rPr>
              <w:t>registration rights agreement (the “Registration Rights Agreement”) in which we agreed,</w:t>
            </w:r>
          </w:p>
        </w:tc>
      </w:tr>
      <w:tr>
        <w:trPr>
          <w:trHeight w:val="230"/>
        </w:trPr>
        <w:tc>
          <w:tcPr>
            <w:tcW w:w="2700" w:type="dxa"/>
            <w:vAlign w:val="bottom"/>
          </w:tcPr>
          <w:p>
            <w:pPr>
              <w:spacing w:after="0"/>
              <w:rPr>
                <w:sz w:val="20"/>
                <w:szCs w:val="20"/>
                <w:color w:val="auto"/>
              </w:rPr>
            </w:pPr>
          </w:p>
        </w:tc>
        <w:tc>
          <w:tcPr>
            <w:tcW w:w="8340" w:type="dxa"/>
            <w:vAlign w:val="bottom"/>
          </w:tcPr>
          <w:p>
            <w:pPr>
              <w:ind w:left="1520"/>
              <w:spacing w:after="0"/>
              <w:rPr>
                <w:sz w:val="20"/>
                <w:szCs w:val="20"/>
                <w:color w:val="auto"/>
              </w:rPr>
            </w:pPr>
            <w:r>
              <w:rPr>
                <w:rFonts w:ascii="Arial" w:cs="Arial" w:eastAsia="Arial" w:hAnsi="Arial"/>
                <w:sz w:val="18"/>
                <w:szCs w:val="18"/>
                <w:color w:val="auto"/>
              </w:rPr>
              <w:t>among other things, to conduct an exchange offer for the Original Notes.</w:t>
            </w:r>
          </w:p>
        </w:tc>
      </w:tr>
      <w:tr>
        <w:trPr>
          <w:trHeight w:val="445"/>
        </w:trPr>
        <w:tc>
          <w:tcPr>
            <w:tcW w:w="2700" w:type="dxa"/>
            <w:vAlign w:val="bottom"/>
          </w:tcPr>
          <w:p>
            <w:pPr>
              <w:ind w:left="180"/>
              <w:spacing w:after="0"/>
              <w:rPr>
                <w:sz w:val="20"/>
                <w:szCs w:val="20"/>
                <w:color w:val="auto"/>
              </w:rPr>
            </w:pPr>
            <w:r>
              <w:rPr>
                <w:rFonts w:ascii="Arial" w:cs="Arial" w:eastAsia="Arial" w:hAnsi="Arial"/>
                <w:sz w:val="18"/>
                <w:szCs w:val="18"/>
                <w:color w:val="auto"/>
              </w:rPr>
              <w:t>The Exchange Offer</w:t>
            </w:r>
          </w:p>
        </w:tc>
        <w:tc>
          <w:tcPr>
            <w:tcW w:w="8340" w:type="dxa"/>
            <w:vAlign w:val="bottom"/>
          </w:tcPr>
          <w:p>
            <w:pPr>
              <w:ind w:left="1520"/>
              <w:spacing w:after="0"/>
              <w:rPr>
                <w:sz w:val="20"/>
                <w:szCs w:val="20"/>
                <w:color w:val="auto"/>
              </w:rPr>
            </w:pPr>
            <w:r>
              <w:rPr>
                <w:rFonts w:ascii="Arial" w:cs="Arial" w:eastAsia="Arial" w:hAnsi="Arial"/>
                <w:sz w:val="18"/>
                <w:szCs w:val="18"/>
                <w:color w:val="auto"/>
                <w:w w:val="97"/>
              </w:rPr>
              <w:t>We are offering to exchange our Exchange Notes which have been registered under the</w:t>
            </w:r>
          </w:p>
        </w:tc>
      </w:tr>
      <w:tr>
        <w:trPr>
          <w:trHeight w:val="216"/>
        </w:trPr>
        <w:tc>
          <w:tcPr>
            <w:tcW w:w="2700" w:type="dxa"/>
            <w:vAlign w:val="bottom"/>
          </w:tcPr>
          <w:p>
            <w:pPr>
              <w:spacing w:after="0"/>
              <w:rPr>
                <w:sz w:val="18"/>
                <w:szCs w:val="18"/>
                <w:color w:val="auto"/>
              </w:rPr>
            </w:pPr>
          </w:p>
        </w:tc>
        <w:tc>
          <w:tcPr>
            <w:tcW w:w="8340" w:type="dxa"/>
            <w:vAlign w:val="bottom"/>
          </w:tcPr>
          <w:p>
            <w:pPr>
              <w:ind w:left="1520"/>
              <w:spacing w:after="0"/>
              <w:rPr>
                <w:sz w:val="20"/>
                <w:szCs w:val="20"/>
                <w:color w:val="auto"/>
              </w:rPr>
            </w:pPr>
            <w:r>
              <w:rPr>
                <w:rFonts w:ascii="Arial" w:cs="Arial" w:eastAsia="Arial" w:hAnsi="Arial"/>
                <w:sz w:val="18"/>
                <w:szCs w:val="18"/>
                <w:color w:val="auto"/>
                <w:w w:val="97"/>
              </w:rPr>
              <w:t>Securities Act for a like principal amount of our outstanding, unregistered Original Notes</w:t>
            </w:r>
          </w:p>
        </w:tc>
      </w:tr>
      <w:tr>
        <w:trPr>
          <w:trHeight w:val="216"/>
        </w:trPr>
        <w:tc>
          <w:tcPr>
            <w:tcW w:w="2700" w:type="dxa"/>
            <w:vAlign w:val="bottom"/>
          </w:tcPr>
          <w:p>
            <w:pPr>
              <w:spacing w:after="0"/>
              <w:rPr>
                <w:sz w:val="18"/>
                <w:szCs w:val="18"/>
                <w:color w:val="auto"/>
              </w:rPr>
            </w:pPr>
          </w:p>
        </w:tc>
        <w:tc>
          <w:tcPr>
            <w:tcW w:w="8340" w:type="dxa"/>
            <w:vAlign w:val="bottom"/>
          </w:tcPr>
          <w:p>
            <w:pPr>
              <w:ind w:left="1520"/>
              <w:spacing w:after="0"/>
              <w:rPr>
                <w:sz w:val="20"/>
                <w:szCs w:val="20"/>
                <w:color w:val="auto"/>
              </w:rPr>
            </w:pPr>
            <w:r>
              <w:rPr>
                <w:rFonts w:ascii="Arial" w:cs="Arial" w:eastAsia="Arial" w:hAnsi="Arial"/>
                <w:sz w:val="18"/>
                <w:szCs w:val="18"/>
                <w:color w:val="auto"/>
                <w:w w:val="94"/>
              </w:rPr>
              <w:t>(the “Exchange Offer”). Original Notes may only be tendered in an amount equal to $1,000</w:t>
            </w:r>
          </w:p>
        </w:tc>
      </w:tr>
      <w:tr>
        <w:trPr>
          <w:trHeight w:val="216"/>
        </w:trPr>
        <w:tc>
          <w:tcPr>
            <w:tcW w:w="2700" w:type="dxa"/>
            <w:vAlign w:val="bottom"/>
          </w:tcPr>
          <w:p>
            <w:pPr>
              <w:spacing w:after="0"/>
              <w:rPr>
                <w:sz w:val="18"/>
                <w:szCs w:val="18"/>
                <w:color w:val="auto"/>
              </w:rPr>
            </w:pPr>
          </w:p>
        </w:tc>
        <w:tc>
          <w:tcPr>
            <w:tcW w:w="8340" w:type="dxa"/>
            <w:vAlign w:val="bottom"/>
          </w:tcPr>
          <w:p>
            <w:pPr>
              <w:ind w:left="1520"/>
              <w:spacing w:after="0"/>
              <w:rPr>
                <w:sz w:val="20"/>
                <w:szCs w:val="20"/>
                <w:color w:val="auto"/>
              </w:rPr>
            </w:pPr>
            <w:r>
              <w:rPr>
                <w:rFonts w:ascii="Arial" w:cs="Arial" w:eastAsia="Arial" w:hAnsi="Arial"/>
                <w:sz w:val="18"/>
                <w:szCs w:val="18"/>
                <w:color w:val="auto"/>
                <w:w w:val="94"/>
              </w:rPr>
              <w:t>in principal amount or in integral multiples of $1,000 in excess thereof. See “The Exchange</w:t>
            </w:r>
          </w:p>
        </w:tc>
      </w:tr>
      <w:tr>
        <w:trPr>
          <w:trHeight w:val="230"/>
        </w:trPr>
        <w:tc>
          <w:tcPr>
            <w:tcW w:w="2700" w:type="dxa"/>
            <w:vAlign w:val="bottom"/>
          </w:tcPr>
          <w:p>
            <w:pPr>
              <w:spacing w:after="0"/>
              <w:rPr>
                <w:sz w:val="20"/>
                <w:szCs w:val="20"/>
                <w:color w:val="auto"/>
              </w:rPr>
            </w:pPr>
          </w:p>
        </w:tc>
        <w:tc>
          <w:tcPr>
            <w:tcW w:w="8340" w:type="dxa"/>
            <w:vAlign w:val="bottom"/>
          </w:tcPr>
          <w:p>
            <w:pPr>
              <w:ind w:left="1520"/>
              <w:spacing w:after="0"/>
              <w:rPr>
                <w:sz w:val="20"/>
                <w:szCs w:val="20"/>
                <w:color w:val="auto"/>
              </w:rPr>
            </w:pPr>
            <w:r>
              <w:rPr>
                <w:rFonts w:ascii="Arial" w:cs="Arial" w:eastAsia="Arial" w:hAnsi="Arial"/>
                <w:sz w:val="18"/>
                <w:szCs w:val="18"/>
                <w:color w:val="auto"/>
              </w:rPr>
              <w:t>Offer—Terms of the Exchange”.</w:t>
            </w:r>
          </w:p>
        </w:tc>
      </w:tr>
      <w:tr>
        <w:trPr>
          <w:trHeight w:val="240"/>
        </w:trPr>
        <w:tc>
          <w:tcPr>
            <w:tcW w:w="2700" w:type="dxa"/>
            <w:vAlign w:val="bottom"/>
            <w:tcBorders>
              <w:bottom w:val="single" w:sz="8" w:color="auto"/>
            </w:tcBorders>
          </w:tcPr>
          <w:p>
            <w:pPr>
              <w:spacing w:after="0"/>
              <w:rPr>
                <w:sz w:val="20"/>
                <w:szCs w:val="20"/>
                <w:color w:val="auto"/>
              </w:rPr>
            </w:pPr>
          </w:p>
        </w:tc>
        <w:tc>
          <w:tcPr>
            <w:tcW w:w="8340" w:type="dxa"/>
            <w:vAlign w:val="bottom"/>
            <w:tcBorders>
              <w:bottom w:val="single" w:sz="8" w:color="auto"/>
            </w:tcBorders>
          </w:tcPr>
          <w:p>
            <w:pPr>
              <w:spacing w:after="0"/>
              <w:rPr>
                <w:sz w:val="20"/>
                <w:szCs w:val="20"/>
                <w:color w:val="auto"/>
              </w:rPr>
            </w:pPr>
          </w:p>
        </w:tc>
      </w:tr>
      <w:tr>
        <w:trPr>
          <w:trHeight w:val="604"/>
        </w:trPr>
        <w:tc>
          <w:tcPr>
            <w:tcW w:w="2700" w:type="dxa"/>
            <w:vAlign w:val="bottom"/>
          </w:tcPr>
          <w:p>
            <w:pPr>
              <w:spacing w:after="0"/>
              <w:rPr>
                <w:sz w:val="24"/>
                <w:szCs w:val="24"/>
                <w:color w:val="auto"/>
              </w:rPr>
            </w:pPr>
          </w:p>
        </w:tc>
        <w:tc>
          <w:tcPr>
            <w:tcW w:w="8340" w:type="dxa"/>
            <w:vAlign w:val="bottom"/>
          </w:tcPr>
          <w:p>
            <w:pPr>
              <w:ind w:left="2660"/>
              <w:spacing w:after="0"/>
              <w:rPr>
                <w:sz w:val="20"/>
                <w:szCs w:val="20"/>
                <w:color w:val="auto"/>
              </w:rPr>
            </w:pPr>
            <w:r>
              <w:rPr>
                <w:rFonts w:ascii="Arial" w:cs="Arial" w:eastAsia="Arial" w:hAnsi="Arial"/>
                <w:sz w:val="18"/>
                <w:szCs w:val="18"/>
                <w:color w:val="auto"/>
              </w:rPr>
              <w:t>- 1 -</w:t>
            </w:r>
          </w:p>
        </w:tc>
      </w:tr>
    </w:tbl>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416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Resale of Exchange Notes</w:t>
            </w:r>
          </w:p>
        </w:tc>
        <w:tc>
          <w:tcPr>
            <w:tcW w:w="6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5"/>
              </w:rPr>
              <w:t>Based upon the position of the staff of the SEC as described in previous no-action letters,</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we believe that the Exchange Notes issued pursuant to the Exchange Offer in exchange for</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Original Notes may be offered for resale, resold and otherwise transferred by you</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without compliance with the registration and prospectus delivery provisions of the</w:t>
            </w:r>
          </w:p>
        </w:tc>
      </w:tr>
      <w:tr>
        <w:trPr>
          <w:trHeight w:val="230"/>
        </w:trPr>
        <w:tc>
          <w:tcPr>
            <w:tcW w:w="4160" w:type="dxa"/>
            <w:vAlign w:val="bottom"/>
            <w:tcBorders>
              <w:left w:val="single" w:sz="8" w:color="auto"/>
            </w:tcBorders>
          </w:tcPr>
          <w:p>
            <w:pPr>
              <w:spacing w:after="0"/>
              <w:rPr>
                <w:sz w:val="20"/>
                <w:szCs w:val="20"/>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Securities Act, provided that you will acknowledge that:</w:t>
            </w:r>
          </w:p>
        </w:tc>
      </w:tr>
      <w:tr>
        <w:trPr>
          <w:trHeight w:val="338"/>
        </w:trPr>
        <w:tc>
          <w:tcPr>
            <w:tcW w:w="4160" w:type="dxa"/>
            <w:vAlign w:val="bottom"/>
            <w:tcBorders>
              <w:left w:val="single" w:sz="8" w:color="auto"/>
            </w:tcBorders>
          </w:tcPr>
          <w:p>
            <w:pPr>
              <w:spacing w:after="0"/>
              <w:rPr>
                <w:sz w:val="24"/>
                <w:szCs w:val="24"/>
                <w:color w:val="auto"/>
              </w:rPr>
            </w:pPr>
          </w:p>
        </w:tc>
        <w:tc>
          <w:tcPr>
            <w:tcW w:w="68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9"/>
              </w:rPr>
              <w:t>•   you are acquiring the Exchange Notes in the ordinary course of your business;</w:t>
            </w:r>
          </w:p>
        </w:tc>
      </w:tr>
      <w:tr>
        <w:trPr>
          <w:trHeight w:val="323"/>
        </w:trPr>
        <w:tc>
          <w:tcPr>
            <w:tcW w:w="4160" w:type="dxa"/>
            <w:vAlign w:val="bottom"/>
            <w:tcBorders>
              <w:left w:val="single" w:sz="8" w:color="auto"/>
            </w:tcBorders>
          </w:tcPr>
          <w:p>
            <w:pPr>
              <w:spacing w:after="0"/>
              <w:rPr>
                <w:sz w:val="24"/>
                <w:szCs w:val="24"/>
                <w:color w:val="auto"/>
              </w:rPr>
            </w:pPr>
          </w:p>
        </w:tc>
        <w:tc>
          <w:tcPr>
            <w:tcW w:w="68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   you have not participated in, do not intend to participate in, and have no</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w w:val="98"/>
              </w:rPr>
              <w:t>arrangement or understanding with any person to participate in a distribution of</w:t>
            </w:r>
          </w:p>
        </w:tc>
      </w:tr>
      <w:tr>
        <w:trPr>
          <w:trHeight w:val="230"/>
        </w:trPr>
        <w:tc>
          <w:tcPr>
            <w:tcW w:w="4160" w:type="dxa"/>
            <w:vAlign w:val="bottom"/>
            <w:tcBorders>
              <w:left w:val="single" w:sz="8" w:color="auto"/>
            </w:tcBorders>
          </w:tcPr>
          <w:p>
            <w:pPr>
              <w:spacing w:after="0"/>
              <w:rPr>
                <w:sz w:val="20"/>
                <w:szCs w:val="20"/>
                <w:color w:val="auto"/>
              </w:rPr>
            </w:pPr>
          </w:p>
        </w:tc>
        <w:tc>
          <w:tcPr>
            <w:tcW w:w="688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the Exchange Notes; and</w:t>
            </w:r>
          </w:p>
        </w:tc>
      </w:tr>
      <w:tr>
        <w:trPr>
          <w:trHeight w:val="338"/>
        </w:trPr>
        <w:tc>
          <w:tcPr>
            <w:tcW w:w="4160" w:type="dxa"/>
            <w:vAlign w:val="bottom"/>
            <w:tcBorders>
              <w:left w:val="single" w:sz="8" w:color="auto"/>
            </w:tcBorders>
          </w:tcPr>
          <w:p>
            <w:pPr>
              <w:spacing w:after="0"/>
              <w:rPr>
                <w:sz w:val="24"/>
                <w:szCs w:val="24"/>
                <w:color w:val="auto"/>
              </w:rPr>
            </w:pPr>
          </w:p>
        </w:tc>
        <w:tc>
          <w:tcPr>
            <w:tcW w:w="68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   you are not our “affiliate” as defined under Rule 405 of the Securities Act.</w:t>
            </w:r>
          </w:p>
        </w:tc>
      </w:tr>
      <w:tr>
        <w:trPr>
          <w:trHeight w:val="445"/>
        </w:trPr>
        <w:tc>
          <w:tcPr>
            <w:tcW w:w="4160" w:type="dxa"/>
            <w:vAlign w:val="bottom"/>
            <w:tcBorders>
              <w:left w:val="single" w:sz="8" w:color="auto"/>
            </w:tcBorders>
          </w:tcPr>
          <w:p>
            <w:pPr>
              <w:spacing w:after="0"/>
              <w:rPr>
                <w:sz w:val="24"/>
                <w:szCs w:val="24"/>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We do not intend to apply for listing of the Exchange Notes on any securities exchange or</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to seek approval for quotation through an automated quotation system. Accordingly, there</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can be no assurance that an active market will develop upon completion of the Exchange</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Offer or, if developed, that such market will be sustained or as to the liquidity of any</w:t>
            </w:r>
          </w:p>
        </w:tc>
      </w:tr>
      <w:tr>
        <w:trPr>
          <w:trHeight w:val="230"/>
        </w:trPr>
        <w:tc>
          <w:tcPr>
            <w:tcW w:w="4160" w:type="dxa"/>
            <w:vAlign w:val="bottom"/>
            <w:tcBorders>
              <w:left w:val="single" w:sz="8" w:color="auto"/>
            </w:tcBorders>
          </w:tcPr>
          <w:p>
            <w:pPr>
              <w:spacing w:after="0"/>
              <w:rPr>
                <w:sz w:val="20"/>
                <w:szCs w:val="20"/>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market.</w:t>
            </w:r>
          </w:p>
        </w:tc>
      </w:tr>
      <w:tr>
        <w:trPr>
          <w:trHeight w:val="445"/>
        </w:trPr>
        <w:tc>
          <w:tcPr>
            <w:tcW w:w="4160" w:type="dxa"/>
            <w:vAlign w:val="bottom"/>
            <w:tcBorders>
              <w:left w:val="single" w:sz="8" w:color="auto"/>
            </w:tcBorders>
          </w:tcPr>
          <w:p>
            <w:pPr>
              <w:spacing w:after="0"/>
              <w:rPr>
                <w:sz w:val="24"/>
                <w:szCs w:val="24"/>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Each broker-dealer that receives Exchange Notes for its own account in exchange for</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Original Notes, where such Original Notes were acquired by such broker-dealer as a result</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of market-making activities or other trading activities, must acknowledge that it will</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deliver a prospectus in connection with any resale of such Exchange Notes during the 180</w:t>
            </w:r>
          </w:p>
        </w:tc>
      </w:tr>
      <w:tr>
        <w:trPr>
          <w:trHeight w:val="230"/>
        </w:trPr>
        <w:tc>
          <w:tcPr>
            <w:tcW w:w="4160" w:type="dxa"/>
            <w:vAlign w:val="bottom"/>
            <w:tcBorders>
              <w:left w:val="single" w:sz="8" w:color="auto"/>
            </w:tcBorders>
          </w:tcPr>
          <w:p>
            <w:pPr>
              <w:spacing w:after="0"/>
              <w:rPr>
                <w:sz w:val="20"/>
                <w:szCs w:val="20"/>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days after the expiration of the Exchange Offer. See “Plan of Distribution”.</w:t>
            </w:r>
          </w:p>
        </w:tc>
      </w:tr>
      <w:tr>
        <w:trPr>
          <w:trHeight w:val="445"/>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2"/>
              </w:rPr>
              <w:t>Consequences If You Do Not Exchange Your Original</w:t>
            </w: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Original Notes that are not tendered in the Exchange Offer or are not accepted for</w:t>
            </w:r>
          </w:p>
        </w:tc>
      </w:tr>
      <w:tr>
        <w:trPr>
          <w:trHeight w:val="216"/>
        </w:trPr>
        <w:tc>
          <w:tcPr>
            <w:tcW w:w="416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Notes</w:t>
            </w: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8"/>
              </w:rPr>
              <w:t>exchange will continue to bear legends restricting their transfer. You will not be able to</w:t>
            </w:r>
          </w:p>
        </w:tc>
      </w:tr>
      <w:tr>
        <w:trPr>
          <w:trHeight w:val="230"/>
        </w:trPr>
        <w:tc>
          <w:tcPr>
            <w:tcW w:w="4160" w:type="dxa"/>
            <w:vAlign w:val="bottom"/>
            <w:tcBorders>
              <w:left w:val="single" w:sz="8" w:color="auto"/>
            </w:tcBorders>
          </w:tcPr>
          <w:p>
            <w:pPr>
              <w:spacing w:after="0"/>
              <w:rPr>
                <w:sz w:val="20"/>
                <w:szCs w:val="20"/>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offer or sell such Original Notes unless:</w:t>
            </w:r>
          </w:p>
        </w:tc>
      </w:tr>
      <w:tr>
        <w:trPr>
          <w:trHeight w:val="323"/>
        </w:trPr>
        <w:tc>
          <w:tcPr>
            <w:tcW w:w="4160" w:type="dxa"/>
            <w:vAlign w:val="bottom"/>
            <w:tcBorders>
              <w:left w:val="single" w:sz="8" w:color="auto"/>
            </w:tcBorders>
          </w:tcPr>
          <w:p>
            <w:pPr>
              <w:spacing w:after="0"/>
              <w:rPr>
                <w:sz w:val="24"/>
                <w:szCs w:val="24"/>
                <w:color w:val="auto"/>
              </w:rPr>
            </w:pPr>
          </w:p>
        </w:tc>
        <w:tc>
          <w:tcPr>
            <w:tcW w:w="68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6"/>
              </w:rPr>
              <w:t>•   you are able to rely on an exemption from the requirements of the Securities Act;</w:t>
            </w:r>
          </w:p>
        </w:tc>
      </w:tr>
      <w:tr>
        <w:trPr>
          <w:trHeight w:val="230"/>
        </w:trPr>
        <w:tc>
          <w:tcPr>
            <w:tcW w:w="4160" w:type="dxa"/>
            <w:vAlign w:val="bottom"/>
            <w:tcBorders>
              <w:left w:val="single" w:sz="8" w:color="auto"/>
            </w:tcBorders>
          </w:tcPr>
          <w:p>
            <w:pPr>
              <w:spacing w:after="0"/>
              <w:rPr>
                <w:sz w:val="20"/>
                <w:szCs w:val="20"/>
                <w:color w:val="auto"/>
              </w:rPr>
            </w:pPr>
          </w:p>
        </w:tc>
        <w:tc>
          <w:tcPr>
            <w:tcW w:w="688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or</w:t>
            </w:r>
          </w:p>
        </w:tc>
      </w:tr>
      <w:tr>
        <w:trPr>
          <w:trHeight w:val="338"/>
        </w:trPr>
        <w:tc>
          <w:tcPr>
            <w:tcW w:w="4160" w:type="dxa"/>
            <w:vAlign w:val="bottom"/>
            <w:tcBorders>
              <w:left w:val="single" w:sz="8" w:color="auto"/>
            </w:tcBorders>
          </w:tcPr>
          <w:p>
            <w:pPr>
              <w:spacing w:after="0"/>
              <w:rPr>
                <w:sz w:val="24"/>
                <w:szCs w:val="24"/>
                <w:color w:val="auto"/>
              </w:rPr>
            </w:pPr>
          </w:p>
        </w:tc>
        <w:tc>
          <w:tcPr>
            <w:tcW w:w="68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   the Original Notes are registered under the Securities Act.</w:t>
            </w:r>
          </w:p>
        </w:tc>
      </w:tr>
      <w:tr>
        <w:trPr>
          <w:trHeight w:val="445"/>
        </w:trPr>
        <w:tc>
          <w:tcPr>
            <w:tcW w:w="4160" w:type="dxa"/>
            <w:vAlign w:val="bottom"/>
            <w:tcBorders>
              <w:left w:val="single" w:sz="8" w:color="auto"/>
            </w:tcBorders>
          </w:tcPr>
          <w:p>
            <w:pPr>
              <w:spacing w:after="0"/>
              <w:rPr>
                <w:sz w:val="24"/>
                <w:szCs w:val="24"/>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After the Exchange Offer is closed, we will no longer have an obligation to register the</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Original Notes, except under limited circumstances. To the extent that Original Notes are</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tendered and accepted in the Exchange Offer, the trading market for any remaining</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Original Notes will be adversely affected. See “Risk Factors—Risks Relating to the</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Exchange Offer—If you fail to exchange your Original Notes, they will continue to be</w:t>
            </w:r>
          </w:p>
        </w:tc>
      </w:tr>
      <w:tr>
        <w:trPr>
          <w:trHeight w:val="230"/>
        </w:trPr>
        <w:tc>
          <w:tcPr>
            <w:tcW w:w="4160" w:type="dxa"/>
            <w:vAlign w:val="bottom"/>
            <w:tcBorders>
              <w:left w:val="single" w:sz="8" w:color="auto"/>
            </w:tcBorders>
          </w:tcPr>
          <w:p>
            <w:pPr>
              <w:spacing w:after="0"/>
              <w:rPr>
                <w:sz w:val="20"/>
                <w:szCs w:val="20"/>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restricted securities and may become less liquid”.</w:t>
            </w:r>
          </w:p>
        </w:tc>
      </w:tr>
      <w:tr>
        <w:trPr>
          <w:trHeight w:val="240"/>
        </w:trPr>
        <w:tc>
          <w:tcPr>
            <w:tcW w:w="4160" w:type="dxa"/>
            <w:vAlign w:val="bottom"/>
            <w:tcBorders>
              <w:left w:val="single" w:sz="8" w:color="auto"/>
              <w:bottom w:val="single" w:sz="8" w:color="auto"/>
            </w:tcBorders>
          </w:tcPr>
          <w:p>
            <w:pPr>
              <w:spacing w:after="0"/>
              <w:rPr>
                <w:sz w:val="20"/>
                <w:szCs w:val="20"/>
                <w:color w:val="auto"/>
              </w:rPr>
            </w:pPr>
          </w:p>
        </w:tc>
        <w:tc>
          <w:tcPr>
            <w:tcW w:w="6880" w:type="dxa"/>
            <w:vAlign w:val="bottom"/>
            <w:tcBorders>
              <w:bottom w:val="single" w:sz="8" w:color="auto"/>
              <w:right w:val="single" w:sz="8" w:color="auto"/>
            </w:tcBorders>
          </w:tcPr>
          <w:p>
            <w:pPr>
              <w:spacing w:after="0"/>
              <w:rPr>
                <w:sz w:val="20"/>
                <w:szCs w:val="20"/>
                <w:color w:val="auto"/>
              </w:rPr>
            </w:pPr>
          </w:p>
        </w:tc>
      </w:tr>
      <w:tr>
        <w:trPr>
          <w:trHeight w:val="604"/>
        </w:trPr>
        <w:tc>
          <w:tcPr>
            <w:tcW w:w="4160" w:type="dxa"/>
            <w:vAlign w:val="bottom"/>
          </w:tcPr>
          <w:p>
            <w:pPr>
              <w:spacing w:after="0"/>
              <w:rPr>
                <w:sz w:val="24"/>
                <w:szCs w:val="24"/>
                <w:color w:val="auto"/>
              </w:rPr>
            </w:pPr>
          </w:p>
        </w:tc>
        <w:tc>
          <w:tcPr>
            <w:tcW w:w="6880" w:type="dxa"/>
            <w:vAlign w:val="bottom"/>
          </w:tcPr>
          <w:p>
            <w:pPr>
              <w:ind w:left="1200"/>
              <w:spacing w:after="0"/>
              <w:rPr>
                <w:sz w:val="20"/>
                <w:szCs w:val="20"/>
                <w:color w:val="auto"/>
              </w:rPr>
            </w:pPr>
            <w:r>
              <w:rPr>
                <w:rFonts w:ascii="Arial" w:cs="Arial" w:eastAsia="Arial" w:hAnsi="Arial"/>
                <w:sz w:val="18"/>
                <w:szCs w:val="18"/>
                <w:color w:val="auto"/>
              </w:rPr>
              <w:t>- 2 -</w:t>
            </w:r>
          </w:p>
        </w:tc>
      </w:tr>
    </w:tbl>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372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Expiration Date</w:t>
            </w:r>
          </w:p>
        </w:tc>
        <w:tc>
          <w:tcPr>
            <w:tcW w:w="62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The Exchange Offer will expire at 5:00 p.m., New York City time, on</w:t>
            </w:r>
          </w:p>
        </w:tc>
        <w:tc>
          <w:tcPr>
            <w:tcW w:w="104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 unless</w:t>
            </w:r>
          </w:p>
        </w:tc>
      </w:tr>
      <w:tr>
        <w:trPr>
          <w:trHeight w:val="216"/>
        </w:trPr>
        <w:tc>
          <w:tcPr>
            <w:tcW w:w="372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6"/>
              </w:rPr>
              <w:t>we extend the Exchange Offer. See “The Exchange Offer—Expiration Date; Extensions;</w:t>
            </w:r>
          </w:p>
        </w:tc>
      </w:tr>
      <w:tr>
        <w:trPr>
          <w:trHeight w:val="230"/>
        </w:trPr>
        <w:tc>
          <w:tcPr>
            <w:tcW w:w="3720" w:type="dxa"/>
            <w:vAlign w:val="bottom"/>
            <w:tcBorders>
              <w:left w:val="single" w:sz="8" w:color="auto"/>
            </w:tcBorders>
          </w:tcPr>
          <w:p>
            <w:pPr>
              <w:spacing w:after="0"/>
              <w:rPr>
                <w:sz w:val="20"/>
                <w:szCs w:val="20"/>
                <w:color w:val="auto"/>
              </w:rPr>
            </w:pPr>
          </w:p>
        </w:tc>
        <w:tc>
          <w:tcPr>
            <w:tcW w:w="6280" w:type="dxa"/>
            <w:vAlign w:val="bottom"/>
          </w:tcPr>
          <w:p>
            <w:pPr>
              <w:ind w:left="500"/>
              <w:spacing w:after="0"/>
              <w:rPr>
                <w:sz w:val="20"/>
                <w:szCs w:val="20"/>
                <w:color w:val="auto"/>
              </w:rPr>
            </w:pPr>
            <w:r>
              <w:rPr>
                <w:rFonts w:ascii="Arial" w:cs="Arial" w:eastAsia="Arial" w:hAnsi="Arial"/>
                <w:sz w:val="18"/>
                <w:szCs w:val="18"/>
                <w:color w:val="auto"/>
              </w:rPr>
              <w:t>Amendments”.</w:t>
            </w:r>
          </w:p>
        </w:tc>
        <w:tc>
          <w:tcPr>
            <w:tcW w:w="1040" w:type="dxa"/>
            <w:vAlign w:val="bottom"/>
            <w:tcBorders>
              <w:right w:val="single" w:sz="8" w:color="auto"/>
            </w:tcBorders>
          </w:tcPr>
          <w:p>
            <w:pPr>
              <w:spacing w:after="0"/>
              <w:rPr>
                <w:sz w:val="20"/>
                <w:szCs w:val="20"/>
                <w:color w:val="auto"/>
              </w:rPr>
            </w:pPr>
          </w:p>
        </w:tc>
      </w:tr>
      <w:tr>
        <w:trPr>
          <w:trHeight w:val="445"/>
        </w:trPr>
        <w:tc>
          <w:tcPr>
            <w:tcW w:w="37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Issuance of Exchange Notes</w:t>
            </w:r>
          </w:p>
        </w:tc>
        <w:tc>
          <w:tcPr>
            <w:tcW w:w="732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3"/>
              </w:rPr>
              <w:t>We will issue Exchange Notes in exchange for Original Notes tendered and accepted in the</w:t>
            </w:r>
          </w:p>
        </w:tc>
      </w:tr>
      <w:tr>
        <w:trPr>
          <w:trHeight w:val="216"/>
        </w:trPr>
        <w:tc>
          <w:tcPr>
            <w:tcW w:w="372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6"/>
              </w:rPr>
              <w:t>Exchange Offer promptly following the Expiration Date (unless extended as described in</w:t>
            </w:r>
          </w:p>
        </w:tc>
      </w:tr>
      <w:tr>
        <w:trPr>
          <w:trHeight w:val="230"/>
        </w:trPr>
        <w:tc>
          <w:tcPr>
            <w:tcW w:w="3720" w:type="dxa"/>
            <w:vAlign w:val="bottom"/>
            <w:tcBorders>
              <w:left w:val="single" w:sz="8" w:color="auto"/>
            </w:tcBorders>
          </w:tcPr>
          <w:p>
            <w:pPr>
              <w:spacing w:after="0"/>
              <w:rPr>
                <w:sz w:val="20"/>
                <w:szCs w:val="20"/>
                <w:color w:val="auto"/>
              </w:rPr>
            </w:pPr>
          </w:p>
        </w:tc>
        <w:tc>
          <w:tcPr>
            <w:tcW w:w="6280" w:type="dxa"/>
            <w:vAlign w:val="bottom"/>
          </w:tcPr>
          <w:p>
            <w:pPr>
              <w:ind w:left="500"/>
              <w:spacing w:after="0"/>
              <w:rPr>
                <w:sz w:val="20"/>
                <w:szCs w:val="20"/>
                <w:color w:val="auto"/>
              </w:rPr>
            </w:pPr>
            <w:r>
              <w:rPr>
                <w:rFonts w:ascii="Arial" w:cs="Arial" w:eastAsia="Arial" w:hAnsi="Arial"/>
                <w:sz w:val="18"/>
                <w:szCs w:val="18"/>
                <w:color w:val="auto"/>
              </w:rPr>
              <w:t>this prospectus).</w:t>
            </w:r>
          </w:p>
        </w:tc>
        <w:tc>
          <w:tcPr>
            <w:tcW w:w="1040" w:type="dxa"/>
            <w:vAlign w:val="bottom"/>
            <w:tcBorders>
              <w:right w:val="single" w:sz="8" w:color="auto"/>
            </w:tcBorders>
          </w:tcPr>
          <w:p>
            <w:pPr>
              <w:spacing w:after="0"/>
              <w:rPr>
                <w:sz w:val="20"/>
                <w:szCs w:val="20"/>
                <w:color w:val="auto"/>
              </w:rPr>
            </w:pPr>
          </w:p>
        </w:tc>
      </w:tr>
      <w:tr>
        <w:trPr>
          <w:trHeight w:val="459"/>
        </w:trPr>
        <w:tc>
          <w:tcPr>
            <w:tcW w:w="3720" w:type="dxa"/>
            <w:vAlign w:val="bottom"/>
            <w:tcBorders>
              <w:left w:val="single" w:sz="8" w:color="auto"/>
            </w:tcBorders>
          </w:tcPr>
          <w:p>
            <w:pPr>
              <w:spacing w:after="0"/>
              <w:rPr>
                <w:sz w:val="24"/>
                <w:szCs w:val="24"/>
                <w:color w:val="auto"/>
              </w:rPr>
            </w:pPr>
          </w:p>
        </w:tc>
        <w:tc>
          <w:tcPr>
            <w:tcW w:w="6280" w:type="dxa"/>
            <w:vAlign w:val="bottom"/>
          </w:tcPr>
          <w:p>
            <w:pPr>
              <w:ind w:left="500"/>
              <w:spacing w:after="0"/>
              <w:rPr>
                <w:sz w:val="20"/>
                <w:szCs w:val="20"/>
                <w:color w:val="auto"/>
              </w:rPr>
            </w:pPr>
            <w:r>
              <w:rPr>
                <w:rFonts w:ascii="Arial" w:cs="Arial" w:eastAsia="Arial" w:hAnsi="Arial"/>
                <w:sz w:val="18"/>
                <w:szCs w:val="18"/>
                <w:color w:val="auto"/>
              </w:rPr>
              <w:t>See “The Exchange Offer—Terms of the Exchange”.</w:t>
            </w:r>
          </w:p>
        </w:tc>
        <w:tc>
          <w:tcPr>
            <w:tcW w:w="1040" w:type="dxa"/>
            <w:vAlign w:val="bottom"/>
            <w:tcBorders>
              <w:right w:val="single" w:sz="8" w:color="auto"/>
            </w:tcBorders>
          </w:tcPr>
          <w:p>
            <w:pPr>
              <w:spacing w:after="0"/>
              <w:rPr>
                <w:sz w:val="24"/>
                <w:szCs w:val="24"/>
                <w:color w:val="auto"/>
              </w:rPr>
            </w:pPr>
          </w:p>
        </w:tc>
      </w:tr>
      <w:tr>
        <w:trPr>
          <w:trHeight w:val="445"/>
        </w:trPr>
        <w:tc>
          <w:tcPr>
            <w:tcW w:w="37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Certain Conditions to the Exchange Offer</w:t>
            </w:r>
          </w:p>
        </w:tc>
        <w:tc>
          <w:tcPr>
            <w:tcW w:w="732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7"/>
              </w:rPr>
              <w:t>The Exchange Offer is subject to certain customary conditions, which we may amend or</w:t>
            </w:r>
          </w:p>
        </w:tc>
      </w:tr>
      <w:tr>
        <w:trPr>
          <w:trHeight w:val="216"/>
        </w:trPr>
        <w:tc>
          <w:tcPr>
            <w:tcW w:w="372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waive. The Exchange Offer is not conditioned upon any minimum principal amount of</w:t>
            </w:r>
          </w:p>
        </w:tc>
      </w:tr>
      <w:tr>
        <w:trPr>
          <w:trHeight w:val="216"/>
        </w:trPr>
        <w:tc>
          <w:tcPr>
            <w:tcW w:w="372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4"/>
              </w:rPr>
              <w:t>outstanding notes being tendered. See “The Exchange Offer—Conditions to the Exchange</w:t>
            </w:r>
          </w:p>
        </w:tc>
      </w:tr>
      <w:tr>
        <w:trPr>
          <w:trHeight w:val="230"/>
        </w:trPr>
        <w:tc>
          <w:tcPr>
            <w:tcW w:w="3720" w:type="dxa"/>
            <w:vAlign w:val="bottom"/>
            <w:tcBorders>
              <w:left w:val="single" w:sz="8" w:color="auto"/>
            </w:tcBorders>
          </w:tcPr>
          <w:p>
            <w:pPr>
              <w:spacing w:after="0"/>
              <w:rPr>
                <w:sz w:val="20"/>
                <w:szCs w:val="20"/>
                <w:color w:val="auto"/>
              </w:rPr>
            </w:pPr>
          </w:p>
        </w:tc>
        <w:tc>
          <w:tcPr>
            <w:tcW w:w="6280" w:type="dxa"/>
            <w:vAlign w:val="bottom"/>
          </w:tcPr>
          <w:p>
            <w:pPr>
              <w:ind w:left="500"/>
              <w:spacing w:after="0"/>
              <w:rPr>
                <w:sz w:val="20"/>
                <w:szCs w:val="20"/>
                <w:color w:val="auto"/>
              </w:rPr>
            </w:pPr>
            <w:r>
              <w:rPr>
                <w:rFonts w:ascii="Arial" w:cs="Arial" w:eastAsia="Arial" w:hAnsi="Arial"/>
                <w:sz w:val="18"/>
                <w:szCs w:val="18"/>
                <w:color w:val="auto"/>
              </w:rPr>
              <w:t>Offer”.</w:t>
            </w:r>
          </w:p>
        </w:tc>
        <w:tc>
          <w:tcPr>
            <w:tcW w:w="1040" w:type="dxa"/>
            <w:vAlign w:val="bottom"/>
            <w:tcBorders>
              <w:right w:val="single" w:sz="8" w:color="auto"/>
            </w:tcBorders>
          </w:tcPr>
          <w:p>
            <w:pPr>
              <w:spacing w:after="0"/>
              <w:rPr>
                <w:sz w:val="20"/>
                <w:szCs w:val="20"/>
                <w:color w:val="auto"/>
              </w:rPr>
            </w:pPr>
          </w:p>
        </w:tc>
      </w:tr>
      <w:tr>
        <w:trPr>
          <w:trHeight w:val="445"/>
        </w:trPr>
        <w:tc>
          <w:tcPr>
            <w:tcW w:w="37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Special Procedures for Beneficial Holders</w:t>
            </w:r>
          </w:p>
        </w:tc>
        <w:tc>
          <w:tcPr>
            <w:tcW w:w="732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4"/>
              </w:rPr>
              <w:t>If you beneficially own Original Notes which are registered in the name of a broker, dealer,</w:t>
            </w:r>
          </w:p>
        </w:tc>
      </w:tr>
      <w:tr>
        <w:trPr>
          <w:trHeight w:val="216"/>
        </w:trPr>
        <w:tc>
          <w:tcPr>
            <w:tcW w:w="372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4"/>
              </w:rPr>
              <w:t>commercial bank, trust company or other nominee and you wish to tender in the Exchange</w:t>
            </w:r>
          </w:p>
        </w:tc>
      </w:tr>
      <w:tr>
        <w:trPr>
          <w:trHeight w:val="216"/>
        </w:trPr>
        <w:tc>
          <w:tcPr>
            <w:tcW w:w="372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3"/>
              </w:rPr>
              <w:t>Offer, you should contact the registered holder promptly and instruct such person to tender</w:t>
            </w:r>
          </w:p>
        </w:tc>
      </w:tr>
      <w:tr>
        <w:trPr>
          <w:trHeight w:val="216"/>
        </w:trPr>
        <w:tc>
          <w:tcPr>
            <w:tcW w:w="372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5"/>
              </w:rPr>
              <w:t>on your behalf. If you wish to tender in the Exchange Offer on your own behalf, you must,</w:t>
            </w:r>
          </w:p>
        </w:tc>
      </w:tr>
      <w:tr>
        <w:trPr>
          <w:trHeight w:val="216"/>
        </w:trPr>
        <w:tc>
          <w:tcPr>
            <w:tcW w:w="372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prior to completing and executing the letter of transmittal and delivering your Original</w:t>
            </w:r>
          </w:p>
        </w:tc>
      </w:tr>
      <w:tr>
        <w:trPr>
          <w:trHeight w:val="216"/>
        </w:trPr>
        <w:tc>
          <w:tcPr>
            <w:tcW w:w="372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Notes, either arrange to have the Original Notes registered in your name or obtain a</w:t>
            </w:r>
          </w:p>
        </w:tc>
      </w:tr>
      <w:tr>
        <w:trPr>
          <w:trHeight w:val="216"/>
        </w:trPr>
        <w:tc>
          <w:tcPr>
            <w:tcW w:w="372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properly completed bond power from the registered holder. The transfer of registered</w:t>
            </w:r>
          </w:p>
        </w:tc>
      </w:tr>
      <w:tr>
        <w:trPr>
          <w:trHeight w:val="216"/>
        </w:trPr>
        <w:tc>
          <w:tcPr>
            <w:tcW w:w="372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2"/>
              </w:rPr>
              <w:t>ownership may take a considerable amount of time. See “The Exchange Offer—Procedures</w:t>
            </w:r>
          </w:p>
        </w:tc>
      </w:tr>
      <w:tr>
        <w:trPr>
          <w:trHeight w:val="230"/>
        </w:trPr>
        <w:tc>
          <w:tcPr>
            <w:tcW w:w="3720" w:type="dxa"/>
            <w:vAlign w:val="bottom"/>
            <w:tcBorders>
              <w:left w:val="single" w:sz="8" w:color="auto"/>
            </w:tcBorders>
          </w:tcPr>
          <w:p>
            <w:pPr>
              <w:spacing w:after="0"/>
              <w:rPr>
                <w:sz w:val="20"/>
                <w:szCs w:val="20"/>
                <w:color w:val="auto"/>
              </w:rPr>
            </w:pPr>
          </w:p>
        </w:tc>
        <w:tc>
          <w:tcPr>
            <w:tcW w:w="6280" w:type="dxa"/>
            <w:vAlign w:val="bottom"/>
          </w:tcPr>
          <w:p>
            <w:pPr>
              <w:ind w:left="500"/>
              <w:spacing w:after="0"/>
              <w:rPr>
                <w:sz w:val="20"/>
                <w:szCs w:val="20"/>
                <w:color w:val="auto"/>
              </w:rPr>
            </w:pPr>
            <w:r>
              <w:rPr>
                <w:rFonts w:ascii="Arial" w:cs="Arial" w:eastAsia="Arial" w:hAnsi="Arial"/>
                <w:sz w:val="18"/>
                <w:szCs w:val="18"/>
                <w:color w:val="auto"/>
              </w:rPr>
              <w:t>for Tendering”.</w:t>
            </w:r>
          </w:p>
        </w:tc>
        <w:tc>
          <w:tcPr>
            <w:tcW w:w="1040" w:type="dxa"/>
            <w:vAlign w:val="bottom"/>
            <w:tcBorders>
              <w:right w:val="single" w:sz="8" w:color="auto"/>
            </w:tcBorders>
          </w:tcPr>
          <w:p>
            <w:pPr>
              <w:spacing w:after="0"/>
              <w:rPr>
                <w:sz w:val="20"/>
                <w:szCs w:val="20"/>
                <w:color w:val="auto"/>
              </w:rPr>
            </w:pPr>
          </w:p>
        </w:tc>
      </w:tr>
      <w:tr>
        <w:trPr>
          <w:trHeight w:val="445"/>
        </w:trPr>
        <w:tc>
          <w:tcPr>
            <w:tcW w:w="37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Withdrawal Rights</w:t>
            </w:r>
          </w:p>
        </w:tc>
        <w:tc>
          <w:tcPr>
            <w:tcW w:w="732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8"/>
              </w:rPr>
              <w:t>You may withdraw your tender of Original Notes at any time before the Exchange Offer</w:t>
            </w:r>
          </w:p>
        </w:tc>
      </w:tr>
      <w:tr>
        <w:trPr>
          <w:trHeight w:val="230"/>
        </w:trPr>
        <w:tc>
          <w:tcPr>
            <w:tcW w:w="3720" w:type="dxa"/>
            <w:vAlign w:val="bottom"/>
            <w:tcBorders>
              <w:left w:val="single" w:sz="8" w:color="auto"/>
            </w:tcBorders>
          </w:tcPr>
          <w:p>
            <w:pPr>
              <w:spacing w:after="0"/>
              <w:rPr>
                <w:sz w:val="20"/>
                <w:szCs w:val="20"/>
                <w:color w:val="auto"/>
              </w:rPr>
            </w:pPr>
          </w:p>
        </w:tc>
        <w:tc>
          <w:tcPr>
            <w:tcW w:w="6280" w:type="dxa"/>
            <w:vAlign w:val="bottom"/>
          </w:tcPr>
          <w:p>
            <w:pPr>
              <w:ind w:left="500"/>
              <w:spacing w:after="0"/>
              <w:rPr>
                <w:sz w:val="20"/>
                <w:szCs w:val="20"/>
                <w:color w:val="auto"/>
              </w:rPr>
            </w:pPr>
            <w:r>
              <w:rPr>
                <w:rFonts w:ascii="Arial" w:cs="Arial" w:eastAsia="Arial" w:hAnsi="Arial"/>
                <w:sz w:val="18"/>
                <w:szCs w:val="18"/>
                <w:color w:val="auto"/>
              </w:rPr>
              <w:t>expires. See “The Exchange Offer—Withdrawal of Tenders”.</w:t>
            </w:r>
          </w:p>
        </w:tc>
        <w:tc>
          <w:tcPr>
            <w:tcW w:w="1040" w:type="dxa"/>
            <w:vAlign w:val="bottom"/>
            <w:tcBorders>
              <w:right w:val="single" w:sz="8" w:color="auto"/>
            </w:tcBorders>
          </w:tcPr>
          <w:p>
            <w:pPr>
              <w:spacing w:after="0"/>
              <w:rPr>
                <w:sz w:val="20"/>
                <w:szCs w:val="20"/>
                <w:color w:val="auto"/>
              </w:rPr>
            </w:pPr>
          </w:p>
        </w:tc>
      </w:tr>
      <w:tr>
        <w:trPr>
          <w:trHeight w:val="445"/>
        </w:trPr>
        <w:tc>
          <w:tcPr>
            <w:tcW w:w="37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 Federal Income Tax Consequences</w:t>
            </w:r>
          </w:p>
        </w:tc>
        <w:tc>
          <w:tcPr>
            <w:tcW w:w="732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3"/>
              </w:rPr>
              <w:t>The exchange pursuant to the Exchange Offer generally will not be a taxable event for U.S.</w:t>
            </w:r>
          </w:p>
        </w:tc>
      </w:tr>
      <w:tr>
        <w:trPr>
          <w:trHeight w:val="216"/>
        </w:trPr>
        <w:tc>
          <w:tcPr>
            <w:tcW w:w="3720" w:type="dxa"/>
            <w:vAlign w:val="bottom"/>
            <w:tcBorders>
              <w:left w:val="single" w:sz="8" w:color="auto"/>
            </w:tcBorders>
          </w:tcPr>
          <w:p>
            <w:pPr>
              <w:spacing w:after="0"/>
              <w:rPr>
                <w:sz w:val="18"/>
                <w:szCs w:val="18"/>
                <w:color w:val="auto"/>
              </w:rPr>
            </w:pPr>
          </w:p>
        </w:tc>
        <w:tc>
          <w:tcPr>
            <w:tcW w:w="6280" w:type="dxa"/>
            <w:vAlign w:val="bottom"/>
          </w:tcPr>
          <w:p>
            <w:pPr>
              <w:ind w:left="500"/>
              <w:spacing w:after="0"/>
              <w:rPr>
                <w:sz w:val="20"/>
                <w:szCs w:val="20"/>
                <w:color w:val="auto"/>
              </w:rPr>
            </w:pPr>
            <w:r>
              <w:rPr>
                <w:rFonts w:ascii="Arial" w:cs="Arial" w:eastAsia="Arial" w:hAnsi="Arial"/>
                <w:sz w:val="18"/>
                <w:szCs w:val="18"/>
                <w:color w:val="auto"/>
                <w:w w:val="92"/>
              </w:rPr>
              <w:t>federal income tax purposes. See “Material United States Federal Income Tax</w:t>
            </w:r>
          </w:p>
        </w:tc>
        <w:tc>
          <w:tcPr>
            <w:tcW w:w="1040" w:type="dxa"/>
            <w:vAlign w:val="bottom"/>
            <w:tcBorders>
              <w:right w:val="single" w:sz="8" w:color="auto"/>
            </w:tcBorders>
          </w:tcPr>
          <w:p>
            <w:pPr>
              <w:spacing w:after="0"/>
              <w:rPr>
                <w:sz w:val="18"/>
                <w:szCs w:val="18"/>
                <w:color w:val="auto"/>
              </w:rPr>
            </w:pPr>
          </w:p>
        </w:tc>
      </w:tr>
      <w:tr>
        <w:trPr>
          <w:trHeight w:val="230"/>
        </w:trPr>
        <w:tc>
          <w:tcPr>
            <w:tcW w:w="3720" w:type="dxa"/>
            <w:vAlign w:val="bottom"/>
            <w:tcBorders>
              <w:left w:val="single" w:sz="8" w:color="auto"/>
            </w:tcBorders>
          </w:tcPr>
          <w:p>
            <w:pPr>
              <w:spacing w:after="0"/>
              <w:rPr>
                <w:sz w:val="20"/>
                <w:szCs w:val="20"/>
                <w:color w:val="auto"/>
              </w:rPr>
            </w:pPr>
          </w:p>
        </w:tc>
        <w:tc>
          <w:tcPr>
            <w:tcW w:w="6280" w:type="dxa"/>
            <w:vAlign w:val="bottom"/>
          </w:tcPr>
          <w:p>
            <w:pPr>
              <w:ind w:left="500"/>
              <w:spacing w:after="0"/>
              <w:rPr>
                <w:sz w:val="20"/>
                <w:szCs w:val="20"/>
                <w:color w:val="auto"/>
              </w:rPr>
            </w:pPr>
            <w:r>
              <w:rPr>
                <w:rFonts w:ascii="Arial" w:cs="Arial" w:eastAsia="Arial" w:hAnsi="Arial"/>
                <w:sz w:val="18"/>
                <w:szCs w:val="18"/>
                <w:color w:val="auto"/>
              </w:rPr>
              <w:t>Considerations”.</w:t>
            </w:r>
          </w:p>
        </w:tc>
        <w:tc>
          <w:tcPr>
            <w:tcW w:w="1040" w:type="dxa"/>
            <w:vAlign w:val="bottom"/>
            <w:tcBorders>
              <w:right w:val="single" w:sz="8" w:color="auto"/>
            </w:tcBorders>
          </w:tcPr>
          <w:p>
            <w:pPr>
              <w:spacing w:after="0"/>
              <w:rPr>
                <w:sz w:val="20"/>
                <w:szCs w:val="20"/>
                <w:color w:val="auto"/>
              </w:rPr>
            </w:pPr>
          </w:p>
        </w:tc>
      </w:tr>
      <w:tr>
        <w:trPr>
          <w:trHeight w:val="445"/>
        </w:trPr>
        <w:tc>
          <w:tcPr>
            <w:tcW w:w="37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32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4"/>
              </w:rPr>
              <w:t>We will not receive any proceeds from the exchange or the issuance of Exchange Notes in</w:t>
            </w:r>
          </w:p>
        </w:tc>
      </w:tr>
      <w:tr>
        <w:trPr>
          <w:trHeight w:val="230"/>
        </w:trPr>
        <w:tc>
          <w:tcPr>
            <w:tcW w:w="3720" w:type="dxa"/>
            <w:vAlign w:val="bottom"/>
            <w:tcBorders>
              <w:left w:val="single" w:sz="8" w:color="auto"/>
            </w:tcBorders>
          </w:tcPr>
          <w:p>
            <w:pPr>
              <w:spacing w:after="0"/>
              <w:rPr>
                <w:sz w:val="20"/>
                <w:szCs w:val="20"/>
                <w:color w:val="auto"/>
              </w:rPr>
            </w:pPr>
          </w:p>
        </w:tc>
        <w:tc>
          <w:tcPr>
            <w:tcW w:w="6280" w:type="dxa"/>
            <w:vAlign w:val="bottom"/>
          </w:tcPr>
          <w:p>
            <w:pPr>
              <w:ind w:left="500"/>
              <w:spacing w:after="0"/>
              <w:rPr>
                <w:sz w:val="20"/>
                <w:szCs w:val="20"/>
                <w:color w:val="auto"/>
              </w:rPr>
            </w:pPr>
            <w:r>
              <w:rPr>
                <w:rFonts w:ascii="Arial" w:cs="Arial" w:eastAsia="Arial" w:hAnsi="Arial"/>
                <w:sz w:val="18"/>
                <w:szCs w:val="18"/>
                <w:color w:val="auto"/>
              </w:rPr>
              <w:t>connection with the Exchange Offer.</w:t>
            </w:r>
          </w:p>
        </w:tc>
        <w:tc>
          <w:tcPr>
            <w:tcW w:w="1040" w:type="dxa"/>
            <w:vAlign w:val="bottom"/>
            <w:tcBorders>
              <w:right w:val="single" w:sz="8" w:color="auto"/>
            </w:tcBorders>
          </w:tcPr>
          <w:p>
            <w:pPr>
              <w:spacing w:after="0"/>
              <w:rPr>
                <w:sz w:val="20"/>
                <w:szCs w:val="20"/>
                <w:color w:val="auto"/>
              </w:rPr>
            </w:pPr>
          </w:p>
        </w:tc>
      </w:tr>
      <w:tr>
        <w:trPr>
          <w:trHeight w:val="445"/>
        </w:trPr>
        <w:tc>
          <w:tcPr>
            <w:tcW w:w="37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Exchange Agent</w:t>
            </w:r>
          </w:p>
        </w:tc>
        <w:tc>
          <w:tcPr>
            <w:tcW w:w="732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The Bank of New York Mellon Trust Company, N.A. is serving as exchange agent in</w:t>
            </w:r>
          </w:p>
        </w:tc>
      </w:tr>
      <w:tr>
        <w:trPr>
          <w:trHeight w:val="230"/>
        </w:trPr>
        <w:tc>
          <w:tcPr>
            <w:tcW w:w="3720" w:type="dxa"/>
            <w:vAlign w:val="bottom"/>
            <w:tcBorders>
              <w:left w:val="single" w:sz="8" w:color="auto"/>
            </w:tcBorders>
          </w:tcPr>
          <w:p>
            <w:pPr>
              <w:spacing w:after="0"/>
              <w:rPr>
                <w:sz w:val="20"/>
                <w:szCs w:val="20"/>
                <w:color w:val="auto"/>
              </w:rPr>
            </w:pPr>
          </w:p>
        </w:tc>
        <w:tc>
          <w:tcPr>
            <w:tcW w:w="6280" w:type="dxa"/>
            <w:vAlign w:val="bottom"/>
          </w:tcPr>
          <w:p>
            <w:pPr>
              <w:ind w:left="500"/>
              <w:spacing w:after="0"/>
              <w:rPr>
                <w:sz w:val="20"/>
                <w:szCs w:val="20"/>
                <w:color w:val="auto"/>
              </w:rPr>
            </w:pPr>
            <w:r>
              <w:rPr>
                <w:rFonts w:ascii="Arial" w:cs="Arial" w:eastAsia="Arial" w:hAnsi="Arial"/>
                <w:sz w:val="18"/>
                <w:szCs w:val="18"/>
                <w:color w:val="auto"/>
              </w:rPr>
              <w:t>connection with the Exchange Offer.</w:t>
            </w:r>
          </w:p>
        </w:tc>
        <w:tc>
          <w:tcPr>
            <w:tcW w:w="1040" w:type="dxa"/>
            <w:vAlign w:val="bottom"/>
            <w:tcBorders>
              <w:right w:val="single" w:sz="8" w:color="auto"/>
            </w:tcBorders>
          </w:tcPr>
          <w:p>
            <w:pPr>
              <w:spacing w:after="0"/>
              <w:rPr>
                <w:sz w:val="20"/>
                <w:szCs w:val="20"/>
                <w:color w:val="auto"/>
              </w:rPr>
            </w:pPr>
          </w:p>
        </w:tc>
      </w:tr>
      <w:tr>
        <w:trPr>
          <w:trHeight w:val="240"/>
        </w:trPr>
        <w:tc>
          <w:tcPr>
            <w:tcW w:w="3720" w:type="dxa"/>
            <w:vAlign w:val="bottom"/>
            <w:tcBorders>
              <w:left w:val="single" w:sz="8" w:color="auto"/>
              <w:bottom w:val="single" w:sz="8" w:color="auto"/>
            </w:tcBorders>
          </w:tcPr>
          <w:p>
            <w:pPr>
              <w:spacing w:after="0"/>
              <w:rPr>
                <w:sz w:val="20"/>
                <w:szCs w:val="20"/>
                <w:color w:val="auto"/>
              </w:rPr>
            </w:pPr>
          </w:p>
        </w:tc>
        <w:tc>
          <w:tcPr>
            <w:tcW w:w="628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r>
      <w:tr>
        <w:trPr>
          <w:trHeight w:val="604"/>
        </w:trPr>
        <w:tc>
          <w:tcPr>
            <w:tcW w:w="3720" w:type="dxa"/>
            <w:vAlign w:val="bottom"/>
          </w:tcPr>
          <w:p>
            <w:pPr>
              <w:spacing w:after="0"/>
              <w:rPr>
                <w:sz w:val="24"/>
                <w:szCs w:val="24"/>
                <w:color w:val="auto"/>
              </w:rPr>
            </w:pPr>
          </w:p>
        </w:tc>
        <w:tc>
          <w:tcPr>
            <w:tcW w:w="6280" w:type="dxa"/>
            <w:vAlign w:val="bottom"/>
          </w:tcPr>
          <w:p>
            <w:pPr>
              <w:ind w:left="1640"/>
              <w:spacing w:after="0"/>
              <w:rPr>
                <w:sz w:val="20"/>
                <w:szCs w:val="20"/>
                <w:color w:val="auto"/>
              </w:rPr>
            </w:pPr>
            <w:r>
              <w:rPr>
                <w:rFonts w:ascii="Arial" w:cs="Arial" w:eastAsia="Arial" w:hAnsi="Arial"/>
                <w:sz w:val="18"/>
                <w:szCs w:val="18"/>
                <w:color w:val="auto"/>
              </w:rPr>
              <w:t>- 3 -</w:t>
            </w:r>
          </w:p>
        </w:tc>
        <w:tc>
          <w:tcPr>
            <w:tcW w:w="104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527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002145" cy="58527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of the Terms of the Exchange Notes</w:t>
      </w:r>
    </w:p>
    <w:p>
      <w:pPr>
        <w:spacing w:after="0" w:line="121" w:lineRule="exact"/>
        <w:rPr>
          <w:sz w:val="20"/>
          <w:szCs w:val="20"/>
          <w:color w:val="auto"/>
        </w:rPr>
      </w:pPr>
    </w:p>
    <w:p>
      <w:pPr>
        <w:ind w:left="380" w:right="220" w:firstLine="426"/>
        <w:spacing w:after="0" w:line="259" w:lineRule="auto"/>
        <w:rPr>
          <w:sz w:val="20"/>
          <w:szCs w:val="20"/>
          <w:color w:val="auto"/>
        </w:rPr>
      </w:pPr>
      <w:r>
        <w:rPr>
          <w:rFonts w:ascii="Arial" w:cs="Arial" w:eastAsia="Arial" w:hAnsi="Arial"/>
          <w:sz w:val="18"/>
          <w:szCs w:val="18"/>
          <w:color w:val="auto"/>
        </w:rPr>
        <w:t>The following summary contains basic information about the Exchange Notes, and is not intended to be complete. Other than the restrictions on transfer and registration rights and special interest provisions, the Exchange Notes will have the same financial terms and covenants as the Original Notes. For a more complete understanding of the Exchange Notes, please refer to the section entitled “Description of the Exchange Notes” in this prospectus.</w:t>
      </w: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560" w:type="dxa"/>
            <w:vAlign w:val="bottom"/>
          </w:tcPr>
          <w:p>
            <w:pPr>
              <w:ind w:left="180"/>
              <w:spacing w:after="0"/>
              <w:rPr>
                <w:sz w:val="20"/>
                <w:szCs w:val="20"/>
                <w:color w:val="auto"/>
              </w:rPr>
            </w:pPr>
            <w:r>
              <w:rPr>
                <w:rFonts w:ascii="Arial" w:cs="Arial" w:eastAsia="Arial" w:hAnsi="Arial"/>
                <w:sz w:val="18"/>
                <w:szCs w:val="18"/>
                <w:color w:val="auto"/>
              </w:rPr>
              <w:t>Issuer</w:t>
            </w:r>
          </w:p>
        </w:tc>
        <w:tc>
          <w:tcPr>
            <w:tcW w:w="7480" w:type="dxa"/>
            <w:vAlign w:val="bottom"/>
          </w:tcPr>
          <w:p>
            <w:pPr>
              <w:ind w:left="660"/>
              <w:spacing w:after="0"/>
              <w:rPr>
                <w:sz w:val="20"/>
                <w:szCs w:val="20"/>
                <w:color w:val="auto"/>
              </w:rPr>
            </w:pPr>
            <w:r>
              <w:rPr>
                <w:rFonts w:ascii="Arial" w:cs="Arial" w:eastAsia="Arial" w:hAnsi="Arial"/>
                <w:sz w:val="18"/>
                <w:szCs w:val="18"/>
                <w:color w:val="auto"/>
              </w:rPr>
              <w:t>Union Pacific Corporation, a Utah corporation.</w:t>
            </w:r>
          </w:p>
        </w:tc>
      </w:tr>
      <w:tr>
        <w:trPr>
          <w:trHeight w:val="473"/>
        </w:trPr>
        <w:tc>
          <w:tcPr>
            <w:tcW w:w="3560" w:type="dxa"/>
            <w:vAlign w:val="bottom"/>
          </w:tcPr>
          <w:p>
            <w:pPr>
              <w:ind w:left="180"/>
              <w:spacing w:after="0"/>
              <w:rPr>
                <w:sz w:val="20"/>
                <w:szCs w:val="20"/>
                <w:color w:val="auto"/>
              </w:rPr>
            </w:pPr>
            <w:r>
              <w:rPr>
                <w:rFonts w:ascii="Arial" w:cs="Arial" w:eastAsia="Arial" w:hAnsi="Arial"/>
                <w:sz w:val="18"/>
                <w:szCs w:val="18"/>
                <w:color w:val="auto"/>
              </w:rPr>
              <w:t>Securities Offered</w:t>
            </w:r>
          </w:p>
        </w:tc>
        <w:tc>
          <w:tcPr>
            <w:tcW w:w="7480" w:type="dxa"/>
            <w:vAlign w:val="bottom"/>
          </w:tcPr>
          <w:p>
            <w:pPr>
              <w:ind w:left="660"/>
              <w:spacing w:after="0"/>
              <w:rPr>
                <w:sz w:val="20"/>
                <w:szCs w:val="20"/>
                <w:color w:val="auto"/>
              </w:rPr>
            </w:pPr>
            <w:r>
              <w:rPr>
                <w:rFonts w:ascii="Arial" w:cs="Arial" w:eastAsia="Arial" w:hAnsi="Arial"/>
                <w:sz w:val="18"/>
                <w:szCs w:val="18"/>
                <w:color w:val="auto"/>
                <w:w w:val="96"/>
              </w:rPr>
              <w:t>Up to $1,841,950,000 aggregate principal amount of 3.839% notes due March 20, 2060.</w:t>
            </w:r>
          </w:p>
        </w:tc>
      </w:tr>
      <w:tr>
        <w:trPr>
          <w:trHeight w:val="473"/>
        </w:trPr>
        <w:tc>
          <w:tcPr>
            <w:tcW w:w="3560" w:type="dxa"/>
            <w:vAlign w:val="bottom"/>
          </w:tcPr>
          <w:p>
            <w:pPr>
              <w:ind w:left="180"/>
              <w:spacing w:after="0"/>
              <w:rPr>
                <w:sz w:val="20"/>
                <w:szCs w:val="20"/>
                <w:color w:val="auto"/>
              </w:rPr>
            </w:pPr>
            <w:r>
              <w:rPr>
                <w:rFonts w:ascii="Arial" w:cs="Arial" w:eastAsia="Arial" w:hAnsi="Arial"/>
                <w:sz w:val="18"/>
                <w:szCs w:val="18"/>
                <w:color w:val="auto"/>
              </w:rPr>
              <w:t>Maturity Date</w:t>
            </w:r>
          </w:p>
        </w:tc>
        <w:tc>
          <w:tcPr>
            <w:tcW w:w="7480" w:type="dxa"/>
            <w:vAlign w:val="bottom"/>
          </w:tcPr>
          <w:p>
            <w:pPr>
              <w:ind w:left="660"/>
              <w:spacing w:after="0"/>
              <w:rPr>
                <w:sz w:val="20"/>
                <w:szCs w:val="20"/>
                <w:color w:val="auto"/>
              </w:rPr>
            </w:pPr>
            <w:r>
              <w:rPr>
                <w:rFonts w:ascii="Arial" w:cs="Arial" w:eastAsia="Arial" w:hAnsi="Arial"/>
                <w:sz w:val="18"/>
                <w:szCs w:val="18"/>
                <w:color w:val="auto"/>
              </w:rPr>
              <w:t>March 20, 2060.</w:t>
            </w:r>
          </w:p>
        </w:tc>
      </w:tr>
      <w:tr>
        <w:trPr>
          <w:trHeight w:val="458"/>
        </w:trPr>
        <w:tc>
          <w:tcPr>
            <w:tcW w:w="3560" w:type="dxa"/>
            <w:vAlign w:val="bottom"/>
          </w:tcPr>
          <w:p>
            <w:pPr>
              <w:ind w:left="180"/>
              <w:spacing w:after="0"/>
              <w:rPr>
                <w:sz w:val="20"/>
                <w:szCs w:val="20"/>
                <w:color w:val="auto"/>
              </w:rPr>
            </w:pPr>
            <w:r>
              <w:rPr>
                <w:rFonts w:ascii="Arial" w:cs="Arial" w:eastAsia="Arial" w:hAnsi="Arial"/>
                <w:sz w:val="18"/>
                <w:szCs w:val="18"/>
                <w:color w:val="auto"/>
              </w:rPr>
              <w:t>Interest</w:t>
            </w:r>
          </w:p>
        </w:tc>
        <w:tc>
          <w:tcPr>
            <w:tcW w:w="7480" w:type="dxa"/>
            <w:vAlign w:val="bottom"/>
          </w:tcPr>
          <w:p>
            <w:pPr>
              <w:ind w:left="660"/>
              <w:spacing w:after="0"/>
              <w:rPr>
                <w:sz w:val="20"/>
                <w:szCs w:val="20"/>
                <w:color w:val="auto"/>
              </w:rPr>
            </w:pPr>
            <w:r>
              <w:rPr>
                <w:rFonts w:ascii="Arial" w:cs="Arial" w:eastAsia="Arial" w:hAnsi="Arial"/>
                <w:sz w:val="18"/>
                <w:szCs w:val="18"/>
                <w:color w:val="auto"/>
                <w:w w:val="96"/>
              </w:rPr>
              <w:t>The Exchange Notes will bear interest at the rate of 3.839% from the most recent date to</w:t>
            </w:r>
          </w:p>
        </w:tc>
      </w:tr>
      <w:tr>
        <w:trPr>
          <w:trHeight w:val="216"/>
        </w:trPr>
        <w:tc>
          <w:tcPr>
            <w:tcW w:w="3560" w:type="dxa"/>
            <w:vAlign w:val="bottom"/>
          </w:tcPr>
          <w:p>
            <w:pPr>
              <w:spacing w:after="0"/>
              <w:rPr>
                <w:sz w:val="18"/>
                <w:szCs w:val="18"/>
                <w:color w:val="auto"/>
              </w:rPr>
            </w:pPr>
          </w:p>
        </w:tc>
        <w:tc>
          <w:tcPr>
            <w:tcW w:w="7480" w:type="dxa"/>
            <w:vAlign w:val="bottom"/>
          </w:tcPr>
          <w:p>
            <w:pPr>
              <w:ind w:left="660"/>
              <w:spacing w:after="0"/>
              <w:rPr>
                <w:sz w:val="20"/>
                <w:szCs w:val="20"/>
                <w:color w:val="auto"/>
              </w:rPr>
            </w:pPr>
            <w:r>
              <w:rPr>
                <w:rFonts w:ascii="Arial" w:cs="Arial" w:eastAsia="Arial" w:hAnsi="Arial"/>
                <w:sz w:val="18"/>
                <w:szCs w:val="18"/>
                <w:color w:val="auto"/>
                <w:w w:val="96"/>
              </w:rPr>
              <w:t>which interest on the Original Notes has been paid or, if no interest has been paid on the</w:t>
            </w:r>
          </w:p>
        </w:tc>
      </w:tr>
      <w:tr>
        <w:trPr>
          <w:trHeight w:val="216"/>
        </w:trPr>
        <w:tc>
          <w:tcPr>
            <w:tcW w:w="3560" w:type="dxa"/>
            <w:vAlign w:val="bottom"/>
          </w:tcPr>
          <w:p>
            <w:pPr>
              <w:spacing w:after="0"/>
              <w:rPr>
                <w:sz w:val="18"/>
                <w:szCs w:val="18"/>
                <w:color w:val="auto"/>
              </w:rPr>
            </w:pPr>
          </w:p>
        </w:tc>
        <w:tc>
          <w:tcPr>
            <w:tcW w:w="7480" w:type="dxa"/>
            <w:vAlign w:val="bottom"/>
          </w:tcPr>
          <w:p>
            <w:pPr>
              <w:ind w:left="660"/>
              <w:spacing w:after="0"/>
              <w:rPr>
                <w:sz w:val="20"/>
                <w:szCs w:val="20"/>
                <w:color w:val="auto"/>
              </w:rPr>
            </w:pPr>
            <w:r>
              <w:rPr>
                <w:rFonts w:ascii="Arial" w:cs="Arial" w:eastAsia="Arial" w:hAnsi="Arial"/>
                <w:sz w:val="18"/>
                <w:szCs w:val="18"/>
                <w:color w:val="auto"/>
                <w:w w:val="97"/>
              </w:rPr>
              <w:t>Original Notes, from November 20, 2019. Interest is payable semiannually on March 20</w:t>
            </w:r>
          </w:p>
        </w:tc>
      </w:tr>
      <w:tr>
        <w:trPr>
          <w:trHeight w:val="216"/>
        </w:trPr>
        <w:tc>
          <w:tcPr>
            <w:tcW w:w="3560" w:type="dxa"/>
            <w:vAlign w:val="bottom"/>
          </w:tcPr>
          <w:p>
            <w:pPr>
              <w:spacing w:after="0"/>
              <w:rPr>
                <w:sz w:val="18"/>
                <w:szCs w:val="18"/>
                <w:color w:val="auto"/>
              </w:rPr>
            </w:pPr>
          </w:p>
        </w:tc>
        <w:tc>
          <w:tcPr>
            <w:tcW w:w="7480" w:type="dxa"/>
            <w:vAlign w:val="bottom"/>
          </w:tcPr>
          <w:p>
            <w:pPr>
              <w:ind w:left="660"/>
              <w:spacing w:after="0"/>
              <w:rPr>
                <w:sz w:val="20"/>
                <w:szCs w:val="20"/>
                <w:color w:val="auto"/>
              </w:rPr>
            </w:pPr>
            <w:r>
              <w:rPr>
                <w:rFonts w:ascii="Arial" w:cs="Arial" w:eastAsia="Arial" w:hAnsi="Arial"/>
                <w:sz w:val="18"/>
                <w:szCs w:val="18"/>
                <w:color w:val="auto"/>
                <w:w w:val="95"/>
              </w:rPr>
              <w:t>and September 20 of each year, beginning on March 20, 2020, to holders of record on the</w:t>
            </w:r>
          </w:p>
        </w:tc>
      </w:tr>
      <w:tr>
        <w:trPr>
          <w:trHeight w:val="216"/>
        </w:trPr>
        <w:tc>
          <w:tcPr>
            <w:tcW w:w="3560" w:type="dxa"/>
            <w:vAlign w:val="bottom"/>
          </w:tcPr>
          <w:p>
            <w:pPr>
              <w:spacing w:after="0"/>
              <w:rPr>
                <w:sz w:val="18"/>
                <w:szCs w:val="18"/>
                <w:color w:val="auto"/>
              </w:rPr>
            </w:pPr>
          </w:p>
        </w:tc>
        <w:tc>
          <w:tcPr>
            <w:tcW w:w="7480" w:type="dxa"/>
            <w:vAlign w:val="bottom"/>
          </w:tcPr>
          <w:p>
            <w:pPr>
              <w:ind w:left="660"/>
              <w:spacing w:after="0"/>
              <w:rPr>
                <w:sz w:val="20"/>
                <w:szCs w:val="20"/>
                <w:color w:val="auto"/>
              </w:rPr>
            </w:pPr>
            <w:r>
              <w:rPr>
                <w:rFonts w:ascii="Arial" w:cs="Arial" w:eastAsia="Arial" w:hAnsi="Arial"/>
                <w:sz w:val="18"/>
                <w:szCs w:val="18"/>
                <w:color w:val="auto"/>
                <w:w w:val="97"/>
              </w:rPr>
              <w:t>preceding March 1 and September 1, respectively, whether or not that day is a business</w:t>
            </w:r>
          </w:p>
        </w:tc>
      </w:tr>
      <w:tr>
        <w:trPr>
          <w:trHeight w:val="230"/>
        </w:trPr>
        <w:tc>
          <w:tcPr>
            <w:tcW w:w="3560" w:type="dxa"/>
            <w:vAlign w:val="bottom"/>
          </w:tcPr>
          <w:p>
            <w:pPr>
              <w:spacing w:after="0"/>
              <w:rPr>
                <w:sz w:val="20"/>
                <w:szCs w:val="20"/>
                <w:color w:val="auto"/>
              </w:rPr>
            </w:pPr>
          </w:p>
        </w:tc>
        <w:tc>
          <w:tcPr>
            <w:tcW w:w="7480" w:type="dxa"/>
            <w:vAlign w:val="bottom"/>
          </w:tcPr>
          <w:p>
            <w:pPr>
              <w:ind w:left="660"/>
              <w:spacing w:after="0"/>
              <w:rPr>
                <w:sz w:val="20"/>
                <w:szCs w:val="20"/>
                <w:color w:val="auto"/>
              </w:rPr>
            </w:pPr>
            <w:r>
              <w:rPr>
                <w:rFonts w:ascii="Arial" w:cs="Arial" w:eastAsia="Arial" w:hAnsi="Arial"/>
                <w:sz w:val="18"/>
                <w:szCs w:val="18"/>
                <w:color w:val="auto"/>
              </w:rPr>
              <w:t>day.</w:t>
            </w:r>
          </w:p>
        </w:tc>
      </w:tr>
      <w:tr>
        <w:trPr>
          <w:trHeight w:val="445"/>
        </w:trPr>
        <w:tc>
          <w:tcPr>
            <w:tcW w:w="3560" w:type="dxa"/>
            <w:vAlign w:val="bottom"/>
          </w:tcPr>
          <w:p>
            <w:pPr>
              <w:ind w:left="180"/>
              <w:spacing w:after="0"/>
              <w:rPr>
                <w:sz w:val="20"/>
                <w:szCs w:val="20"/>
                <w:color w:val="auto"/>
              </w:rPr>
            </w:pPr>
            <w:r>
              <w:rPr>
                <w:rFonts w:ascii="Arial" w:cs="Arial" w:eastAsia="Arial" w:hAnsi="Arial"/>
                <w:sz w:val="18"/>
                <w:szCs w:val="18"/>
                <w:color w:val="auto"/>
              </w:rPr>
              <w:t>Ranking</w:t>
            </w:r>
          </w:p>
        </w:tc>
        <w:tc>
          <w:tcPr>
            <w:tcW w:w="7480" w:type="dxa"/>
            <w:vAlign w:val="bottom"/>
          </w:tcPr>
          <w:p>
            <w:pPr>
              <w:ind w:left="660"/>
              <w:spacing w:after="0"/>
              <w:rPr>
                <w:sz w:val="20"/>
                <w:szCs w:val="20"/>
                <w:color w:val="auto"/>
              </w:rPr>
            </w:pPr>
            <w:r>
              <w:rPr>
                <w:rFonts w:ascii="Arial" w:cs="Arial" w:eastAsia="Arial" w:hAnsi="Arial"/>
                <w:sz w:val="18"/>
                <w:szCs w:val="18"/>
                <w:color w:val="auto"/>
                <w:w w:val="94"/>
              </w:rPr>
              <w:t>The Exchange Notes will be our direct, unsecured and unsubordinated obligations and will</w:t>
            </w:r>
          </w:p>
        </w:tc>
      </w:tr>
      <w:tr>
        <w:trPr>
          <w:trHeight w:val="216"/>
        </w:trPr>
        <w:tc>
          <w:tcPr>
            <w:tcW w:w="3560" w:type="dxa"/>
            <w:vAlign w:val="bottom"/>
          </w:tcPr>
          <w:p>
            <w:pPr>
              <w:spacing w:after="0"/>
              <w:rPr>
                <w:sz w:val="18"/>
                <w:szCs w:val="18"/>
                <w:color w:val="auto"/>
              </w:rPr>
            </w:pPr>
          </w:p>
        </w:tc>
        <w:tc>
          <w:tcPr>
            <w:tcW w:w="7480" w:type="dxa"/>
            <w:vAlign w:val="bottom"/>
          </w:tcPr>
          <w:p>
            <w:pPr>
              <w:ind w:left="660"/>
              <w:spacing w:after="0"/>
              <w:rPr>
                <w:sz w:val="20"/>
                <w:szCs w:val="20"/>
                <w:color w:val="auto"/>
              </w:rPr>
            </w:pPr>
            <w:r>
              <w:rPr>
                <w:rFonts w:ascii="Arial" w:cs="Arial" w:eastAsia="Arial" w:hAnsi="Arial"/>
                <w:sz w:val="18"/>
                <w:szCs w:val="18"/>
                <w:color w:val="auto"/>
                <w:w w:val="99"/>
              </w:rPr>
              <w:t>rank equally in right of payment with all of our other existing and future unsecured and</w:t>
            </w:r>
          </w:p>
        </w:tc>
      </w:tr>
      <w:tr>
        <w:trPr>
          <w:trHeight w:val="216"/>
        </w:trPr>
        <w:tc>
          <w:tcPr>
            <w:tcW w:w="3560" w:type="dxa"/>
            <w:vAlign w:val="bottom"/>
          </w:tcPr>
          <w:p>
            <w:pPr>
              <w:spacing w:after="0"/>
              <w:rPr>
                <w:sz w:val="18"/>
                <w:szCs w:val="18"/>
                <w:color w:val="auto"/>
              </w:rPr>
            </w:pPr>
          </w:p>
        </w:tc>
        <w:tc>
          <w:tcPr>
            <w:tcW w:w="7480" w:type="dxa"/>
            <w:vAlign w:val="bottom"/>
          </w:tcPr>
          <w:p>
            <w:pPr>
              <w:ind w:left="660"/>
              <w:spacing w:after="0"/>
              <w:rPr>
                <w:sz w:val="20"/>
                <w:szCs w:val="20"/>
                <w:color w:val="auto"/>
              </w:rPr>
            </w:pPr>
            <w:r>
              <w:rPr>
                <w:rFonts w:ascii="Arial" w:cs="Arial" w:eastAsia="Arial" w:hAnsi="Arial"/>
                <w:sz w:val="18"/>
                <w:szCs w:val="18"/>
                <w:color w:val="auto"/>
                <w:w w:val="99"/>
              </w:rPr>
              <w:t>unsubordinated indebtedness. The Exchange Notes will be effectively subordinated to</w:t>
            </w:r>
          </w:p>
        </w:tc>
      </w:tr>
      <w:tr>
        <w:trPr>
          <w:trHeight w:val="216"/>
        </w:trPr>
        <w:tc>
          <w:tcPr>
            <w:tcW w:w="3560" w:type="dxa"/>
            <w:vAlign w:val="bottom"/>
          </w:tcPr>
          <w:p>
            <w:pPr>
              <w:spacing w:after="0"/>
              <w:rPr>
                <w:sz w:val="18"/>
                <w:szCs w:val="18"/>
                <w:color w:val="auto"/>
              </w:rPr>
            </w:pPr>
          </w:p>
        </w:tc>
        <w:tc>
          <w:tcPr>
            <w:tcW w:w="7480" w:type="dxa"/>
            <w:vAlign w:val="bottom"/>
          </w:tcPr>
          <w:p>
            <w:pPr>
              <w:ind w:left="660"/>
              <w:spacing w:after="0"/>
              <w:rPr>
                <w:sz w:val="20"/>
                <w:szCs w:val="20"/>
                <w:color w:val="auto"/>
              </w:rPr>
            </w:pPr>
            <w:r>
              <w:rPr>
                <w:rFonts w:ascii="Arial" w:cs="Arial" w:eastAsia="Arial" w:hAnsi="Arial"/>
                <w:sz w:val="18"/>
                <w:szCs w:val="18"/>
                <w:color w:val="auto"/>
                <w:w w:val="96"/>
              </w:rPr>
              <w:t>existing and future indebtedness and other liabilities of our subsidiaries and to any of our</w:t>
            </w:r>
          </w:p>
        </w:tc>
      </w:tr>
      <w:tr>
        <w:trPr>
          <w:trHeight w:val="230"/>
        </w:trPr>
        <w:tc>
          <w:tcPr>
            <w:tcW w:w="3560" w:type="dxa"/>
            <w:vAlign w:val="bottom"/>
          </w:tcPr>
          <w:p>
            <w:pPr>
              <w:spacing w:after="0"/>
              <w:rPr>
                <w:sz w:val="20"/>
                <w:szCs w:val="20"/>
                <w:color w:val="auto"/>
              </w:rPr>
            </w:pPr>
          </w:p>
        </w:tc>
        <w:tc>
          <w:tcPr>
            <w:tcW w:w="7480" w:type="dxa"/>
            <w:vAlign w:val="bottom"/>
          </w:tcPr>
          <w:p>
            <w:pPr>
              <w:ind w:left="660"/>
              <w:spacing w:after="0"/>
              <w:rPr>
                <w:sz w:val="20"/>
                <w:szCs w:val="20"/>
                <w:color w:val="auto"/>
              </w:rPr>
            </w:pPr>
            <w:r>
              <w:rPr>
                <w:rFonts w:ascii="Arial" w:cs="Arial" w:eastAsia="Arial" w:hAnsi="Arial"/>
                <w:sz w:val="18"/>
                <w:szCs w:val="18"/>
                <w:color w:val="auto"/>
              </w:rPr>
              <w:t>existing and future secured indebtedness.</w:t>
            </w:r>
          </w:p>
        </w:tc>
      </w:tr>
      <w:tr>
        <w:trPr>
          <w:trHeight w:val="445"/>
        </w:trPr>
        <w:tc>
          <w:tcPr>
            <w:tcW w:w="3560" w:type="dxa"/>
            <w:vAlign w:val="bottom"/>
          </w:tcPr>
          <w:p>
            <w:pPr>
              <w:ind w:left="180"/>
              <w:spacing w:after="0"/>
              <w:rPr>
                <w:sz w:val="20"/>
                <w:szCs w:val="20"/>
                <w:color w:val="auto"/>
              </w:rPr>
            </w:pPr>
            <w:r>
              <w:rPr>
                <w:rFonts w:ascii="Arial" w:cs="Arial" w:eastAsia="Arial" w:hAnsi="Arial"/>
                <w:sz w:val="18"/>
                <w:szCs w:val="18"/>
                <w:color w:val="auto"/>
              </w:rPr>
              <w:t>Optional Redemption</w:t>
            </w:r>
          </w:p>
        </w:tc>
        <w:tc>
          <w:tcPr>
            <w:tcW w:w="7480" w:type="dxa"/>
            <w:vAlign w:val="bottom"/>
          </w:tcPr>
          <w:p>
            <w:pPr>
              <w:ind w:left="660"/>
              <w:spacing w:after="0"/>
              <w:rPr>
                <w:sz w:val="20"/>
                <w:szCs w:val="20"/>
                <w:color w:val="auto"/>
              </w:rPr>
            </w:pPr>
            <w:r>
              <w:rPr>
                <w:rFonts w:ascii="Arial" w:cs="Arial" w:eastAsia="Arial" w:hAnsi="Arial"/>
                <w:sz w:val="18"/>
                <w:szCs w:val="18"/>
                <w:color w:val="auto"/>
              </w:rPr>
              <w:t>At any time prior to September 20, 2059, we may redeem the Exchange Notes at our</w:t>
            </w:r>
          </w:p>
        </w:tc>
      </w:tr>
      <w:tr>
        <w:trPr>
          <w:trHeight w:val="216"/>
        </w:trPr>
        <w:tc>
          <w:tcPr>
            <w:tcW w:w="3560" w:type="dxa"/>
            <w:vAlign w:val="bottom"/>
          </w:tcPr>
          <w:p>
            <w:pPr>
              <w:spacing w:after="0"/>
              <w:rPr>
                <w:sz w:val="18"/>
                <w:szCs w:val="18"/>
                <w:color w:val="auto"/>
              </w:rPr>
            </w:pPr>
          </w:p>
        </w:tc>
        <w:tc>
          <w:tcPr>
            <w:tcW w:w="7480" w:type="dxa"/>
            <w:vAlign w:val="bottom"/>
          </w:tcPr>
          <w:p>
            <w:pPr>
              <w:ind w:left="660"/>
              <w:spacing w:after="0"/>
              <w:rPr>
                <w:sz w:val="20"/>
                <w:szCs w:val="20"/>
                <w:color w:val="auto"/>
              </w:rPr>
            </w:pPr>
            <w:r>
              <w:rPr>
                <w:rFonts w:ascii="Arial" w:cs="Arial" w:eastAsia="Arial" w:hAnsi="Arial"/>
                <w:sz w:val="18"/>
                <w:szCs w:val="18"/>
                <w:color w:val="auto"/>
                <w:w w:val="96"/>
              </w:rPr>
              <w:t>option, in whole or in part, at a redemption price equal to 100% of the principal amount of</w:t>
            </w:r>
          </w:p>
        </w:tc>
      </w:tr>
      <w:tr>
        <w:trPr>
          <w:trHeight w:val="216"/>
        </w:trPr>
        <w:tc>
          <w:tcPr>
            <w:tcW w:w="3560" w:type="dxa"/>
            <w:vAlign w:val="bottom"/>
          </w:tcPr>
          <w:p>
            <w:pPr>
              <w:spacing w:after="0"/>
              <w:rPr>
                <w:sz w:val="18"/>
                <w:szCs w:val="18"/>
                <w:color w:val="auto"/>
              </w:rPr>
            </w:pPr>
          </w:p>
        </w:tc>
        <w:tc>
          <w:tcPr>
            <w:tcW w:w="7480" w:type="dxa"/>
            <w:vAlign w:val="bottom"/>
          </w:tcPr>
          <w:p>
            <w:pPr>
              <w:ind w:left="660"/>
              <w:spacing w:after="0"/>
              <w:rPr>
                <w:sz w:val="20"/>
                <w:szCs w:val="20"/>
                <w:color w:val="auto"/>
              </w:rPr>
            </w:pPr>
            <w:r>
              <w:rPr>
                <w:rFonts w:ascii="Arial" w:cs="Arial" w:eastAsia="Arial" w:hAnsi="Arial"/>
                <w:sz w:val="18"/>
                <w:szCs w:val="18"/>
                <w:color w:val="auto"/>
                <w:w w:val="99"/>
              </w:rPr>
              <w:t>the Exchange Notes being redeemed plus a “make-whole” premium, plus accrued and</w:t>
            </w:r>
          </w:p>
        </w:tc>
      </w:tr>
      <w:tr>
        <w:trPr>
          <w:trHeight w:val="216"/>
        </w:trPr>
        <w:tc>
          <w:tcPr>
            <w:tcW w:w="3560" w:type="dxa"/>
            <w:vAlign w:val="bottom"/>
          </w:tcPr>
          <w:p>
            <w:pPr>
              <w:spacing w:after="0"/>
              <w:rPr>
                <w:sz w:val="18"/>
                <w:szCs w:val="18"/>
                <w:color w:val="auto"/>
              </w:rPr>
            </w:pPr>
          </w:p>
        </w:tc>
        <w:tc>
          <w:tcPr>
            <w:tcW w:w="7480" w:type="dxa"/>
            <w:vAlign w:val="bottom"/>
          </w:tcPr>
          <w:p>
            <w:pPr>
              <w:ind w:left="660"/>
              <w:spacing w:after="0"/>
              <w:rPr>
                <w:sz w:val="20"/>
                <w:szCs w:val="20"/>
                <w:color w:val="auto"/>
              </w:rPr>
            </w:pPr>
            <w:r>
              <w:rPr>
                <w:rFonts w:ascii="Arial" w:cs="Arial" w:eastAsia="Arial" w:hAnsi="Arial"/>
                <w:sz w:val="18"/>
                <w:szCs w:val="18"/>
                <w:color w:val="auto"/>
                <w:w w:val="95"/>
              </w:rPr>
              <w:t>unpaid interest to the date of redemption. At any time on or after September 20, 2059, we</w:t>
            </w:r>
          </w:p>
        </w:tc>
      </w:tr>
      <w:tr>
        <w:trPr>
          <w:trHeight w:val="216"/>
        </w:trPr>
        <w:tc>
          <w:tcPr>
            <w:tcW w:w="3560" w:type="dxa"/>
            <w:vAlign w:val="bottom"/>
          </w:tcPr>
          <w:p>
            <w:pPr>
              <w:spacing w:after="0"/>
              <w:rPr>
                <w:sz w:val="18"/>
                <w:szCs w:val="18"/>
                <w:color w:val="auto"/>
              </w:rPr>
            </w:pPr>
          </w:p>
        </w:tc>
        <w:tc>
          <w:tcPr>
            <w:tcW w:w="7480" w:type="dxa"/>
            <w:vAlign w:val="bottom"/>
          </w:tcPr>
          <w:p>
            <w:pPr>
              <w:ind w:left="660"/>
              <w:spacing w:after="0"/>
              <w:rPr>
                <w:sz w:val="20"/>
                <w:szCs w:val="20"/>
                <w:color w:val="auto"/>
              </w:rPr>
            </w:pPr>
            <w:r>
              <w:rPr>
                <w:rFonts w:ascii="Arial" w:cs="Arial" w:eastAsia="Arial" w:hAnsi="Arial"/>
                <w:sz w:val="18"/>
                <w:szCs w:val="18"/>
                <w:color w:val="auto"/>
                <w:w w:val="96"/>
              </w:rPr>
              <w:t>may redeem the Exchange Notes at our option, in whole or in part, at a redemption price</w:t>
            </w:r>
          </w:p>
        </w:tc>
      </w:tr>
      <w:tr>
        <w:trPr>
          <w:trHeight w:val="216"/>
        </w:trPr>
        <w:tc>
          <w:tcPr>
            <w:tcW w:w="3560" w:type="dxa"/>
            <w:vAlign w:val="bottom"/>
          </w:tcPr>
          <w:p>
            <w:pPr>
              <w:spacing w:after="0"/>
              <w:rPr>
                <w:sz w:val="18"/>
                <w:szCs w:val="18"/>
                <w:color w:val="auto"/>
              </w:rPr>
            </w:pPr>
          </w:p>
        </w:tc>
        <w:tc>
          <w:tcPr>
            <w:tcW w:w="7480" w:type="dxa"/>
            <w:vAlign w:val="bottom"/>
          </w:tcPr>
          <w:p>
            <w:pPr>
              <w:ind w:left="660"/>
              <w:spacing w:after="0"/>
              <w:rPr>
                <w:sz w:val="20"/>
                <w:szCs w:val="20"/>
                <w:color w:val="auto"/>
              </w:rPr>
            </w:pPr>
            <w:r>
              <w:rPr>
                <w:rFonts w:ascii="Arial" w:cs="Arial" w:eastAsia="Arial" w:hAnsi="Arial"/>
                <w:sz w:val="18"/>
                <w:szCs w:val="18"/>
                <w:color w:val="auto"/>
              </w:rPr>
              <w:t>equal to 100% of the principal amount of the Exchange Notes being redeemed, plus</w:t>
            </w:r>
          </w:p>
        </w:tc>
      </w:tr>
      <w:tr>
        <w:trPr>
          <w:trHeight w:val="216"/>
        </w:trPr>
        <w:tc>
          <w:tcPr>
            <w:tcW w:w="3560" w:type="dxa"/>
            <w:vAlign w:val="bottom"/>
          </w:tcPr>
          <w:p>
            <w:pPr>
              <w:spacing w:after="0"/>
              <w:rPr>
                <w:sz w:val="18"/>
                <w:szCs w:val="18"/>
                <w:color w:val="auto"/>
              </w:rPr>
            </w:pPr>
          </w:p>
        </w:tc>
        <w:tc>
          <w:tcPr>
            <w:tcW w:w="7480" w:type="dxa"/>
            <w:vAlign w:val="bottom"/>
          </w:tcPr>
          <w:p>
            <w:pPr>
              <w:ind w:left="660"/>
              <w:spacing w:after="0"/>
              <w:rPr>
                <w:sz w:val="20"/>
                <w:szCs w:val="20"/>
                <w:color w:val="auto"/>
              </w:rPr>
            </w:pPr>
            <w:r>
              <w:rPr>
                <w:rFonts w:ascii="Arial" w:cs="Arial" w:eastAsia="Arial" w:hAnsi="Arial"/>
                <w:sz w:val="18"/>
                <w:szCs w:val="18"/>
                <w:color w:val="auto"/>
                <w:w w:val="96"/>
              </w:rPr>
              <w:t>accrued and unpaid interest to the date of redemption. See “Description of the Exchange</w:t>
            </w:r>
          </w:p>
        </w:tc>
      </w:tr>
      <w:tr>
        <w:trPr>
          <w:trHeight w:val="230"/>
        </w:trPr>
        <w:tc>
          <w:tcPr>
            <w:tcW w:w="3560" w:type="dxa"/>
            <w:vAlign w:val="bottom"/>
          </w:tcPr>
          <w:p>
            <w:pPr>
              <w:spacing w:after="0"/>
              <w:rPr>
                <w:sz w:val="20"/>
                <w:szCs w:val="20"/>
                <w:color w:val="auto"/>
              </w:rPr>
            </w:pPr>
          </w:p>
        </w:tc>
        <w:tc>
          <w:tcPr>
            <w:tcW w:w="7480" w:type="dxa"/>
            <w:vAlign w:val="bottom"/>
          </w:tcPr>
          <w:p>
            <w:pPr>
              <w:ind w:left="660"/>
              <w:spacing w:after="0"/>
              <w:rPr>
                <w:sz w:val="20"/>
                <w:szCs w:val="20"/>
                <w:color w:val="auto"/>
              </w:rPr>
            </w:pPr>
            <w:r>
              <w:rPr>
                <w:rFonts w:ascii="Arial" w:cs="Arial" w:eastAsia="Arial" w:hAnsi="Arial"/>
                <w:sz w:val="18"/>
                <w:szCs w:val="18"/>
                <w:color w:val="auto"/>
              </w:rPr>
              <w:t>Notes—Optional Redemption”.</w:t>
            </w:r>
          </w:p>
        </w:tc>
      </w:tr>
      <w:tr>
        <w:trPr>
          <w:trHeight w:val="445"/>
        </w:trPr>
        <w:tc>
          <w:tcPr>
            <w:tcW w:w="3560" w:type="dxa"/>
            <w:vAlign w:val="bottom"/>
          </w:tcPr>
          <w:p>
            <w:pPr>
              <w:ind w:left="180"/>
              <w:spacing w:after="0"/>
              <w:rPr>
                <w:sz w:val="20"/>
                <w:szCs w:val="20"/>
                <w:color w:val="auto"/>
              </w:rPr>
            </w:pPr>
            <w:r>
              <w:rPr>
                <w:rFonts w:ascii="Arial" w:cs="Arial" w:eastAsia="Arial" w:hAnsi="Arial"/>
                <w:sz w:val="18"/>
                <w:szCs w:val="18"/>
                <w:color w:val="auto"/>
              </w:rPr>
              <w:t>Change of Control Repurchase Event</w:t>
            </w:r>
          </w:p>
        </w:tc>
        <w:tc>
          <w:tcPr>
            <w:tcW w:w="7480" w:type="dxa"/>
            <w:vAlign w:val="bottom"/>
          </w:tcPr>
          <w:p>
            <w:pPr>
              <w:ind w:left="660"/>
              <w:spacing w:after="0"/>
              <w:rPr>
                <w:sz w:val="20"/>
                <w:szCs w:val="20"/>
                <w:color w:val="auto"/>
              </w:rPr>
            </w:pPr>
            <w:r>
              <w:rPr>
                <w:rFonts w:ascii="Arial" w:cs="Arial" w:eastAsia="Arial" w:hAnsi="Arial"/>
                <w:sz w:val="18"/>
                <w:szCs w:val="18"/>
                <w:color w:val="auto"/>
              </w:rPr>
              <w:t>Upon a change of control repurchase event, we will be required to make an offer to</w:t>
            </w:r>
          </w:p>
        </w:tc>
      </w:tr>
      <w:tr>
        <w:trPr>
          <w:trHeight w:val="216"/>
        </w:trPr>
        <w:tc>
          <w:tcPr>
            <w:tcW w:w="3560" w:type="dxa"/>
            <w:vAlign w:val="bottom"/>
          </w:tcPr>
          <w:p>
            <w:pPr>
              <w:spacing w:after="0"/>
              <w:rPr>
                <w:sz w:val="18"/>
                <w:szCs w:val="18"/>
                <w:color w:val="auto"/>
              </w:rPr>
            </w:pPr>
          </w:p>
        </w:tc>
        <w:tc>
          <w:tcPr>
            <w:tcW w:w="7480" w:type="dxa"/>
            <w:vAlign w:val="bottom"/>
          </w:tcPr>
          <w:p>
            <w:pPr>
              <w:ind w:left="660"/>
              <w:spacing w:after="0"/>
              <w:rPr>
                <w:sz w:val="20"/>
                <w:szCs w:val="20"/>
                <w:color w:val="auto"/>
              </w:rPr>
            </w:pPr>
            <w:r>
              <w:rPr>
                <w:rFonts w:ascii="Arial" w:cs="Arial" w:eastAsia="Arial" w:hAnsi="Arial"/>
                <w:sz w:val="18"/>
                <w:szCs w:val="18"/>
                <w:color w:val="auto"/>
                <w:w w:val="95"/>
              </w:rPr>
              <w:t>repurchase each holder’s Exchange Notes at a repurchase price in cash equal to 101% of</w:t>
            </w:r>
          </w:p>
        </w:tc>
      </w:tr>
      <w:tr>
        <w:trPr>
          <w:trHeight w:val="216"/>
        </w:trPr>
        <w:tc>
          <w:tcPr>
            <w:tcW w:w="3560" w:type="dxa"/>
            <w:vAlign w:val="bottom"/>
          </w:tcPr>
          <w:p>
            <w:pPr>
              <w:spacing w:after="0"/>
              <w:rPr>
                <w:sz w:val="18"/>
                <w:szCs w:val="18"/>
                <w:color w:val="auto"/>
              </w:rPr>
            </w:pPr>
          </w:p>
        </w:tc>
        <w:tc>
          <w:tcPr>
            <w:tcW w:w="7480" w:type="dxa"/>
            <w:vAlign w:val="bottom"/>
          </w:tcPr>
          <w:p>
            <w:pPr>
              <w:ind w:left="660"/>
              <w:spacing w:after="0"/>
              <w:rPr>
                <w:sz w:val="20"/>
                <w:szCs w:val="20"/>
                <w:color w:val="auto"/>
              </w:rPr>
            </w:pPr>
            <w:r>
              <w:rPr>
                <w:rFonts w:ascii="Arial" w:cs="Arial" w:eastAsia="Arial" w:hAnsi="Arial"/>
                <w:sz w:val="18"/>
                <w:szCs w:val="18"/>
                <w:color w:val="auto"/>
              </w:rPr>
              <w:t>the principal amount thereof, plus accrued and unpaid interest, if any, to the date of</w:t>
            </w:r>
          </w:p>
        </w:tc>
      </w:tr>
      <w:tr>
        <w:trPr>
          <w:trHeight w:val="216"/>
        </w:trPr>
        <w:tc>
          <w:tcPr>
            <w:tcW w:w="3560" w:type="dxa"/>
            <w:vAlign w:val="bottom"/>
          </w:tcPr>
          <w:p>
            <w:pPr>
              <w:spacing w:after="0"/>
              <w:rPr>
                <w:sz w:val="18"/>
                <w:szCs w:val="18"/>
                <w:color w:val="auto"/>
              </w:rPr>
            </w:pPr>
          </w:p>
        </w:tc>
        <w:tc>
          <w:tcPr>
            <w:tcW w:w="7480" w:type="dxa"/>
            <w:vAlign w:val="bottom"/>
          </w:tcPr>
          <w:p>
            <w:pPr>
              <w:ind w:left="660"/>
              <w:spacing w:after="0"/>
              <w:rPr>
                <w:sz w:val="20"/>
                <w:szCs w:val="20"/>
                <w:color w:val="auto"/>
              </w:rPr>
            </w:pPr>
            <w:r>
              <w:rPr>
                <w:rFonts w:ascii="Arial" w:cs="Arial" w:eastAsia="Arial" w:hAnsi="Arial"/>
                <w:sz w:val="18"/>
                <w:szCs w:val="18"/>
                <w:color w:val="auto"/>
              </w:rPr>
              <w:t>repurchase. See “Description of the Exchange Notes–Change of Control Repurchase</w:t>
            </w:r>
          </w:p>
        </w:tc>
      </w:tr>
      <w:tr>
        <w:trPr>
          <w:trHeight w:val="230"/>
        </w:trPr>
        <w:tc>
          <w:tcPr>
            <w:tcW w:w="3560" w:type="dxa"/>
            <w:vAlign w:val="bottom"/>
          </w:tcPr>
          <w:p>
            <w:pPr>
              <w:spacing w:after="0"/>
              <w:rPr>
                <w:sz w:val="20"/>
                <w:szCs w:val="20"/>
                <w:color w:val="auto"/>
              </w:rPr>
            </w:pPr>
          </w:p>
        </w:tc>
        <w:tc>
          <w:tcPr>
            <w:tcW w:w="7480" w:type="dxa"/>
            <w:vAlign w:val="bottom"/>
          </w:tcPr>
          <w:p>
            <w:pPr>
              <w:ind w:left="660"/>
              <w:spacing w:after="0"/>
              <w:rPr>
                <w:sz w:val="20"/>
                <w:szCs w:val="20"/>
                <w:color w:val="auto"/>
              </w:rPr>
            </w:pPr>
            <w:r>
              <w:rPr>
                <w:rFonts w:ascii="Arial" w:cs="Arial" w:eastAsia="Arial" w:hAnsi="Arial"/>
                <w:sz w:val="18"/>
                <w:szCs w:val="18"/>
                <w:color w:val="auto"/>
              </w:rPr>
              <w:t>Event”.</w:t>
            </w:r>
          </w:p>
        </w:tc>
      </w:tr>
      <w:tr>
        <w:trPr>
          <w:trHeight w:val="240"/>
        </w:trPr>
        <w:tc>
          <w:tcPr>
            <w:tcW w:w="3560" w:type="dxa"/>
            <w:vAlign w:val="bottom"/>
            <w:tcBorders>
              <w:bottom w:val="single" w:sz="8" w:color="auto"/>
            </w:tcBorders>
          </w:tcPr>
          <w:p>
            <w:pPr>
              <w:spacing w:after="0"/>
              <w:rPr>
                <w:sz w:val="20"/>
                <w:szCs w:val="20"/>
                <w:color w:val="auto"/>
              </w:rPr>
            </w:pPr>
          </w:p>
        </w:tc>
        <w:tc>
          <w:tcPr>
            <w:tcW w:w="7480" w:type="dxa"/>
            <w:vAlign w:val="bottom"/>
            <w:tcBorders>
              <w:bottom w:val="single" w:sz="8" w:color="auto"/>
            </w:tcBorders>
          </w:tcPr>
          <w:p>
            <w:pPr>
              <w:spacing w:after="0"/>
              <w:rPr>
                <w:sz w:val="20"/>
                <w:szCs w:val="20"/>
                <w:color w:val="auto"/>
              </w:rPr>
            </w:pPr>
          </w:p>
        </w:tc>
      </w:tr>
      <w:tr>
        <w:trPr>
          <w:trHeight w:val="604"/>
        </w:trPr>
        <w:tc>
          <w:tcPr>
            <w:tcW w:w="3560" w:type="dxa"/>
            <w:vAlign w:val="bottom"/>
          </w:tcPr>
          <w:p>
            <w:pPr>
              <w:spacing w:after="0"/>
              <w:rPr>
                <w:sz w:val="24"/>
                <w:szCs w:val="24"/>
                <w:color w:val="auto"/>
              </w:rPr>
            </w:pPr>
          </w:p>
        </w:tc>
        <w:tc>
          <w:tcPr>
            <w:tcW w:w="7480" w:type="dxa"/>
            <w:vAlign w:val="bottom"/>
          </w:tcPr>
          <w:p>
            <w:pPr>
              <w:ind w:left="1800"/>
              <w:spacing w:after="0"/>
              <w:rPr>
                <w:sz w:val="20"/>
                <w:szCs w:val="20"/>
                <w:color w:val="auto"/>
              </w:rPr>
            </w:pPr>
            <w:r>
              <w:rPr>
                <w:rFonts w:ascii="Arial" w:cs="Arial" w:eastAsia="Arial" w:hAnsi="Arial"/>
                <w:sz w:val="18"/>
                <w:szCs w:val="18"/>
                <w:color w:val="auto"/>
              </w:rPr>
              <w:t>- 4 -</w:t>
            </w:r>
          </w:p>
        </w:tc>
      </w:tr>
    </w:tbl>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356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Certain Covenants</w:t>
            </w:r>
          </w:p>
        </w:tc>
        <w:tc>
          <w:tcPr>
            <w:tcW w:w="7480" w:type="dxa"/>
            <w:vAlign w:val="bottom"/>
            <w:tcBorders>
              <w:top w:val="single" w:sz="8" w:color="auto"/>
              <w:right w:val="single" w:sz="8" w:color="auto"/>
            </w:tcBorders>
            <w:gridSpan w:val="2"/>
          </w:tcPr>
          <w:p>
            <w:pPr>
              <w:ind w:left="660"/>
              <w:spacing w:after="0"/>
              <w:rPr>
                <w:sz w:val="20"/>
                <w:szCs w:val="20"/>
                <w:color w:val="auto"/>
              </w:rPr>
            </w:pPr>
            <w:r>
              <w:rPr>
                <w:rFonts w:ascii="Arial" w:cs="Arial" w:eastAsia="Arial" w:hAnsi="Arial"/>
                <w:sz w:val="18"/>
                <w:szCs w:val="18"/>
                <w:color w:val="auto"/>
              </w:rPr>
              <w:t>The indenture governing the Exchange Notes (the “Indenture”) contains covenants</w:t>
            </w:r>
          </w:p>
        </w:tc>
      </w:tr>
      <w:tr>
        <w:trPr>
          <w:trHeight w:val="230"/>
        </w:trPr>
        <w:tc>
          <w:tcPr>
            <w:tcW w:w="3560" w:type="dxa"/>
            <w:vAlign w:val="bottom"/>
            <w:tcBorders>
              <w:left w:val="single" w:sz="8" w:color="auto"/>
            </w:tcBorders>
          </w:tcPr>
          <w:p>
            <w:pPr>
              <w:spacing w:after="0"/>
              <w:rPr>
                <w:sz w:val="20"/>
                <w:szCs w:val="20"/>
                <w:color w:val="auto"/>
              </w:rPr>
            </w:pPr>
          </w:p>
        </w:tc>
        <w:tc>
          <w:tcPr>
            <w:tcW w:w="7480" w:type="dxa"/>
            <w:vAlign w:val="bottom"/>
            <w:tcBorders>
              <w:right w:val="single" w:sz="8" w:color="auto"/>
            </w:tcBorders>
            <w:gridSpan w:val="2"/>
          </w:tcPr>
          <w:p>
            <w:pPr>
              <w:ind w:left="660"/>
              <w:spacing w:after="0"/>
              <w:rPr>
                <w:sz w:val="20"/>
                <w:szCs w:val="20"/>
                <w:color w:val="auto"/>
              </w:rPr>
            </w:pPr>
            <w:r>
              <w:rPr>
                <w:rFonts w:ascii="Arial" w:cs="Arial" w:eastAsia="Arial" w:hAnsi="Arial"/>
                <w:sz w:val="18"/>
                <w:szCs w:val="18"/>
                <w:color w:val="auto"/>
              </w:rPr>
              <w:t>restricting our ability, with certain exceptions, to:</w:t>
            </w:r>
          </w:p>
        </w:tc>
      </w:tr>
      <w:tr>
        <w:trPr>
          <w:trHeight w:val="338"/>
        </w:trPr>
        <w:tc>
          <w:tcPr>
            <w:tcW w:w="3560" w:type="dxa"/>
            <w:vAlign w:val="bottom"/>
            <w:tcBorders>
              <w:left w:val="single" w:sz="8" w:color="auto"/>
            </w:tcBorders>
          </w:tcPr>
          <w:p>
            <w:pPr>
              <w:spacing w:after="0"/>
              <w:rPr>
                <w:sz w:val="24"/>
                <w:szCs w:val="24"/>
                <w:color w:val="auto"/>
              </w:rPr>
            </w:pPr>
          </w:p>
        </w:tc>
        <w:tc>
          <w:tcPr>
            <w:tcW w:w="800" w:type="dxa"/>
            <w:vAlign w:val="bottom"/>
          </w:tcPr>
          <w:p>
            <w:pPr>
              <w:ind w:left="700"/>
              <w:spacing w:after="0"/>
              <w:rPr>
                <w:sz w:val="20"/>
                <w:szCs w:val="20"/>
                <w:color w:val="auto"/>
              </w:rPr>
            </w:pPr>
            <w:r>
              <w:rPr>
                <w:rFonts w:ascii="Arial" w:cs="Arial" w:eastAsia="Arial" w:hAnsi="Arial"/>
                <w:sz w:val="18"/>
                <w:szCs w:val="18"/>
                <w:color w:val="auto"/>
              </w:rPr>
              <w:t>•</w:t>
            </w:r>
          </w:p>
        </w:tc>
        <w:tc>
          <w:tcPr>
            <w:tcW w:w="6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incur debt secured by liens on any domestic subsidiary; and</w:t>
            </w:r>
          </w:p>
        </w:tc>
      </w:tr>
      <w:tr>
        <w:trPr>
          <w:trHeight w:val="323"/>
        </w:trPr>
        <w:tc>
          <w:tcPr>
            <w:tcW w:w="3560" w:type="dxa"/>
            <w:vAlign w:val="bottom"/>
            <w:tcBorders>
              <w:left w:val="single" w:sz="8" w:color="auto"/>
            </w:tcBorders>
          </w:tcPr>
          <w:p>
            <w:pPr>
              <w:spacing w:after="0"/>
              <w:rPr>
                <w:sz w:val="24"/>
                <w:szCs w:val="24"/>
                <w:color w:val="auto"/>
              </w:rPr>
            </w:pPr>
          </w:p>
        </w:tc>
        <w:tc>
          <w:tcPr>
            <w:tcW w:w="800" w:type="dxa"/>
            <w:vAlign w:val="bottom"/>
          </w:tcPr>
          <w:p>
            <w:pPr>
              <w:ind w:left="700"/>
              <w:spacing w:after="0"/>
              <w:rPr>
                <w:sz w:val="20"/>
                <w:szCs w:val="20"/>
                <w:color w:val="auto"/>
              </w:rPr>
            </w:pPr>
            <w:r>
              <w:rPr>
                <w:rFonts w:ascii="Arial" w:cs="Arial" w:eastAsia="Arial" w:hAnsi="Arial"/>
                <w:sz w:val="18"/>
                <w:szCs w:val="18"/>
                <w:color w:val="auto"/>
              </w:rPr>
              <w:t>•</w:t>
            </w:r>
          </w:p>
        </w:tc>
        <w:tc>
          <w:tcPr>
            <w:tcW w:w="6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consolidate with, merge into or convey or transfer our properties and assets substantially</w:t>
            </w:r>
          </w:p>
        </w:tc>
      </w:tr>
      <w:tr>
        <w:trPr>
          <w:trHeight w:val="230"/>
        </w:trPr>
        <w:tc>
          <w:tcPr>
            <w:tcW w:w="356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66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 an entirety to, another person.</w:t>
            </w:r>
          </w:p>
        </w:tc>
      </w:tr>
      <w:tr>
        <w:trPr>
          <w:trHeight w:val="445"/>
        </w:trPr>
        <w:tc>
          <w:tcPr>
            <w:tcW w:w="3560" w:type="dxa"/>
            <w:vAlign w:val="bottom"/>
            <w:tcBorders>
              <w:left w:val="single" w:sz="8" w:color="auto"/>
            </w:tcBorders>
          </w:tcPr>
          <w:p>
            <w:pPr>
              <w:spacing w:after="0"/>
              <w:rPr>
                <w:sz w:val="24"/>
                <w:szCs w:val="24"/>
                <w:color w:val="auto"/>
              </w:rPr>
            </w:pPr>
          </w:p>
        </w:tc>
        <w:tc>
          <w:tcPr>
            <w:tcW w:w="7480" w:type="dxa"/>
            <w:vAlign w:val="bottom"/>
            <w:tcBorders>
              <w:right w:val="single" w:sz="8" w:color="auto"/>
            </w:tcBorders>
            <w:gridSpan w:val="2"/>
          </w:tcPr>
          <w:p>
            <w:pPr>
              <w:ind w:left="660"/>
              <w:spacing w:after="0"/>
              <w:rPr>
                <w:sz w:val="20"/>
                <w:szCs w:val="20"/>
                <w:color w:val="auto"/>
              </w:rPr>
            </w:pPr>
            <w:r>
              <w:rPr>
                <w:rFonts w:ascii="Arial" w:cs="Arial" w:eastAsia="Arial" w:hAnsi="Arial"/>
                <w:sz w:val="18"/>
                <w:szCs w:val="18"/>
                <w:color w:val="auto"/>
                <w:w w:val="97"/>
              </w:rPr>
              <w:t>See “Description of the Exchange Notes—Limitation on Liens of Domestic Subsidiaries”</w:t>
            </w:r>
          </w:p>
        </w:tc>
      </w:tr>
      <w:tr>
        <w:trPr>
          <w:trHeight w:val="230"/>
        </w:trPr>
        <w:tc>
          <w:tcPr>
            <w:tcW w:w="3560" w:type="dxa"/>
            <w:vAlign w:val="bottom"/>
            <w:tcBorders>
              <w:left w:val="single" w:sz="8" w:color="auto"/>
            </w:tcBorders>
          </w:tcPr>
          <w:p>
            <w:pPr>
              <w:spacing w:after="0"/>
              <w:rPr>
                <w:sz w:val="20"/>
                <w:szCs w:val="20"/>
                <w:color w:val="auto"/>
              </w:rPr>
            </w:pPr>
          </w:p>
        </w:tc>
        <w:tc>
          <w:tcPr>
            <w:tcW w:w="7480" w:type="dxa"/>
            <w:vAlign w:val="bottom"/>
            <w:tcBorders>
              <w:right w:val="single" w:sz="8" w:color="auto"/>
            </w:tcBorders>
            <w:gridSpan w:val="2"/>
          </w:tcPr>
          <w:p>
            <w:pPr>
              <w:ind w:left="660"/>
              <w:spacing w:after="0"/>
              <w:rPr>
                <w:sz w:val="20"/>
                <w:szCs w:val="20"/>
                <w:color w:val="auto"/>
              </w:rPr>
            </w:pPr>
            <w:r>
              <w:rPr>
                <w:rFonts w:ascii="Arial" w:cs="Arial" w:eastAsia="Arial" w:hAnsi="Arial"/>
                <w:sz w:val="18"/>
                <w:szCs w:val="18"/>
                <w:color w:val="auto"/>
                <w:w w:val="97"/>
              </w:rPr>
              <w:t>and “Description of the Exchange Notes—Consolidation, Merger, Sale or Conveyance”.</w:t>
            </w:r>
          </w:p>
        </w:tc>
      </w:tr>
      <w:tr>
        <w:trPr>
          <w:trHeight w:val="445"/>
        </w:trPr>
        <w:tc>
          <w:tcPr>
            <w:tcW w:w="35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Events of Default</w:t>
            </w:r>
          </w:p>
        </w:tc>
        <w:tc>
          <w:tcPr>
            <w:tcW w:w="7480" w:type="dxa"/>
            <w:vAlign w:val="bottom"/>
            <w:tcBorders>
              <w:right w:val="single" w:sz="8" w:color="auto"/>
            </w:tcBorders>
            <w:gridSpan w:val="2"/>
          </w:tcPr>
          <w:p>
            <w:pPr>
              <w:ind w:left="660"/>
              <w:spacing w:after="0"/>
              <w:rPr>
                <w:sz w:val="20"/>
                <w:szCs w:val="20"/>
                <w:color w:val="auto"/>
              </w:rPr>
            </w:pPr>
            <w:r>
              <w:rPr>
                <w:rFonts w:ascii="Arial" w:cs="Arial" w:eastAsia="Arial" w:hAnsi="Arial"/>
                <w:sz w:val="18"/>
                <w:szCs w:val="18"/>
                <w:color w:val="auto"/>
                <w:w w:val="97"/>
              </w:rPr>
              <w:t>For a discussion of events that will permit acceleration of the payment of the principal of</w:t>
            </w:r>
          </w:p>
        </w:tc>
      </w:tr>
      <w:tr>
        <w:trPr>
          <w:trHeight w:val="216"/>
        </w:trPr>
        <w:tc>
          <w:tcPr>
            <w:tcW w:w="356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gridSpan w:val="2"/>
          </w:tcPr>
          <w:p>
            <w:pPr>
              <w:ind w:left="660"/>
              <w:spacing w:after="0"/>
              <w:rPr>
                <w:sz w:val="20"/>
                <w:szCs w:val="20"/>
                <w:color w:val="auto"/>
              </w:rPr>
            </w:pPr>
            <w:r>
              <w:rPr>
                <w:rFonts w:ascii="Arial" w:cs="Arial" w:eastAsia="Arial" w:hAnsi="Arial"/>
                <w:sz w:val="18"/>
                <w:szCs w:val="18"/>
                <w:color w:val="auto"/>
                <w:w w:val="96"/>
              </w:rPr>
              <w:t>and accrued interest on the Exchange Notes, see “Description of the Exchange Notes—</w:t>
            </w:r>
          </w:p>
        </w:tc>
      </w:tr>
      <w:tr>
        <w:trPr>
          <w:trHeight w:val="230"/>
        </w:trPr>
        <w:tc>
          <w:tcPr>
            <w:tcW w:w="3560" w:type="dxa"/>
            <w:vAlign w:val="bottom"/>
            <w:tcBorders>
              <w:left w:val="single" w:sz="8" w:color="auto"/>
            </w:tcBorders>
          </w:tcPr>
          <w:p>
            <w:pPr>
              <w:spacing w:after="0"/>
              <w:rPr>
                <w:sz w:val="20"/>
                <w:szCs w:val="20"/>
                <w:color w:val="auto"/>
              </w:rPr>
            </w:pPr>
          </w:p>
        </w:tc>
        <w:tc>
          <w:tcPr>
            <w:tcW w:w="7480" w:type="dxa"/>
            <w:vAlign w:val="bottom"/>
            <w:tcBorders>
              <w:right w:val="single" w:sz="8" w:color="auto"/>
            </w:tcBorders>
            <w:gridSpan w:val="2"/>
          </w:tcPr>
          <w:p>
            <w:pPr>
              <w:ind w:left="660"/>
              <w:spacing w:after="0"/>
              <w:rPr>
                <w:sz w:val="20"/>
                <w:szCs w:val="20"/>
                <w:color w:val="auto"/>
              </w:rPr>
            </w:pPr>
            <w:r>
              <w:rPr>
                <w:rFonts w:ascii="Arial" w:cs="Arial" w:eastAsia="Arial" w:hAnsi="Arial"/>
                <w:sz w:val="18"/>
                <w:szCs w:val="18"/>
                <w:color w:val="auto"/>
              </w:rPr>
              <w:t>Events of Default”.</w:t>
            </w:r>
          </w:p>
        </w:tc>
      </w:tr>
      <w:tr>
        <w:trPr>
          <w:trHeight w:val="459"/>
        </w:trPr>
        <w:tc>
          <w:tcPr>
            <w:tcW w:w="35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Listing</w:t>
            </w:r>
          </w:p>
        </w:tc>
        <w:tc>
          <w:tcPr>
            <w:tcW w:w="7480" w:type="dxa"/>
            <w:vAlign w:val="bottom"/>
            <w:tcBorders>
              <w:right w:val="single" w:sz="8" w:color="auto"/>
            </w:tcBorders>
            <w:gridSpan w:val="2"/>
          </w:tcPr>
          <w:p>
            <w:pPr>
              <w:ind w:left="660"/>
              <w:spacing w:after="0"/>
              <w:rPr>
                <w:sz w:val="20"/>
                <w:szCs w:val="20"/>
                <w:color w:val="auto"/>
              </w:rPr>
            </w:pPr>
            <w:r>
              <w:rPr>
                <w:rFonts w:ascii="Arial" w:cs="Arial" w:eastAsia="Arial" w:hAnsi="Arial"/>
                <w:sz w:val="18"/>
                <w:szCs w:val="18"/>
                <w:color w:val="auto"/>
              </w:rPr>
              <w:t>We do not intend to list the Exchange Notes on any securities exchange.</w:t>
            </w:r>
          </w:p>
        </w:tc>
      </w:tr>
      <w:tr>
        <w:trPr>
          <w:trHeight w:val="473"/>
        </w:trPr>
        <w:tc>
          <w:tcPr>
            <w:tcW w:w="35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480" w:type="dxa"/>
            <w:vAlign w:val="bottom"/>
            <w:tcBorders>
              <w:right w:val="single" w:sz="8" w:color="auto"/>
            </w:tcBorders>
            <w:gridSpan w:val="2"/>
          </w:tcPr>
          <w:p>
            <w:pPr>
              <w:ind w:left="660"/>
              <w:spacing w:after="0"/>
              <w:rPr>
                <w:sz w:val="20"/>
                <w:szCs w:val="20"/>
                <w:color w:val="auto"/>
              </w:rPr>
            </w:pPr>
            <w:r>
              <w:rPr>
                <w:rFonts w:ascii="Arial" w:cs="Arial" w:eastAsia="Arial" w:hAnsi="Arial"/>
                <w:sz w:val="18"/>
                <w:szCs w:val="18"/>
                <w:color w:val="auto"/>
              </w:rPr>
              <w:t>We will not receive any proceeds from the Exchange Offer. See “Use of Proceeds”.</w:t>
            </w:r>
          </w:p>
        </w:tc>
      </w:tr>
      <w:tr>
        <w:trPr>
          <w:trHeight w:val="473"/>
        </w:trPr>
        <w:tc>
          <w:tcPr>
            <w:tcW w:w="35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Book-Entry Depository</w:t>
            </w:r>
          </w:p>
        </w:tc>
        <w:tc>
          <w:tcPr>
            <w:tcW w:w="7480" w:type="dxa"/>
            <w:vAlign w:val="bottom"/>
            <w:tcBorders>
              <w:right w:val="single" w:sz="8" w:color="auto"/>
            </w:tcBorders>
            <w:gridSpan w:val="2"/>
          </w:tcPr>
          <w:p>
            <w:pPr>
              <w:ind w:left="660"/>
              <w:spacing w:after="0"/>
              <w:rPr>
                <w:sz w:val="20"/>
                <w:szCs w:val="20"/>
                <w:color w:val="auto"/>
              </w:rPr>
            </w:pPr>
            <w:r>
              <w:rPr>
                <w:rFonts w:ascii="Arial" w:cs="Arial" w:eastAsia="Arial" w:hAnsi="Arial"/>
                <w:sz w:val="18"/>
                <w:szCs w:val="18"/>
                <w:color w:val="auto"/>
              </w:rPr>
              <w:t>The Depository Trust Company (“DTC”).</w:t>
            </w:r>
          </w:p>
        </w:tc>
      </w:tr>
      <w:tr>
        <w:trPr>
          <w:trHeight w:val="473"/>
        </w:trPr>
        <w:tc>
          <w:tcPr>
            <w:tcW w:w="35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Trustee, Registrar and Transfer Agent</w:t>
            </w:r>
          </w:p>
        </w:tc>
        <w:tc>
          <w:tcPr>
            <w:tcW w:w="7480" w:type="dxa"/>
            <w:vAlign w:val="bottom"/>
            <w:tcBorders>
              <w:right w:val="single" w:sz="8" w:color="auto"/>
            </w:tcBorders>
            <w:gridSpan w:val="2"/>
          </w:tcPr>
          <w:p>
            <w:pPr>
              <w:ind w:left="660"/>
              <w:spacing w:after="0"/>
              <w:rPr>
                <w:sz w:val="20"/>
                <w:szCs w:val="20"/>
                <w:color w:val="auto"/>
              </w:rPr>
            </w:pPr>
            <w:r>
              <w:rPr>
                <w:rFonts w:ascii="Arial" w:cs="Arial" w:eastAsia="Arial" w:hAnsi="Arial"/>
                <w:sz w:val="18"/>
                <w:szCs w:val="18"/>
                <w:color w:val="auto"/>
              </w:rPr>
              <w:t>The Bank of New York Mellon Trust Company, N.A.</w:t>
            </w:r>
          </w:p>
        </w:tc>
      </w:tr>
      <w:tr>
        <w:trPr>
          <w:trHeight w:val="473"/>
        </w:trPr>
        <w:tc>
          <w:tcPr>
            <w:tcW w:w="35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Governing Law</w:t>
            </w:r>
          </w:p>
        </w:tc>
        <w:tc>
          <w:tcPr>
            <w:tcW w:w="7480" w:type="dxa"/>
            <w:vAlign w:val="bottom"/>
            <w:tcBorders>
              <w:right w:val="single" w:sz="8" w:color="auto"/>
            </w:tcBorders>
            <w:gridSpan w:val="2"/>
          </w:tcPr>
          <w:p>
            <w:pPr>
              <w:ind w:left="660"/>
              <w:spacing w:after="0"/>
              <w:rPr>
                <w:sz w:val="20"/>
                <w:szCs w:val="20"/>
                <w:color w:val="auto"/>
              </w:rPr>
            </w:pPr>
            <w:r>
              <w:rPr>
                <w:rFonts w:ascii="Arial" w:cs="Arial" w:eastAsia="Arial" w:hAnsi="Arial"/>
                <w:sz w:val="18"/>
                <w:szCs w:val="18"/>
                <w:color w:val="auto"/>
              </w:rPr>
              <w:t>State of New York.</w:t>
            </w:r>
          </w:p>
        </w:tc>
      </w:tr>
      <w:tr>
        <w:trPr>
          <w:trHeight w:val="458"/>
        </w:trPr>
        <w:tc>
          <w:tcPr>
            <w:tcW w:w="35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7480" w:type="dxa"/>
            <w:vAlign w:val="bottom"/>
            <w:tcBorders>
              <w:right w:val="single" w:sz="8" w:color="auto"/>
            </w:tcBorders>
            <w:gridSpan w:val="2"/>
          </w:tcPr>
          <w:p>
            <w:pPr>
              <w:ind w:left="660"/>
              <w:spacing w:after="0"/>
              <w:rPr>
                <w:sz w:val="20"/>
                <w:szCs w:val="20"/>
                <w:color w:val="auto"/>
              </w:rPr>
            </w:pPr>
            <w:r>
              <w:rPr>
                <w:rFonts w:ascii="Arial" w:cs="Arial" w:eastAsia="Arial" w:hAnsi="Arial"/>
                <w:sz w:val="18"/>
                <w:szCs w:val="18"/>
                <w:color w:val="auto"/>
              </w:rPr>
              <w:t>You should consider carefully all of the information set forth in this prospectus and, in</w:t>
            </w:r>
          </w:p>
        </w:tc>
      </w:tr>
      <w:tr>
        <w:trPr>
          <w:trHeight w:val="216"/>
        </w:trPr>
        <w:tc>
          <w:tcPr>
            <w:tcW w:w="356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gridSpan w:val="2"/>
          </w:tcPr>
          <w:p>
            <w:pPr>
              <w:ind w:left="660"/>
              <w:spacing w:after="0"/>
              <w:rPr>
                <w:sz w:val="20"/>
                <w:szCs w:val="20"/>
                <w:color w:val="auto"/>
              </w:rPr>
            </w:pPr>
            <w:r>
              <w:rPr>
                <w:rFonts w:ascii="Arial" w:cs="Arial" w:eastAsia="Arial" w:hAnsi="Arial"/>
                <w:sz w:val="18"/>
                <w:szCs w:val="18"/>
                <w:color w:val="auto"/>
              </w:rPr>
              <w:t>particular, should evaluate the specific factors set forth in the section entitled “Risk</w:t>
            </w:r>
          </w:p>
        </w:tc>
      </w:tr>
      <w:tr>
        <w:trPr>
          <w:trHeight w:val="230"/>
        </w:trPr>
        <w:tc>
          <w:tcPr>
            <w:tcW w:w="3560" w:type="dxa"/>
            <w:vAlign w:val="bottom"/>
            <w:tcBorders>
              <w:left w:val="single" w:sz="8" w:color="auto"/>
            </w:tcBorders>
          </w:tcPr>
          <w:p>
            <w:pPr>
              <w:spacing w:after="0"/>
              <w:rPr>
                <w:sz w:val="20"/>
                <w:szCs w:val="20"/>
                <w:color w:val="auto"/>
              </w:rPr>
            </w:pPr>
          </w:p>
        </w:tc>
        <w:tc>
          <w:tcPr>
            <w:tcW w:w="7480" w:type="dxa"/>
            <w:vAlign w:val="bottom"/>
            <w:tcBorders>
              <w:right w:val="single" w:sz="8" w:color="auto"/>
            </w:tcBorders>
            <w:gridSpan w:val="2"/>
          </w:tcPr>
          <w:p>
            <w:pPr>
              <w:ind w:left="660"/>
              <w:spacing w:after="0"/>
              <w:rPr>
                <w:sz w:val="20"/>
                <w:szCs w:val="20"/>
                <w:color w:val="auto"/>
              </w:rPr>
            </w:pPr>
            <w:r>
              <w:rPr>
                <w:rFonts w:ascii="Arial" w:cs="Arial" w:eastAsia="Arial" w:hAnsi="Arial"/>
                <w:sz w:val="18"/>
                <w:szCs w:val="18"/>
                <w:color w:val="auto"/>
              </w:rPr>
              <w:t>Factors” for an explanation of certain risks of participating in the Exchange Offer.</w:t>
            </w:r>
          </w:p>
        </w:tc>
      </w:tr>
      <w:tr>
        <w:trPr>
          <w:trHeight w:val="240"/>
        </w:trPr>
        <w:tc>
          <w:tcPr>
            <w:tcW w:w="356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680" w:type="dxa"/>
            <w:vAlign w:val="bottom"/>
            <w:tcBorders>
              <w:bottom w:val="single" w:sz="8" w:color="auto"/>
              <w:right w:val="single" w:sz="8" w:color="auto"/>
            </w:tcBorders>
          </w:tcPr>
          <w:p>
            <w:pPr>
              <w:spacing w:after="0"/>
              <w:rPr>
                <w:sz w:val="20"/>
                <w:szCs w:val="20"/>
                <w:color w:val="auto"/>
              </w:rPr>
            </w:pPr>
          </w:p>
        </w:tc>
      </w:tr>
      <w:tr>
        <w:trPr>
          <w:trHeight w:val="604"/>
        </w:trPr>
        <w:tc>
          <w:tcPr>
            <w:tcW w:w="3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80" w:type="dxa"/>
            <w:vAlign w:val="bottom"/>
          </w:tcPr>
          <w:p>
            <w:pPr>
              <w:jc w:val="right"/>
              <w:ind w:right="5290"/>
              <w:spacing w:after="0"/>
              <w:rPr>
                <w:sz w:val="20"/>
                <w:szCs w:val="20"/>
                <w:color w:val="auto"/>
              </w:rPr>
            </w:pPr>
            <w:r>
              <w:rPr>
                <w:rFonts w:ascii="Arial" w:cs="Arial" w:eastAsia="Arial" w:hAnsi="Arial"/>
                <w:sz w:val="18"/>
                <w:szCs w:val="18"/>
                <w:color w:val="auto"/>
              </w:rPr>
              <w:t>- 5 -</w:t>
            </w:r>
          </w:p>
        </w:tc>
      </w:tr>
    </w:tbl>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You should consider carefully the following risks relating to the Exchange Offer and the Notes, together with the risks and uncertainties discussed under “Forward-Looking Statements” and the other information included or incorporated by reference in this prospectus, including the information under the heading “Risk Factors” in our annual report on Form 10-K for the fiscal year ended December 31, 2019, before deciding whether to participate in the Exchange Offer. Additional risks and uncertainties not currently known to the Company, or that the Company currently does not deem material, also may materially impair the Company’s financial condition, results of operations or liquidity.</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the Exchange Offer</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If you fail to exchange your Original Notes, they will continue to be restricted securities and may become less liquid.</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Original Notes that you do not tender or we do not accept will, following the Exchange Offer, continue to be restricted securities, and you may not offer to sell them except pursuant to an exemption from, or in a transaction not subject to, the Securities Act and applicable state securities law. We will issue Exchange Notes in exchange for Original Notes pursuant to the Exchange Offer only following the satisfaction of the procedures and conditions set forth in “The Exchange Offer—Procedures for Tendering”. These procedures and conditions include timely receipt by the Exchange Agent of such Original Notes (or a confirmation of book-entry transfer) and of a properly completed and duly executed letter of transmittal (or an agent’s message from DTC).</w:t>
      </w:r>
    </w:p>
    <w:p>
      <w:pPr>
        <w:spacing w:after="0" w:line="193"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Because we anticipate that most holders of Original Notes will elect to exchange their Original Notes, we expect that the liquidity of the market for any Original Notes remaining after the completion of the Exchange Offer will be substantially limited. Any Original Notes tendered and exchanged in the Exchange Offer will reduce the aggregate principal amount of the Original Notes outstanding. Following the Exchange Offer, if you do not tender your Original Notes you generally will not have any further registration rights, and your Original Notes will continue to be subject to certain transfer restrictions. Accordingly, the liquidity of the market for the Original Notes could be adversely affected.</w:t>
      </w:r>
    </w:p>
    <w:p>
      <w:pPr>
        <w:spacing w:after="0" w:line="281"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i w:val="1"/>
          <w:iCs w:val="1"/>
          <w:color w:val="auto"/>
        </w:rPr>
        <w:t>If an active trading market does not develop for the Exchange Notes, you may be unable to sell the Exchange Notes or to sell them at a price you deem sufficient.</w:t>
      </w:r>
    </w:p>
    <w:p>
      <w:pPr>
        <w:spacing w:after="0" w:line="62"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Exchange Notes are a new issue of securities for which there is currently no public trading market. We do not intend to list the Exchange Notes on any national securities exchange or automated quotation system. Accordingly, there can be no assurance that an active market will develop upon completion of the Exchange Offer or, if it develops, that such market will be sustained, or as to the liquidity of any market. If an active market does not develop or is not sustained, the market price and the liquidity of the Exchange Notes may be adversely affected. In addition, the liquidity of the trading market for the Exchange Notes, if it develops, and the market price quoted for the Exchange Notes, may be adversely affected by changes in the overall market for those securities and by changes in our financial performance or prospects or in the prospects for companies in our industry generally.</w:t>
      </w:r>
    </w:p>
    <w:p>
      <w:pPr>
        <w:spacing w:after="0" w:line="273"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i w:val="1"/>
          <w:iCs w:val="1"/>
          <w:color w:val="auto"/>
        </w:rPr>
        <w:t>If you are a broker-dealer or participating in a distribution of the Exchange Notes, you may be required to deliver prospectuses and comply with other requirements.</w:t>
      </w:r>
    </w:p>
    <w:p>
      <w:pPr>
        <w:spacing w:after="0" w:line="62"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If you tender your Original Notes for the purpose of participating in a distribution of the Exchange Notes, you will be required to comply with the registration and prospectus delivery requirements of the Securities Act in connection with any resale of the Exchange Notes. If you are a broker-dealer that receives Exchange Notes for your own account in exchange for Original Notes that you acquired as a result of market-making activities or any other trading activities, you will be required to acknowledge that you will deliver a prospectus in connection with any resale of such Exchange Notes.</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The Exchange Offer is intended to satisfy our obligations under the Registration Rights Agreement entered into in connection with the issuance of the Original Notes. We will not receive any cash proceeds from the issuance of the Exchange Notes in the Exchange Offer.</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consideration for issuing the Exchange Notes as contemplated by this prospectus, we will receive the Original Notes in like principal amount.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Original Notes surrendered and exchanged for the Exchange Notes will be retired and canceled and cannot be reissued.</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180"/>
          </w:cols>
          <w:pgMar w:left="24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following consolidated selected financial data should be read in conjunction with “Management’s Discussion and Analysis of Financial Condition and Results of Operations” contained in our Annual Report on Form 10-K dated February 7, 2020, and the consolidated financial statements and related notes of Union Pacific Corporation incorporated by reference herein. The consolidated selected financial data as of, and for the years ended, December 31, for each of the last five years were derived from the audited consolidated financial statements and notes thereto of Union Pacific Corporation.</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0" w:type="dxa"/>
            <w:vAlign w:val="bottom"/>
            <w:gridSpan w:val="3"/>
          </w:tcPr>
          <w:p>
            <w:pPr>
              <w:spacing w:after="0"/>
              <w:rPr>
                <w:sz w:val="20"/>
                <w:szCs w:val="20"/>
                <w:color w:val="auto"/>
              </w:rPr>
            </w:pPr>
            <w:r>
              <w:rPr>
                <w:rFonts w:ascii="Arial" w:cs="Arial" w:eastAsia="Arial" w:hAnsi="Arial"/>
                <w:sz w:val="14"/>
                <w:szCs w:val="14"/>
                <w:b w:val="1"/>
                <w:bCs w:val="1"/>
                <w:color w:val="auto"/>
              </w:rPr>
              <w:t>Millions, Except per Share Amounts,</w:t>
            </w:r>
          </w:p>
        </w:tc>
        <w:tc>
          <w:tcPr>
            <w:tcW w:w="1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1"/>
        </w:trPr>
        <w:tc>
          <w:tcPr>
            <w:tcW w:w="5200" w:type="dxa"/>
            <w:vAlign w:val="bottom"/>
            <w:gridSpan w:val="3"/>
          </w:tcPr>
          <w:p>
            <w:pPr>
              <w:spacing w:after="0"/>
              <w:rPr>
                <w:sz w:val="20"/>
                <w:szCs w:val="20"/>
                <w:color w:val="auto"/>
              </w:rPr>
            </w:pPr>
            <w:r>
              <w:rPr>
                <w:rFonts w:ascii="Arial" w:cs="Arial" w:eastAsia="Arial" w:hAnsi="Arial"/>
                <w:sz w:val="14"/>
                <w:szCs w:val="14"/>
                <w:b w:val="1"/>
                <w:bCs w:val="1"/>
                <w:color w:val="auto"/>
              </w:rPr>
              <w:t>Carloads, Employee Statistics, and Ratios</w:t>
            </w:r>
          </w:p>
        </w:tc>
        <w:tc>
          <w:tcPr>
            <w:tcW w:w="20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6"/>
                <w:szCs w:val="16"/>
                <w:color w:val="auto"/>
              </w:rPr>
            </w:pPr>
          </w:p>
        </w:tc>
        <w:tc>
          <w:tcPr>
            <w:tcW w:w="7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2017(a)</w:t>
            </w:r>
          </w:p>
        </w:tc>
        <w:tc>
          <w:tcPr>
            <w:tcW w:w="7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6"/>
                <w:szCs w:val="16"/>
                <w:color w:val="auto"/>
              </w:rPr>
            </w:pPr>
          </w:p>
        </w:tc>
        <w:tc>
          <w:tcPr>
            <w:tcW w:w="7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25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0"/>
              </w:rPr>
              <w:t>For the Year Ended December 31</w:t>
            </w:r>
          </w:p>
        </w:tc>
        <w:tc>
          <w:tcPr>
            <w:tcW w:w="262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Operating revenues (b)</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$21,708</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$22,832</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$21,240</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$19,941</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$21,813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8,554</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8,517</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8,106</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7,243</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8,082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5,919</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5,966</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10,712</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4,233</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4,772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share—basic</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Earnings per share—diluted</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8.38</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7.91</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13.36</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5.07</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Cash provided by operating activities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8,609</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8,686</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7,230</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7,525</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7,344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used in investing activities</w:t>
            </w:r>
          </w:p>
        </w:tc>
        <w:tc>
          <w:tcPr>
            <w:tcW w:w="2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(3,435)</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(3,411)</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(3,086)</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(3,393)</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(4,476)</w:t>
            </w: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Cash used in financing activities</w:t>
            </w:r>
          </w:p>
        </w:tc>
        <w:tc>
          <w:tcPr>
            <w:tcW w:w="2240" w:type="dxa"/>
            <w:vAlign w:val="bottom"/>
            <w:gridSpan w:val="3"/>
          </w:tcPr>
          <w:p>
            <w:pPr>
              <w:jc w:val="right"/>
              <w:ind w:right="140"/>
              <w:spacing w:after="0"/>
              <w:rPr>
                <w:sz w:val="20"/>
                <w:szCs w:val="20"/>
                <w:color w:val="auto"/>
              </w:rPr>
            </w:pPr>
            <w:r>
              <w:rPr>
                <w:rFonts w:ascii="Arial" w:cs="Arial" w:eastAsia="Arial" w:hAnsi="Arial"/>
                <w:sz w:val="18"/>
                <w:szCs w:val="18"/>
                <w:color w:val="auto"/>
              </w:rPr>
              <w:t>(5,646)</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(5,222)</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(4,146)</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(4,246)</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(3,063)</w:t>
            </w: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used for share repurchase programs</w:t>
            </w:r>
          </w:p>
        </w:tc>
        <w:tc>
          <w:tcPr>
            <w:tcW w:w="2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(5,804)</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(8,225)</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(4,013)</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(3,105)</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(3,465)</w:t>
            </w:r>
          </w:p>
        </w:tc>
      </w:tr>
      <w:tr>
        <w:trPr>
          <w:trHeight w:val="223"/>
        </w:trPr>
        <w:tc>
          <w:tcPr>
            <w:tcW w:w="5200" w:type="dxa"/>
            <w:vAlign w:val="bottom"/>
            <w:gridSpan w:val="3"/>
          </w:tcPr>
          <w:p>
            <w:pPr>
              <w:spacing w:after="0"/>
              <w:rPr>
                <w:sz w:val="20"/>
                <w:szCs w:val="20"/>
                <w:color w:val="auto"/>
              </w:rPr>
            </w:pPr>
            <w:r>
              <w:rPr>
                <w:rFonts w:ascii="Arial" w:cs="Arial" w:eastAsia="Arial" w:hAnsi="Arial"/>
                <w:sz w:val="18"/>
                <w:szCs w:val="18"/>
                <w:b w:val="1"/>
                <w:bCs w:val="1"/>
                <w:color w:val="auto"/>
              </w:rPr>
              <w:t>At December 31</w:t>
            </w:r>
          </w:p>
        </w:tc>
        <w:tc>
          <w:tcPr>
            <w:tcW w:w="14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$61,673</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$59,147</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$57,806</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$55,718</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Long-term obligations (c)</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39,194</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34,098</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29,011</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32,146</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30,692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due after one year</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23,943</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20,925</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16,144</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14,249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13,607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Common shareholders’ equity</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18,128</w:t>
            </w:r>
          </w:p>
        </w:tc>
        <w:tc>
          <w:tcPr>
            <w:tcW w:w="2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20,423</w:t>
            </w:r>
          </w:p>
        </w:tc>
        <w:tc>
          <w:tcPr>
            <w:tcW w:w="2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24,856</w:t>
            </w:r>
          </w:p>
        </w:tc>
        <w:tc>
          <w:tcPr>
            <w:tcW w:w="2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19,932</w:t>
            </w:r>
          </w:p>
        </w:tc>
        <w:tc>
          <w:tcPr>
            <w:tcW w:w="1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20,702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Additional Data</w:t>
            </w:r>
          </w:p>
        </w:tc>
        <w:tc>
          <w:tcPr>
            <w:tcW w:w="14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Freight revenues (b)</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$20,243</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$21,384</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$19,837</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$18,601</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$20,397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carloads (units) (000)</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8,346</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8,908</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8,588</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8,442</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9,062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Operating ratio (%) (d)</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60.6</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62.7</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61.8</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63.7</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employees (000)</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CCEEFF"/>
          </w:tcPr>
          <w:p>
            <w:pPr>
              <w:spacing w:after="0"/>
              <w:rPr>
                <w:sz w:val="18"/>
                <w:szCs w:val="18"/>
                <w:color w:val="auto"/>
              </w:rPr>
            </w:pPr>
          </w:p>
        </w:tc>
      </w:tr>
      <w:tr>
        <w:trPr>
          <w:trHeight w:val="223"/>
        </w:trPr>
        <w:tc>
          <w:tcPr>
            <w:tcW w:w="5200" w:type="dxa"/>
            <w:vAlign w:val="bottom"/>
            <w:gridSpan w:val="3"/>
          </w:tcPr>
          <w:p>
            <w:pPr>
              <w:spacing w:after="0"/>
              <w:rPr>
                <w:sz w:val="20"/>
                <w:szCs w:val="20"/>
                <w:color w:val="auto"/>
              </w:rPr>
            </w:pPr>
            <w:r>
              <w:rPr>
                <w:rFonts w:ascii="Arial" w:cs="Arial" w:eastAsia="Arial" w:hAnsi="Arial"/>
                <w:sz w:val="18"/>
                <w:szCs w:val="18"/>
                <w:b w:val="1"/>
                <w:bCs w:val="1"/>
                <w:color w:val="auto"/>
              </w:rPr>
              <w:t>Financial Ratios (%)</w:t>
            </w:r>
          </w:p>
        </w:tc>
        <w:tc>
          <w:tcPr>
            <w:tcW w:w="14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Return on average common shareholders’ equity (e)</w:t>
            </w:r>
          </w:p>
        </w:tc>
        <w:tc>
          <w:tcPr>
            <w:tcW w:w="14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8" w:lineRule="exact"/>
        <w:rPr>
          <w:sz w:val="20"/>
          <w:szCs w:val="20"/>
          <w:color w:val="auto"/>
        </w:rPr>
      </w:pPr>
    </w:p>
    <w:p>
      <w:pPr>
        <w:ind w:left="640" w:right="240" w:hanging="436"/>
        <w:spacing w:after="0" w:line="25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2017 includes a $5.9 billion non-cash reduction to income tax expense and $212 million non-cash reduction to operating expenses related to the Tax Cuts and Jobs Act enacted on December 22, 2017.</w:t>
      </w:r>
    </w:p>
    <w:p>
      <w:pPr>
        <w:spacing w:after="0" w:line="1" w:lineRule="exact"/>
        <w:rPr>
          <w:rFonts w:ascii="Arial" w:cs="Arial" w:eastAsia="Arial" w:hAnsi="Arial"/>
          <w:sz w:val="18"/>
          <w:szCs w:val="18"/>
          <w:color w:val="auto"/>
        </w:rPr>
      </w:pPr>
    </w:p>
    <w:p>
      <w:pPr>
        <w:jc w:val="both"/>
        <w:ind w:left="640" w:right="260" w:hanging="436"/>
        <w:spacing w:after="0" w:line="281"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fuel surcharge revenue of $1.6 billion, $1.7 billion, $966 million, $560 million, and $1.3 billion for 2019, 2018, 2017, 2016, and 2015, respectively, which partially offsets increased operating expenses for fuel. (See further discussion in Management’s Discussion and Analysis of Financial Condition and Results of Operations—Item 7, contained in our Annual Report on Form 10-K dated February 7, 2020.)</w:t>
      </w:r>
    </w:p>
    <w:p>
      <w:pPr>
        <w:spacing w:after="0" w:line="2" w:lineRule="exact"/>
        <w:rPr>
          <w:rFonts w:ascii="Arial" w:cs="Arial" w:eastAsia="Arial" w:hAnsi="Arial"/>
          <w:sz w:val="16"/>
          <w:szCs w:val="16"/>
          <w:color w:val="auto"/>
        </w:rPr>
      </w:pPr>
    </w:p>
    <w:p>
      <w:pPr>
        <w:ind w:left="640" w:hanging="43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Long-term obligations is determined as follows: total liabilities less current liabilities.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ratio is defined as operating expenses divided by operating revenues.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Return on average common shareholders’ equity is determined as follows: Net income divided by average common shareholders’ equity.</w:t>
      </w:r>
    </w:p>
    <w:p>
      <w:pPr>
        <w:spacing w:after="0" w:line="154" w:lineRule="exact"/>
        <w:rPr>
          <w:rFonts w:ascii="Arial" w:cs="Arial" w:eastAsia="Arial" w:hAnsi="Arial"/>
          <w:sz w:val="17"/>
          <w:szCs w:val="17"/>
          <w:color w:val="auto"/>
        </w:rPr>
      </w:pPr>
    </w:p>
    <w:p>
      <w:pPr>
        <w:ind w:left="5660" w:hanging="96"/>
        <w:spacing w:after="0"/>
        <w:tabs>
          <w:tab w:leader="none" w:pos="5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THE EXCHANGE NOTES</w:t>
      </w:r>
    </w:p>
    <w:p>
      <w:pPr>
        <w:spacing w:after="0" w:line="229"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Set forth below is a description of the specific terms of the Exchange Notes. This description does not purport to be complete and is subject to, and is qualified in its entirety by reference to, all the provisions of the Indenture (as defined below). The particular provisions of the Indenture referred to below are incorporated by reference in this prospectus. Capitalized terms used in this “Description of the Exchange Notes” that are not defined in this prospectus have the meanings given to them in the Indenture. When used in this section, the terms “Union Pacific”, “we”, “our” and “us” refer solely to Union Pacific Corporation and not to our consolidated subsidiaries. The terms of the Exchange Notes are identical in all material respects to the terms of the Original Notes for which they will be exchanged, except that the Exchange Notes will be issued in a transaction registered under the Securities Act and the transfer restrictions and registration rights relating to such Original Notes, including the right to additional interest in certain circumstances, will not apply to such Exchange Notes.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The Original Notes were and the Exchange Notes will be issued under an indenture (the “Indenture”) dated as of April 1, 1999 between Union Pacific and The Bank of New York Mellon Trust Company, N.A., as successor to The Bank of New York Mellon (formerly known as The Bank of New York), as successor to JPMorgan Chase Bank, N.A. (formerly known as The Chase Manhattan Bank), as trustee (the “Trustee”).</w:t>
      </w:r>
    </w:p>
    <w:p>
      <w:pPr>
        <w:spacing w:after="0" w:line="166"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Any Original Notes that remain outstanding after completion of the Exchange Offer, together with the Exchange Notes issued in the Exchange Offer, will be treated as a single series of securities under the Indenture. Each of the Original Notes and the Exchange Notes are initially limited in aggregate principal amount to $1,841,950,000. The Exchange Notes will be issued in fully registered, global form only, in denominations of $1,000 and integral multiples of $1,000 in excess thereof. The Exchange Notes will mature on March 20, 2060. The Exchange Notes will be issued as a series of senior debt securities under the Indenture. The Indenture does not limit the amount of other debt that we may incur. We may, from time to time, without the consent of the holders of the Notes, issue other debt securities under the Indenture in addition to the Exchange Notes as may be authorized from time to time by our board of directors. We may also, from time to time, without the consent of the holders of the Notes, issue additional debt securities having the same ranking and the same interest rate, maturity and other terms as each of the Original Notes or the Exchange Notes. Any additional debt securities having those similar terms, together with the Original Notes or the Exchange Notes, as applicable, will constitute a single series of debt securities under the Indenture if such additional debt securities are fungible with the Notes for U.S. federal income tax purposes.</w:t>
      </w:r>
    </w:p>
    <w:p>
      <w:pPr>
        <w:spacing w:after="0" w:line="169"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color w:val="auto"/>
        </w:rPr>
        <w:t>The Exchange Notes will bear interest at the rate of 3.839% per annum from the most recent interest payment date to which interest on the Original Notes has been paid or, if no interest has been paid on the Original Notes, from November 20, 2019. Accrued and unpaid interest will be payable semiannually on March 20 and September 20 of each year, beginning on March 20, 2020, to the persons in whose names the Exchange Notes are registered at the close of business on the immediately preceding March 1 and September 1, respectively, whether or not that day is a business day.</w:t>
      </w:r>
    </w:p>
    <w:p>
      <w:pPr>
        <w:spacing w:after="0" w:line="154"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 xml:space="preserve">The Exchange Notes will be unsecured obligations of Union Pacific and will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other unsecured and unsubordinated indebtedness of Union Pacific.</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Exchange Notes do not provide for any sinking fund.</w:t>
      </w:r>
    </w:p>
    <w:p>
      <w:pPr>
        <w:spacing w:after="0" w:line="225"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Other than the limitation on liens and the change of control repurchase event described below, the Indenture and the Exchange Notes do not contain any provisions that may afford you protection in the event of a highly leveraged transaction or other transaction that may occur in connection with a change of control of Union Pacific or any subsidiary.</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Ranking of the Exchange Notes; Holding Company Structure</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Exchange Notes will be our direct, unsecured unsubordinated obligations and will rank on a parity in right of payment with all of our other unsecured and unsubordinated indebtedness. As a holding company, we have no material assets other than our ownership of the common stock of our subsidiaries. We will rely primarily upon distributions and other amounts received from our subsidiaries to meet the payment obligations under the Exchange Notes. Our subsidiaries are separate and distinct legal entities and have no obligation, contingent or otherwise, to pay amounts due under the Exchange Notes or otherwise to make any funds available to us. This includes the payment of dividends or other distributions or the extension of loans or advances. Further, the ability of our subsidiaries to make any payments to us would be dependent upon the terms of any credit facilities or other debt instruments of the subsidiaries and upon the subsidiaries’ earnings, which are subject to various business and other risks. In a bankruptcy or insolvency proceeding, claims of holders of the Exchange Notes would be satisfied solely from our equity interests in our subsidiaries remaining after the satisfaction of claims of creditors of the subsidiaries. Accordingly, the Exchange Notes will be effectively subordinated to existing and future liabilities of our subsidiaries to their respective creditors.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 on Liens of Domestic Subsidiaries</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 xml:space="preserve">The Indenture provides that we will not, nor will we permit any Subsidiary to, create, assume, incur or suffer to exist any Mortgage upon any stock or indebtedness, whether owned on the date of the Indenture or thereafter acquired, of any Domestic Subsidiary, to secure any debt of the Company or any other person (other than the debt securities under the Indenture), without in any such case making effective provision whereby all the outstanding debt securities shall be directly secured equally and ratably with such debt. This restriction does not include any Mortgage upon stock or indebtedness of a corporation existing at the time such corporation becomes a Domestic Subsidiary or at the time stock or indebtedness of a Domestic Subsidiary is acquired and any extension, renewal or replacement (or successive extensions, renewals or replacements) in whole or in part of any such Mortgage;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principal amount of the debt secured thereby shall not exceed the principal amount of debt so secured at the time of such extension, renewal or replacement;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such Mortgage shall be limited to all or such part of the stock or indebtedness which secured the Mortgage so extended, renewed or replaced. (Section 1006)</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 respect to the foregoing and pursuant to Section 101 of the Indenture: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“Debt” </w:t>
      </w:r>
      <w:r>
        <w:rPr>
          <w:rFonts w:ascii="Arial" w:cs="Arial" w:eastAsia="Arial" w:hAnsi="Arial"/>
          <w:sz w:val="18"/>
          <w:szCs w:val="18"/>
          <w:color w:val="auto"/>
        </w:rPr>
        <w:t>means indebtedness for money borrowed.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“Domestic Subsidiary” </w:t>
      </w:r>
      <w:r>
        <w:rPr>
          <w:rFonts w:ascii="Arial" w:cs="Arial" w:eastAsia="Arial" w:hAnsi="Arial"/>
          <w:sz w:val="17"/>
          <w:szCs w:val="17"/>
          <w:color w:val="auto"/>
        </w:rPr>
        <w:t>means a Subsidiary incorporated or conducting its principal operations within the United States or any State thereof.</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“Mortgage” </w:t>
      </w:r>
      <w:r>
        <w:rPr>
          <w:rFonts w:ascii="Arial" w:cs="Arial" w:eastAsia="Arial" w:hAnsi="Arial"/>
          <w:sz w:val="18"/>
          <w:szCs w:val="18"/>
          <w:color w:val="auto"/>
        </w:rPr>
        <w:t>means any mortgage, pledge, lien, encumbrance, charge or security interest of any kind.</w:t>
      </w:r>
    </w:p>
    <w:p>
      <w:pPr>
        <w:spacing w:after="0" w:line="225"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when used with respect to us, means any corporation of which a majority of the outstanding voting stock is owned,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by us or by one or more of our other subsidiaries, or both.</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At any time and from time to time, the Exchange Notes will be redeemable, in whole or in part, at our option, at a redemption price equal to the greater of (i) 100% of the principal amount of the Exchange Notes to be redeemed and (ii) the sum of the present values of the remaining scheduled payments of principal and interest on the Exchange Notes to be redeemed that would be due if such series of notes matured on the Par Call Date (exclusive of interest accrued to the date of redemption), discounted to the date of redemption on a semi-annual basis (assuming a 360-day year consisting of twelve 30-day months) at the then-current Treasury Rate, plus 25 basis points, plus accrued and unpaid interest on the principal amount being redeemed to the date of redemption;</w:t>
      </w:r>
    </w:p>
    <w:p>
      <w:pPr>
        <w:spacing w:after="0" w:line="12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100"/>
          </w:cols>
          <w:pgMar w:left="240" w:top="459" w:right="5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308"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 that if we redeem the Exchange Notes on or after the Par Call Date, the redemption price will be equal to 100% of the principal amount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Notes to be redeemed, plus accrued and unpaid interest on the principal amount being redeemed to the date of redemption.</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the foregoing, the following definitions are applicable:</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i w:val="1"/>
          <w:iCs w:val="1"/>
          <w:color w:val="auto"/>
        </w:rPr>
        <w:t xml:space="preserve">“Treasury Rate” </w:t>
      </w:r>
      <w:r>
        <w:rPr>
          <w:rFonts w:ascii="Arial" w:cs="Arial" w:eastAsia="Arial" w:hAnsi="Arial"/>
          <w:sz w:val="18"/>
          <w:szCs w:val="18"/>
          <w:color w:val="auto"/>
        </w:rPr>
        <w:t>means, with respect to the Exchange Notes, on any redemption date, the rate per annum equal to the semi-annual equivalent yield</w:t>
      </w:r>
      <w:r>
        <w:rPr>
          <w:rFonts w:ascii="Arial" w:cs="Arial" w:eastAsia="Arial" w:hAnsi="Arial"/>
          <w:sz w:val="18"/>
          <w:szCs w:val="18"/>
          <w:i w:val="1"/>
          <w:iCs w:val="1"/>
          <w:color w:val="auto"/>
        </w:rPr>
        <w:t xml:space="preserve"> </w:t>
      </w:r>
      <w:r>
        <w:rPr>
          <w:rFonts w:ascii="Arial" w:cs="Arial" w:eastAsia="Arial" w:hAnsi="Arial"/>
          <w:sz w:val="18"/>
          <w:szCs w:val="18"/>
          <w:color w:val="auto"/>
        </w:rPr>
        <w:t>to maturity of the Comparable Treasury Issue, calculated using a price for the Comparable Treasury Issue (expressed as a percentage of its principal amount) equal to the Comparable Treasury Price for such redemption date. The Treasury Rate shall be calculated on the third Business Day preceding the redemption date.</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any calendar day that is not a Saturday, Sunday or legal holiday in New York, New York and on which banking institutions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trust companies are open for business in New York, New York.</w:t>
      </w:r>
    </w:p>
    <w:p>
      <w:pPr>
        <w:spacing w:after="0" w:line="170"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i w:val="1"/>
          <w:iCs w:val="1"/>
          <w:color w:val="auto"/>
        </w:rPr>
        <w:t xml:space="preserve">“Comparable Treasury Issue” </w:t>
      </w:r>
      <w:r>
        <w:rPr>
          <w:rFonts w:ascii="Arial" w:cs="Arial" w:eastAsia="Arial" w:hAnsi="Arial"/>
          <w:sz w:val="18"/>
          <w:szCs w:val="18"/>
          <w:color w:val="auto"/>
        </w:rPr>
        <w:t>means the United States Treasury security selected by an Independent Investment Banker as having a maturity</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to the remaining term of the Exchange Notes to be redeemed (assuming, for this purpose, that the Exchange Notes matured on the Par Call Date) that would be utilized, at the time of selection and in accordance with customary financial practice, in pricing new issues of corporate debt securities of comparable maturity to the remaining term of the Exchange Notes..</w:t>
      </w:r>
    </w:p>
    <w:p>
      <w:pPr>
        <w:spacing w:after="0" w:line="18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i w:val="1"/>
          <w:iCs w:val="1"/>
          <w:color w:val="auto"/>
        </w:rPr>
        <w:t xml:space="preserve">“Comparable Treasury Price” </w:t>
      </w:r>
      <w:r>
        <w:rPr>
          <w:rFonts w:ascii="Arial" w:cs="Arial" w:eastAsia="Arial" w:hAnsi="Arial"/>
          <w:sz w:val="18"/>
          <w:szCs w:val="18"/>
          <w:color w:val="auto"/>
        </w:rPr>
        <w:t>means, with respect to any redemption date, the average of the Reference Treasury Dealer Quotations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date.</w:t>
      </w:r>
    </w:p>
    <w:p>
      <w:pPr>
        <w:spacing w:after="0" w:line="170"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i w:val="1"/>
          <w:iCs w:val="1"/>
          <w:color w:val="auto"/>
        </w:rPr>
        <w:t xml:space="preserve">“Independent Investment Banker” </w:t>
      </w:r>
      <w:r>
        <w:rPr>
          <w:rFonts w:ascii="Arial" w:cs="Arial" w:eastAsia="Arial" w:hAnsi="Arial"/>
          <w:sz w:val="18"/>
          <w:szCs w:val="18"/>
          <w:color w:val="auto"/>
        </w:rPr>
        <w:t>means, each of Credit Suisse Securities (USA) LLC, Barclays Capital Inc. or Morgan Stanley &amp; Co. LLC or</w:t>
      </w:r>
      <w:r>
        <w:rPr>
          <w:rFonts w:ascii="Arial" w:cs="Arial" w:eastAsia="Arial" w:hAnsi="Arial"/>
          <w:sz w:val="18"/>
          <w:szCs w:val="18"/>
          <w:i w:val="1"/>
          <w:iCs w:val="1"/>
          <w:color w:val="auto"/>
        </w:rPr>
        <w:t xml:space="preserve"> </w:t>
      </w:r>
      <w:r>
        <w:rPr>
          <w:rFonts w:ascii="Arial" w:cs="Arial" w:eastAsia="Arial" w:hAnsi="Arial"/>
          <w:sz w:val="18"/>
          <w:szCs w:val="18"/>
          <w:color w:val="auto"/>
        </w:rPr>
        <w:t>their respective successors as appointed by us, or, if such firms are unwilling or unable to select the Comparable Treasury Issue, an independent investment banking institution of national standing appointed by us.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 Call Date</w:t>
      </w:r>
      <w:r>
        <w:rPr>
          <w:rFonts w:ascii="Arial" w:cs="Arial" w:eastAsia="Arial" w:hAnsi="Arial"/>
          <w:sz w:val="18"/>
          <w:szCs w:val="18"/>
          <w:color w:val="auto"/>
        </w:rPr>
        <w:t>” means September 20, 2059.</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i w:val="1"/>
          <w:iCs w:val="1"/>
          <w:color w:val="auto"/>
        </w:rPr>
        <w:t xml:space="preserve">“Reference Treasury Dealer” </w:t>
      </w:r>
      <w:r>
        <w:rPr>
          <w:rFonts w:ascii="Arial" w:cs="Arial" w:eastAsia="Arial" w:hAnsi="Arial"/>
          <w:sz w:val="18"/>
          <w:szCs w:val="18"/>
          <w:color w:val="auto"/>
        </w:rPr>
        <w:t>means (i) each of Credit Suisse Securities (USA) LLC, Barclays Capital Inc. and Morgan Stanley &amp; Co. LLC and</w:t>
      </w:r>
      <w:r>
        <w:rPr>
          <w:rFonts w:ascii="Arial" w:cs="Arial" w:eastAsia="Arial" w:hAnsi="Arial"/>
          <w:sz w:val="18"/>
          <w:szCs w:val="18"/>
          <w:i w:val="1"/>
          <w:iCs w:val="1"/>
          <w:color w:val="auto"/>
        </w:rPr>
        <w:t xml:space="preserve"> </w:t>
      </w:r>
      <w:r>
        <w:rPr>
          <w:rFonts w:ascii="Arial" w:cs="Arial" w:eastAsia="Arial" w:hAnsi="Arial"/>
          <w:sz w:val="18"/>
          <w:szCs w:val="18"/>
          <w:color w:val="auto"/>
        </w:rPr>
        <w:t>their respective successors and affiliates, provided, however, that if any of the foregoing is not at the time a primary U.S. Government securities dealer in New York City (a “Primary Treasury Dealer”), we will substitute therefor another Primary Treasury Dealer and (ii) any other Primary Treasury Dealer selected by the Independent Investment Banker after consultation with us.</w:t>
      </w:r>
    </w:p>
    <w:p>
      <w:pPr>
        <w:spacing w:after="0" w:line="18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i w:val="1"/>
          <w:iCs w:val="1"/>
          <w:color w:val="auto"/>
        </w:rPr>
        <w:t xml:space="preserve">“Reference Treasury Dealer Quotations” </w:t>
      </w:r>
      <w:r>
        <w:rPr>
          <w:rFonts w:ascii="Arial" w:cs="Arial" w:eastAsia="Arial" w:hAnsi="Arial"/>
          <w:sz w:val="18"/>
          <w:szCs w:val="18"/>
          <w:color w:val="auto"/>
        </w:rPr>
        <w:t>means, with respect to each Reference Treasury Dealer and any redemption date, the average, 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Independent Investment Banker, of the bid and asked prices for the related Comparable Treasury Issue (expressed in each case as a percentage of its principal amount) quoted in writing to the Independent Investment Banker by such Reference Treasury Dealer at 5:00 p.m., New York City time, on the third Business Day preceding such redemption date.</w:t>
      </w:r>
    </w:p>
    <w:p>
      <w:pPr>
        <w:spacing w:after="0" w:line="187"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Notice of the redemption will be transmitted to holders of the Exchange Notes to be redeemed at least 30 and not more than 60 days prior to the date fixed for redemption. If we elect to redeem fewer than all of the Exchange Notes are to be redeemed, the Trustee will select, not more than 60 days prior to the redemption date, the particular Exchange Notes or portions thereof for redemption from the outstanding Exchange Notes not previously called by such method as the Trustee deems fair and appropriate; provided that, in the case of Exchange Notes held as a global Exchange Note such Exchange Notes to be redeemed shall be selected in accordance with the applicable policies and procedures of DTC.</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 of Control Repurchase Event</w:t>
      </w:r>
    </w:p>
    <w:p>
      <w:pPr>
        <w:spacing w:after="0" w:line="121"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If a change of control repurchase event occurs with respect to the Exchange Notes, unless we have exercised our right to redeem the Exchange Notes as described above, we will be required to make an offer to each holder of the Exchange Notes to repurchase all or any part (in integral multiples of $1,000) of that holder’s Exchange Notes at a repurchase price in cash equal to 101% of the aggregate principal amount of such Exchange Notes repurchased plus any accrued and unpaid interest on the Exchange Notes repurchased to, but not including, the date of repurchase. Within 30 days following a change of control repurchase event with respect to the Exchange Notes or, at our option, prior to a change of control, but after the public announcement of the change of control, we will deliver a notice to each holder of the Exchange Notes, with a copy to the Trustee, describing the transaction or transactions that constitute or may constitute the change of control repurchase event and offering to repurchase Exchange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a change of control repurchase event occurring as to the Exchange Notes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Exchange Notes as a result of a change of control repurchase event. To the extent that the provisions of any securities laws or regulations conflict with the change of control repurchase event provisions of the Exchange Notes, we will comply with the applicable securities laws and regulations and will not be deemed to have breached our obligations under the change of control repurchase event provisions of the Exchange Notes by virtue of such conflict.</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the repurchase date following a change of control repurchase event with respect to the Exchange Notes, we will, to the extent lawful:</w:t>
      </w:r>
    </w:p>
    <w:p>
      <w:pPr>
        <w:spacing w:after="0" w:line="237" w:lineRule="exact"/>
        <w:rPr>
          <w:sz w:val="20"/>
          <w:szCs w:val="20"/>
          <w:color w:val="auto"/>
        </w:rPr>
      </w:pPr>
    </w:p>
    <w:p>
      <w:pPr>
        <w:ind w:left="900" w:hanging="25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accept for payment all Exchange Notes or portions of Exchange Notes properly tendered pursuant to our offer;</w:t>
      </w:r>
    </w:p>
    <w:p>
      <w:pPr>
        <w:spacing w:after="0" w:line="225" w:lineRule="exact"/>
        <w:rPr>
          <w:rFonts w:ascii="Arial" w:cs="Arial" w:eastAsia="Arial" w:hAnsi="Arial"/>
          <w:sz w:val="18"/>
          <w:szCs w:val="18"/>
          <w:color w:val="auto"/>
        </w:rPr>
      </w:pPr>
    </w:p>
    <w:p>
      <w:pPr>
        <w:ind w:left="200" w:right="440" w:firstLine="444"/>
        <w:spacing w:after="0" w:line="277" w:lineRule="auto"/>
        <w:tabs>
          <w:tab w:leader="none" w:pos="896"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deposit with the Trustee an amount equal to the aggregate purchase price in respect of all Exchange Notes or portions of Exchange Notes properly tendered; and</w:t>
      </w:r>
    </w:p>
    <w:p>
      <w:pPr>
        <w:spacing w:after="0" w:line="170" w:lineRule="exact"/>
        <w:rPr>
          <w:rFonts w:ascii="Arial" w:cs="Arial" w:eastAsia="Arial" w:hAnsi="Arial"/>
          <w:sz w:val="18"/>
          <w:szCs w:val="18"/>
          <w:color w:val="auto"/>
        </w:rPr>
      </w:pPr>
    </w:p>
    <w:p>
      <w:pPr>
        <w:jc w:val="both"/>
        <w:ind w:left="200" w:firstLine="444"/>
        <w:spacing w:after="0" w:line="264" w:lineRule="auto"/>
        <w:tabs>
          <w:tab w:leader="none" w:pos="896"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Exchange Notes properly accepted, together with an officers’ certificate stating the aggregate principal amount of Exchange Notes being purchased by us and that all conditions precedent provided for in the Indenture to the repurchase offer and to the repurchase by us of Exchange Notes pursuant to the repurchase offer have been complied with.</w:t>
      </w:r>
    </w:p>
    <w:p>
      <w:pPr>
        <w:spacing w:after="0" w:line="181"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The paying agent will promptly deliver to each holder of Exchange Notes properly tendered the purchase price for the Exchange Notes, and the Trustee will promptly authenticate and deliver (or cause to be transferred by book-entry) to each holder a note equal in principal amount to any unpurchased portion of any Exchange Notes surrendered; provided that each such note will be in a principal amount of an integral multiple of $1,000.</w:t>
      </w:r>
    </w:p>
    <w:p>
      <w:pPr>
        <w:spacing w:after="0" w:line="14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will not be required to make an offer to repurchase the Exchange Notes upon a change of control repurchase event if a third party makes such an offer in the manner, at the times and otherwise in compliance with the requirements for an offer made by us and such third party purchases all Exchange Notes properly tendered and not withdrawn under its offer.</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the foregoing discussion of a repurchase at the option of holders, the following definitions are applicable:</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i w:val="1"/>
          <w:iCs w:val="1"/>
          <w:color w:val="auto"/>
        </w:rPr>
        <w:t xml:space="preserve">“below investment grade ratings event” </w:t>
      </w:r>
      <w:r>
        <w:rPr>
          <w:rFonts w:ascii="Arial" w:cs="Arial" w:eastAsia="Arial" w:hAnsi="Arial"/>
          <w:sz w:val="18"/>
          <w:szCs w:val="18"/>
          <w:color w:val="auto"/>
        </w:rPr>
        <w:t>means, with respect to the Exchange Notes, on any day within the 60-day period (which period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extended so long as the rating of the Exchange Notes is under publicly announced consideration for a possible downgrade by any of the rating agencies) after the earlier of (1) the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4" w:lineRule="auto"/>
        <w:rPr>
          <w:sz w:val="20"/>
          <w:szCs w:val="20"/>
          <w:color w:val="auto"/>
        </w:rPr>
      </w:pPr>
      <w:r>
        <w:rPr>
          <w:rFonts w:ascii="Arial" w:cs="Arial" w:eastAsia="Arial" w:hAnsi="Arial"/>
          <w:sz w:val="18"/>
          <w:szCs w:val="18"/>
          <w:color w:val="auto"/>
        </w:rPr>
        <w:t>occurrence of a change of control; or (2) public notice of the occurrence of a change of control or the intention by Union Pacific to effect a change of control, the Exchange Notes are rated below investment grade by each of the rating agencies. Notwithstanding the foregoing, a below investment grade ratings event otherwise arising by virtue of a particular reduction in rating shall not be deemed to have occurred in respect of a particular change of control (and thus shall not be deemed a below investment grade ratings event for purposes of the definition of change of control repurchase event hereunder) if the rating agencies making the reduction in rating to which this definition would otherwise apply do not announce or publicly confirm or inform the Trustee in writing at our request that the reduction was the result, in whole or in part, of any event or circumstance comprised of or arising as a result of, or in respect of, the applicable change of control (whether or not the applicable change of control shall have occurred at the time of the ratings event).</w:t>
      </w:r>
    </w:p>
    <w:p>
      <w:pPr>
        <w:spacing w:after="0" w:line="192"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means the consummation of any transaction (including, without limitation, any merger or consolidation) the result of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that any “person” or “group” (as those terms are used in Section 13(d)(3) of the Exchange Act), other than Union Pacific or our subsidiaries, becomes the beneficial owner (as defined in Rules 13d-3 and 13d-5 under the Exchange Act), directly or indirectly, of more than 50% of the combined voting power of our voting stock or other voting stock into which our voting stock is reclassified, consolidated, exchanged or changed measured by voting power rather than number of shares.</w:t>
      </w:r>
    </w:p>
    <w:p>
      <w:pPr>
        <w:spacing w:after="0" w:line="18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i w:val="1"/>
          <w:iCs w:val="1"/>
          <w:color w:val="auto"/>
        </w:rPr>
        <w:t xml:space="preserve">“change of control repurchase event” </w:t>
      </w:r>
      <w:r>
        <w:rPr>
          <w:rFonts w:ascii="Arial" w:cs="Arial" w:eastAsia="Arial" w:hAnsi="Arial"/>
          <w:sz w:val="18"/>
          <w:szCs w:val="18"/>
          <w:color w:val="auto"/>
        </w:rPr>
        <w:t>means the occurrence of both a change of control and a below investment grade ratings event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Exchange Notes.</w:t>
      </w:r>
    </w:p>
    <w:p>
      <w:pPr>
        <w:spacing w:after="0" w:line="170"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i w:val="1"/>
          <w:iCs w:val="1"/>
          <w:color w:val="auto"/>
        </w:rPr>
        <w:t xml:space="preserve">“investment grade” </w:t>
      </w:r>
      <w:r>
        <w:rPr>
          <w:rFonts w:ascii="Arial" w:cs="Arial" w:eastAsia="Arial" w:hAnsi="Arial"/>
          <w:sz w:val="18"/>
          <w:szCs w:val="18"/>
          <w:color w:val="auto"/>
        </w:rPr>
        <w:t>means a rating of Baa3 or better by Moody’s (or its equivalent under any successor rating categories of Moody’s); a rating of</w:t>
      </w:r>
      <w:r>
        <w:rPr>
          <w:rFonts w:ascii="Arial" w:cs="Arial" w:eastAsia="Arial" w:hAnsi="Arial"/>
          <w:sz w:val="18"/>
          <w:szCs w:val="18"/>
          <w:i w:val="1"/>
          <w:iCs w:val="1"/>
          <w:color w:val="auto"/>
        </w:rPr>
        <w:t xml:space="preserve"> </w:t>
      </w:r>
      <w:r>
        <w:rPr>
          <w:rFonts w:ascii="Arial" w:cs="Arial" w:eastAsia="Arial" w:hAnsi="Arial"/>
          <w:sz w:val="18"/>
          <w:szCs w:val="18"/>
          <w:color w:val="auto"/>
        </w:rPr>
        <w:t>BBB- or better by S&amp;P (or its equivalent under any successor rating categories of S&amp;P); and the equivalent investment grade credit rating from any additional rating agency or rating agencies selected by us.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“Moody’s” </w:t>
      </w:r>
      <w:r>
        <w:rPr>
          <w:rFonts w:ascii="Arial" w:cs="Arial" w:eastAsia="Arial" w:hAnsi="Arial"/>
          <w:sz w:val="18"/>
          <w:szCs w:val="18"/>
          <w:color w:val="auto"/>
        </w:rPr>
        <w:t>means Moody’s Investors Service, Inc. and its successors.</w:t>
      </w:r>
    </w:p>
    <w:p>
      <w:pPr>
        <w:spacing w:after="0" w:line="225"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i w:val="1"/>
          <w:iCs w:val="1"/>
          <w:color w:val="auto"/>
        </w:rPr>
        <w:t xml:space="preserve">“rating agency” </w:t>
      </w:r>
      <w:r>
        <w:rPr>
          <w:rFonts w:ascii="Arial" w:cs="Arial" w:eastAsia="Arial" w:hAnsi="Arial"/>
          <w:sz w:val="18"/>
          <w:szCs w:val="18"/>
          <w:color w:val="auto"/>
        </w:rPr>
        <w:t>means (1) each of Moody’s and S&amp;P; and (2) if either of Moody’s or S&amp;P ceases to rate the Exchange Notes or fails to make a</w:t>
      </w:r>
      <w:r>
        <w:rPr>
          <w:rFonts w:ascii="Arial" w:cs="Arial" w:eastAsia="Arial" w:hAnsi="Arial"/>
          <w:sz w:val="18"/>
          <w:szCs w:val="18"/>
          <w:i w:val="1"/>
          <w:iCs w:val="1"/>
          <w:color w:val="auto"/>
        </w:rPr>
        <w:t xml:space="preserve"> </w:t>
      </w:r>
      <w:r>
        <w:rPr>
          <w:rFonts w:ascii="Arial" w:cs="Arial" w:eastAsia="Arial" w:hAnsi="Arial"/>
          <w:sz w:val="18"/>
          <w:szCs w:val="18"/>
          <w:color w:val="auto"/>
        </w:rPr>
        <w:t>rating of the Exchange Notes publicly available for reasons outside of our control, a “nationally recognized statistical rating organization” within the meaning of Rule 17g-1 under the Exchange Act, selected by us (as certified by a resolution of our board of directors) as a replacement agency for Moody’s or S&amp;P, or both of them, as the case may be.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“S&amp;P” </w:t>
      </w:r>
      <w:r>
        <w:rPr>
          <w:rFonts w:ascii="Arial" w:cs="Arial" w:eastAsia="Arial" w:hAnsi="Arial"/>
          <w:sz w:val="18"/>
          <w:szCs w:val="18"/>
          <w:color w:val="auto"/>
        </w:rPr>
        <w:t>means S&amp;P Global Ratings, a division of S&amp;P Global, Inc. and its successors</w:t>
      </w:r>
    </w:p>
    <w:p>
      <w:pPr>
        <w:spacing w:after="0" w:line="225"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i w:val="1"/>
          <w:iCs w:val="1"/>
          <w:color w:val="auto"/>
        </w:rPr>
        <w:t xml:space="preserve">“voting stock” </w:t>
      </w:r>
      <w:r>
        <w:rPr>
          <w:rFonts w:ascii="Arial" w:cs="Arial" w:eastAsia="Arial" w:hAnsi="Arial"/>
          <w:sz w:val="18"/>
          <w:szCs w:val="18"/>
          <w:color w:val="auto"/>
        </w:rPr>
        <w:t>of any specified “person” (as that term is used in Section 13(d)(3) of the Exchange Act) as of any date means the capital stock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 that is at the time entitled to vote generally in the election of the board of directors of such person.</w:t>
      </w:r>
    </w:p>
    <w:p>
      <w:pPr>
        <w:spacing w:after="0" w:line="170"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change of control repurchase event feature of the Exchange Notes may in certain circumstances make more difficult or discourage a sale or takeover of Union Pacific and, thus, the removal of incumbent management. We could, in the future, enter into certain transactions, including asset sales, acquisitions, refinancings or other recapitalizations, that would not constitute a change of control repurchase event under the Exchange Notes, but that could increase the amount of indebtedness outstanding at such time or otherwise affect our capital structure or credit ratings on the Exchange Notes.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may not have sufficient funds to repurchase all of the Exchange Notes upon a change of control repurchase event.</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Consolidation, Merger, Conveyance or Transfer</w:t>
      </w:r>
    </w:p>
    <w:p>
      <w:pPr>
        <w:spacing w:after="0" w:line="121"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The Indenture provides that we may not consolidate with or merge into any other corporation or convey or transfer our properties and assets substantially as an entirety to any person, unless:</w:t>
      </w:r>
    </w:p>
    <w:p>
      <w:pPr>
        <w:spacing w:after="0" w:line="76" w:lineRule="exact"/>
        <w:rPr>
          <w:sz w:val="20"/>
          <w:szCs w:val="20"/>
          <w:color w:val="auto"/>
        </w:rPr>
      </w:pPr>
    </w:p>
    <w:p>
      <w:pPr>
        <w:ind w:left="1180" w:right="20" w:hanging="544"/>
        <w:spacing w:after="0" w:line="259"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successor is a corporation organized and existing under the laws of the United States or any state thereof or the District of Columbia, and expressly assumes by a supplemental indenture the due and punctual payment of the principal of, any premium on, and any interest on all the outstanding debt securities under the Indenture and the performance of every covenant in the Indenture to be performed or observed by us;</w:t>
      </w:r>
    </w:p>
    <w:p>
      <w:pPr>
        <w:spacing w:after="0" w:line="92" w:lineRule="exact"/>
        <w:rPr>
          <w:rFonts w:ascii="Arial" w:cs="Arial" w:eastAsia="Arial" w:hAnsi="Arial"/>
          <w:sz w:val="18"/>
          <w:szCs w:val="18"/>
          <w:color w:val="auto"/>
        </w:rPr>
      </w:pPr>
    </w:p>
    <w:p>
      <w:pPr>
        <w:ind w:left="1180" w:right="28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(as defined below), and no event which, after notice or lapse of time or both, would become an Event of Default, shall have happened and be continuing; and</w:t>
      </w:r>
    </w:p>
    <w:p>
      <w:pPr>
        <w:spacing w:after="0" w:line="75" w:lineRule="exact"/>
        <w:rPr>
          <w:rFonts w:ascii="Arial" w:cs="Arial" w:eastAsia="Arial" w:hAnsi="Arial"/>
          <w:sz w:val="18"/>
          <w:szCs w:val="18"/>
          <w:color w:val="auto"/>
        </w:rPr>
      </w:pPr>
    </w:p>
    <w:p>
      <w:pPr>
        <w:ind w:left="1180" w:right="320" w:hanging="544"/>
        <w:spacing w:after="0" w:line="264"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an opinion of counsel, each stating that such consolidation, merger, conveyance or transfer and such supplemental indenture comply with the foregoing provisions relating to such transaction and that all conditions precedent relating to such transaction have been complied with. (Section 801)</w:t>
      </w:r>
    </w:p>
    <w:p>
      <w:pPr>
        <w:spacing w:after="0" w:line="181"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In case of any such consolidation, merger, conveyance or transfer, such successor corporation will succeed to and be substituted for us as obligor on the debt securities, and may exercise all of our rights and powers, with the same effect as if it had been named in the Indenture as us. (Section 802)</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events are defined in the Indenture as “Events of Default” with respect to the Exchange Notes:</w:t>
      </w:r>
    </w:p>
    <w:p>
      <w:pPr>
        <w:spacing w:after="0" w:line="225" w:lineRule="exact"/>
        <w:rPr>
          <w:sz w:val="20"/>
          <w:szCs w:val="20"/>
          <w:color w:val="auto"/>
        </w:rPr>
      </w:pPr>
    </w:p>
    <w:p>
      <w:pPr>
        <w:ind w:left="820" w:hanging="17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default for 30 days in payment of any interest on the Exchange Notes;</w:t>
      </w:r>
    </w:p>
    <w:p>
      <w:pPr>
        <w:spacing w:after="0" w:line="225" w:lineRule="exact"/>
        <w:rPr>
          <w:rFonts w:ascii="Arial" w:cs="Arial" w:eastAsia="Arial" w:hAnsi="Arial"/>
          <w:sz w:val="18"/>
          <w:szCs w:val="18"/>
          <w:color w:val="auto"/>
        </w:rPr>
      </w:pPr>
    </w:p>
    <w:p>
      <w:pPr>
        <w:ind w:left="820" w:hanging="17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default in payment of principal of or any premium on the Exchange Notes at maturity;</w:t>
      </w:r>
    </w:p>
    <w:p>
      <w:pPr>
        <w:spacing w:after="0" w:line="225" w:lineRule="exact"/>
        <w:rPr>
          <w:rFonts w:ascii="Arial" w:cs="Arial" w:eastAsia="Arial" w:hAnsi="Arial"/>
          <w:sz w:val="18"/>
          <w:szCs w:val="18"/>
          <w:color w:val="auto"/>
        </w:rPr>
      </w:pPr>
    </w:p>
    <w:p>
      <w:pPr>
        <w:ind w:left="820" w:hanging="17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default in payment of any sinking or purchase fund or analogous obligation, if any, of the Exchange Notes;</w:t>
      </w:r>
    </w:p>
    <w:p>
      <w:pPr>
        <w:spacing w:after="0" w:line="225" w:lineRule="exact"/>
        <w:rPr>
          <w:rFonts w:ascii="Arial" w:cs="Arial" w:eastAsia="Arial" w:hAnsi="Arial"/>
          <w:sz w:val="18"/>
          <w:szCs w:val="18"/>
          <w:color w:val="auto"/>
        </w:rPr>
      </w:pPr>
    </w:p>
    <w:p>
      <w:pPr>
        <w:ind w:left="200" w:firstLine="444"/>
        <w:spacing w:after="0" w:line="264" w:lineRule="auto"/>
        <w:tabs>
          <w:tab w:leader="none" w:pos="821"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default by us in the performance, or breach, of any other covenant or warranty contained in the Indenture for the benefit of the Exchange Notes which shall not have been remedied for a period of 90 days after we receive notice as specified in the Indenture from holders of not less than 25% in aggregate principal amount of Exchange Notes then outstanding; and</w:t>
      </w:r>
    </w:p>
    <w:p>
      <w:pPr>
        <w:spacing w:after="0" w:line="181" w:lineRule="exact"/>
        <w:rPr>
          <w:rFonts w:ascii="Arial" w:cs="Arial" w:eastAsia="Arial" w:hAnsi="Arial"/>
          <w:sz w:val="18"/>
          <w:szCs w:val="18"/>
          <w:color w:val="auto"/>
        </w:rPr>
      </w:pPr>
    </w:p>
    <w:p>
      <w:pPr>
        <w:ind w:left="820" w:hanging="17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events of our bankruptcy, insolvency and reorganization. (Section 501)</w:t>
      </w:r>
    </w:p>
    <w:p>
      <w:pPr>
        <w:spacing w:after="0" w:line="225"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A default under other indebtedness of the Company will not be a default under the Indenture and a default under one series of debt securities will not necessarily be a default under another series.</w:t>
      </w:r>
    </w:p>
    <w:p>
      <w:pPr>
        <w:spacing w:after="0" w:line="170"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Indenture provides that if an Event of Default described in clause (1), (2), (3) or (4) above (if the Event of Default under clause (4) is with respect to less than all series of debt securities then outstanding under the Indenture) shall have occurred and is continuing with respect to the Exchange Notes, either the Trustee or the holders of not less than 25% in aggregate principal amount of the Exchange Notes then outstanding may declare the principal amount of all outstanding Exchange Notes and the interest accrued thereon, if any, to be due and payable immediately. The Indenture provides that if an Event of Default described in clause (4) or (5) above (if the Event of Default under clause (4) is with respect to all series of debt securities then outstanding under the Indenture) shall have occurred and be continuing, either the Trustee or the holders of at least 25% in aggregate</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180"/>
          </w:cols>
          <w:pgMar w:left="24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principal amount of all debt securities then outstanding under the Indenture, treated as one class, may declare the principal amount, or, if any series are original issue discount securities, such portion of the principal amount as specified in such series, of all debt securities then outstanding and the interest accrued thereon, if any, to be due and payable immediately. Upon certain conditions, such declarations may be annulled and past defaults may be waived by the holders of at least a majority in aggregate principal amount of the debt securities of such series then outstanding on behalf of the holders of all debt securities. However, defaults in the payment of principal of, any premium on, or any interest on such debt may not be waived. (Sections 502 and 513)</w:t>
      </w:r>
    </w:p>
    <w:p>
      <w:pPr>
        <w:spacing w:after="0" w:line="193" w:lineRule="exact"/>
        <w:rPr>
          <w:sz w:val="20"/>
          <w:szCs w:val="20"/>
          <w:color w:val="auto"/>
        </w:rPr>
      </w:pPr>
    </w:p>
    <w:p>
      <w:pPr>
        <w:ind w:left="200" w:right="240" w:firstLine="441"/>
        <w:spacing w:after="0" w:line="297" w:lineRule="auto"/>
        <w:rPr>
          <w:sz w:val="20"/>
          <w:szCs w:val="20"/>
          <w:color w:val="auto"/>
        </w:rPr>
      </w:pPr>
      <w:r>
        <w:rPr>
          <w:rFonts w:ascii="Arial" w:cs="Arial" w:eastAsia="Arial" w:hAnsi="Arial"/>
          <w:sz w:val="16"/>
          <w:szCs w:val="16"/>
          <w:color w:val="auto"/>
        </w:rPr>
        <w:t>Under the Indenture, the Trustee must give notice to the holders of the Exchange Notes of all uncured defaults known to it with respect to the Exchange Notes within 90 days after such a default occurs (the term default to include the events specified above without notice or grace periods). However, except in the case of default in the payment of principal of, any premium on, or any interest on any of the Exchange Notes, or default in the payment of any sinking or purchase fund installment or analogous obligations, the Trustee shall be protected in withholding such notice if it in good faith determines that the withholding of such notice is in the interests of the holders of the Exchange Notes. (Section 602)</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holder of the Exchange Notes may not institute any action under the Indenture unless:</w:t>
      </w:r>
    </w:p>
    <w:p>
      <w:pPr>
        <w:spacing w:after="0" w:line="131" w:lineRule="exact"/>
        <w:rPr>
          <w:sz w:val="20"/>
          <w:szCs w:val="20"/>
          <w:color w:val="auto"/>
        </w:rPr>
      </w:pPr>
    </w:p>
    <w:p>
      <w:pPr>
        <w:ind w:left="1180" w:hanging="544"/>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such holder shall have given the Trustee written notice of a continuing Event of Default with respect to the Exchange Notes;</w:t>
      </w:r>
    </w:p>
    <w:p>
      <w:pPr>
        <w:spacing w:after="0" w:line="130" w:lineRule="exact"/>
        <w:rPr>
          <w:rFonts w:ascii="Arial" w:cs="Arial" w:eastAsia="Arial" w:hAnsi="Arial"/>
          <w:sz w:val="18"/>
          <w:szCs w:val="18"/>
          <w:color w:val="auto"/>
        </w:rPr>
      </w:pPr>
    </w:p>
    <w:p>
      <w:pPr>
        <w:ind w:left="1180" w:right="100" w:hanging="544"/>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holders of not less than 25% in aggregate principal amount of the Exchange Notes then outstanding shall have requested in writing the Trustee to institute proceedings in respect of such Event of Default;</w:t>
      </w:r>
    </w:p>
    <w:p>
      <w:pPr>
        <w:spacing w:after="0" w:line="75" w:lineRule="exact"/>
        <w:rPr>
          <w:rFonts w:ascii="Arial" w:cs="Arial" w:eastAsia="Arial" w:hAnsi="Arial"/>
          <w:sz w:val="18"/>
          <w:szCs w:val="18"/>
          <w:color w:val="auto"/>
        </w:rPr>
      </w:pPr>
    </w:p>
    <w:p>
      <w:pPr>
        <w:ind w:left="1180" w:right="80" w:hanging="544"/>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such holder or holders shall have offered the Trustee such reasonable indemnity against the costs, expenses and liabilities to be incurred in compliance with such request;</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Trustee shall have failed to institute an action for 60 days thereafter; and</w:t>
      </w:r>
    </w:p>
    <w:p>
      <w:pPr>
        <w:spacing w:after="0" w:line="130" w:lineRule="exact"/>
        <w:rPr>
          <w:rFonts w:ascii="Arial" w:cs="Arial" w:eastAsia="Arial" w:hAnsi="Arial"/>
          <w:sz w:val="18"/>
          <w:szCs w:val="18"/>
          <w:color w:val="auto"/>
        </w:rPr>
      </w:pPr>
    </w:p>
    <w:p>
      <w:pPr>
        <w:ind w:left="1180" w:right="60" w:hanging="544"/>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inconsistent direction shall have been given to the Trustee during such 60-day period by the holders of a majority in aggregate principal amount of the Exchange Notes. (Section 507)</w:t>
      </w:r>
    </w:p>
    <w:p>
      <w:pPr>
        <w:spacing w:after="0" w:line="17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holders of a majority in aggregate principal amount of the Exchange Notes then outstanding will have the right, subject to certain limitations, to direct the time, method and place of conducting any proceeding for any remedy available to the Trustee or exercising any trust or power conferred on the Trustee with respect to the Exchange Notes. (Section 512) The Indenture provides that, in case an Event of Default shall occur and be continuing, the Trustee, in exercising its rights and powers under the Indenture, will be required to use the degree of care of a prudent man in the conduct of his own affairs. (Section 601) The Indenture further provides that the Trustee shall not be required to expend or risk its own funds or otherwise incur any financial liability in the performance of any of its duties under the Indenture unless it has reasonable grounds for believing that repayment of such funds or adequate indemnity against such risk or liability is reasonably assured to it. (Section 601)</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Modification of the Indenture</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and the Trustee may, without the consent of the holders of the Exchange Notes, enter into one or more supplemental indentures for, among others, one or more of the following purposes, provided that in the case of clauses (2), (3), (4) and (6), the interests of the holders of the Exchange Notes would not be adversely affected:</w:t>
      </w:r>
    </w:p>
    <w:p>
      <w:pPr>
        <w:spacing w:after="0" w:line="181" w:lineRule="exact"/>
        <w:rPr>
          <w:sz w:val="20"/>
          <w:szCs w:val="20"/>
          <w:color w:val="auto"/>
        </w:rPr>
      </w:pPr>
    </w:p>
    <w:p>
      <w:pPr>
        <w:ind w:left="200" w:right="280" w:firstLine="444"/>
        <w:spacing w:after="0" w:line="277" w:lineRule="auto"/>
        <w:tabs>
          <w:tab w:leader="none" w:pos="821"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of our obligations under the Indenture and the Exchange Notes;</w:t>
      </w:r>
    </w:p>
    <w:p>
      <w:pPr>
        <w:spacing w:after="0" w:line="170" w:lineRule="exact"/>
        <w:rPr>
          <w:rFonts w:ascii="Arial" w:cs="Arial" w:eastAsia="Arial" w:hAnsi="Arial"/>
          <w:sz w:val="18"/>
          <w:szCs w:val="18"/>
          <w:color w:val="auto"/>
        </w:rPr>
      </w:pPr>
    </w:p>
    <w:p>
      <w:pPr>
        <w:ind w:left="820" w:hanging="176"/>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add covenants by us, or surrender any of our rights conferred by the Indenture, for the benefit of the holders of the Exchange Notes;</w:t>
      </w:r>
    </w:p>
    <w:p>
      <w:pPr>
        <w:spacing w:after="0" w:line="169" w:lineRule="exact"/>
        <w:rPr>
          <w:rFonts w:ascii="Arial" w:cs="Arial" w:eastAsia="Arial" w:hAnsi="Arial"/>
          <w:sz w:val="17"/>
          <w:szCs w:val="17"/>
          <w:color w:val="auto"/>
        </w:rPr>
      </w:pPr>
    </w:p>
    <w:p>
      <w:pPr>
        <w:ind w:left="5620" w:hanging="101"/>
        <w:spacing w:after="0"/>
        <w:tabs>
          <w:tab w:leader="none" w:pos="5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firstLine="444"/>
        <w:spacing w:after="0" w:line="342" w:lineRule="auto"/>
        <w:tabs>
          <w:tab w:leader="none" w:pos="821"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cure any ambiguity, to correct or supplement any provision that may be defective or inconsistent with any other provision, or to make any other provision with respect to matters or questions arising under the Indenture, which shall not be inconsistent with the provisions of the Indenture;</w:t>
      </w:r>
    </w:p>
    <w:p>
      <w:pPr>
        <w:spacing w:after="0" w:line="123" w:lineRule="exact"/>
        <w:rPr>
          <w:rFonts w:ascii="Arial" w:cs="Arial" w:eastAsia="Arial" w:hAnsi="Arial"/>
          <w:sz w:val="16"/>
          <w:szCs w:val="16"/>
          <w:color w:val="auto"/>
        </w:rPr>
      </w:pPr>
    </w:p>
    <w:p>
      <w:pPr>
        <w:ind w:left="820" w:hanging="17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establish the form or terms of any series of debt securities, including any subordinated securities;</w:t>
      </w:r>
    </w:p>
    <w:p>
      <w:pPr>
        <w:spacing w:after="0" w:line="225" w:lineRule="exact"/>
        <w:rPr>
          <w:rFonts w:ascii="Arial" w:cs="Arial" w:eastAsia="Arial" w:hAnsi="Arial"/>
          <w:sz w:val="18"/>
          <w:szCs w:val="18"/>
          <w:color w:val="auto"/>
        </w:rPr>
      </w:pPr>
    </w:p>
    <w:p>
      <w:pPr>
        <w:ind w:left="200" w:right="500" w:firstLine="444"/>
        <w:spacing w:after="0" w:line="277" w:lineRule="auto"/>
        <w:tabs>
          <w:tab w:leader="none" w:pos="821"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of any successor trustee with respect to the Exchange Notes or to facilitate the administration of the trusts thereunder by one or more trustees in accordance with the Indenture; and</w:t>
      </w:r>
    </w:p>
    <w:p>
      <w:pPr>
        <w:spacing w:after="0" w:line="170" w:lineRule="exact"/>
        <w:rPr>
          <w:rFonts w:ascii="Arial" w:cs="Arial" w:eastAsia="Arial" w:hAnsi="Arial"/>
          <w:sz w:val="18"/>
          <w:szCs w:val="18"/>
          <w:color w:val="auto"/>
        </w:rPr>
      </w:pPr>
    </w:p>
    <w:p>
      <w:pPr>
        <w:ind w:left="820" w:hanging="17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provide any additional Events of Default. (Section 901)</w:t>
      </w:r>
    </w:p>
    <w:p>
      <w:pPr>
        <w:spacing w:after="0" w:line="225" w:lineRule="exact"/>
        <w:rPr>
          <w:sz w:val="20"/>
          <w:szCs w:val="20"/>
          <w:color w:val="auto"/>
        </w:rPr>
      </w:pPr>
    </w:p>
    <w:p>
      <w:pPr>
        <w:jc w:val="both"/>
        <w:ind w:left="200" w:right="480" w:firstLine="441"/>
        <w:spacing w:after="0" w:line="264" w:lineRule="auto"/>
        <w:rPr>
          <w:sz w:val="20"/>
          <w:szCs w:val="20"/>
          <w:color w:val="auto"/>
        </w:rPr>
      </w:pPr>
      <w:r>
        <w:rPr>
          <w:rFonts w:ascii="Arial" w:cs="Arial" w:eastAsia="Arial" w:hAnsi="Arial"/>
          <w:sz w:val="18"/>
          <w:szCs w:val="18"/>
          <w:color w:val="auto"/>
        </w:rPr>
        <w:t>The Indenture or the rights of the holders of the Exchange Notes may be modified by us and the Trustee with the consent of the holders of a majority in aggregate principal amount of the Exchange Notes then outstanding, but no such modification may be made without the consent of the holder of each outstanding Exchange Note affected thereby which would:</w:t>
      </w:r>
    </w:p>
    <w:p>
      <w:pPr>
        <w:spacing w:after="0" w:line="87" w:lineRule="exact"/>
        <w:rPr>
          <w:sz w:val="20"/>
          <w:szCs w:val="20"/>
          <w:color w:val="auto"/>
        </w:rPr>
      </w:pPr>
    </w:p>
    <w:p>
      <w:pPr>
        <w:ind w:left="1180" w:right="20" w:hanging="544"/>
        <w:spacing w:after="0" w:line="264"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 the maturity of any payment of principal of, or any premium on, or any installment of interest on the Exchange Notes, or reduce the principal amount thereof or the interest or any premium thereon, or change the method of computing the amount of principal thereof or interest thereon on any date;</w:t>
      </w:r>
    </w:p>
    <w:p>
      <w:pPr>
        <w:spacing w:after="0" w:line="86" w:lineRule="exact"/>
        <w:rPr>
          <w:rFonts w:ascii="Arial" w:cs="Arial" w:eastAsia="Arial" w:hAnsi="Arial"/>
          <w:sz w:val="18"/>
          <w:szCs w:val="18"/>
          <w:color w:val="auto"/>
        </w:rPr>
      </w:pPr>
    </w:p>
    <w:p>
      <w:pPr>
        <w:ind w:left="1180" w:hanging="544"/>
        <w:spacing w:after="0" w:line="264"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 any place of payment where, or the coin or currency in which, the Exchange Notes or any premium or interest thereon is payable, or impair the right to institute suit for the enforcement of any such payment on or after the maturity thereof, or, in the case of redemption or repayment, on or after the redemption date or the repayment date, as the case may be;</w:t>
      </w:r>
    </w:p>
    <w:p>
      <w:pPr>
        <w:spacing w:after="0" w:line="86" w:lineRule="exact"/>
        <w:rPr>
          <w:rFonts w:ascii="Arial" w:cs="Arial" w:eastAsia="Arial" w:hAnsi="Arial"/>
          <w:sz w:val="18"/>
          <w:szCs w:val="18"/>
          <w:color w:val="auto"/>
        </w:rPr>
      </w:pPr>
    </w:p>
    <w:p>
      <w:pPr>
        <w:ind w:left="1180" w:right="160" w:hanging="544"/>
        <w:spacing w:after="0" w:line="264"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Exchange Notes, the consent of whose holders is required for any such modification, or the consent of whose holders is required for any waiver of compliance with certain provisions of the Indenture or certain defaults thereunder and their consequences provided for in the Indenture; or</w:t>
      </w:r>
    </w:p>
    <w:p>
      <w:pPr>
        <w:spacing w:after="0" w:line="86" w:lineRule="exact"/>
        <w:rPr>
          <w:rFonts w:ascii="Arial" w:cs="Arial" w:eastAsia="Arial" w:hAnsi="Arial"/>
          <w:sz w:val="18"/>
          <w:szCs w:val="18"/>
          <w:color w:val="auto"/>
        </w:rPr>
      </w:pPr>
    </w:p>
    <w:p>
      <w:pPr>
        <w:ind w:left="1180" w:right="20" w:hanging="544"/>
        <w:spacing w:after="0" w:line="264"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modify any of the provisions of certain sections of the Indenture, including the provisions summarized in this paragraph, except to increase any such percentage or to provide that certain other provisions of the Indenture cannot be modified or waived without the consent of the holder of each outstanding Exchange Note affected thereby. (Section 902)</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Sinking Fund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is no provision for a sinking fund for the Exchange Notes.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200" w:right="460" w:firstLine="441"/>
        <w:spacing w:after="0" w:line="342" w:lineRule="auto"/>
        <w:rPr>
          <w:sz w:val="20"/>
          <w:szCs w:val="20"/>
          <w:color w:val="auto"/>
        </w:rPr>
      </w:pPr>
      <w:r>
        <w:rPr>
          <w:rFonts w:ascii="Arial" w:cs="Arial" w:eastAsia="Arial" w:hAnsi="Arial"/>
          <w:sz w:val="16"/>
          <w:szCs w:val="16"/>
          <w:color w:val="auto"/>
        </w:rPr>
        <w:t>Under certain circumstances, we will be deemed to have discharged the entire indebtedness on all of the outstanding Exchange Notes by defeasance. The provisions of Section 403 of the Indenture relating to defeasance and discharge of indebtedness will apply to the Exchange Notes.</w:t>
      </w:r>
    </w:p>
    <w:p>
      <w:pPr>
        <w:spacing w:after="0" w:line="124"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will be deemed to have paid and discharged the entire indebtedness on all the outstanding Exchange Notes by, in addition to meeting certain other conditions, depositing with the Trustee either:</w:t>
      </w:r>
    </w:p>
    <w:p>
      <w:pPr>
        <w:spacing w:after="0" w:line="62" w:lineRule="exact"/>
        <w:rPr>
          <w:sz w:val="20"/>
          <w:szCs w:val="20"/>
          <w:color w:val="auto"/>
        </w:rPr>
      </w:pPr>
    </w:p>
    <w:p>
      <w:pPr>
        <w:ind w:left="200" w:right="400" w:firstLine="444"/>
        <w:spacing w:after="0" w:line="342" w:lineRule="auto"/>
        <w:tabs>
          <w:tab w:leader="none" w:pos="896"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 trust funds in trust an amount sufficient (together with any obligations deposited pursuant to clause (2) below) to pay and discharge the entire indebtedness on all the Exchange Notes for principal, premium, if any, and interest to the date of maturity or date of redemption; or</w:t>
      </w:r>
    </w:p>
    <w:p>
      <w:pPr>
        <w:spacing w:after="0" w:line="56" w:lineRule="exact"/>
        <w:rPr>
          <w:rFonts w:ascii="Arial" w:cs="Arial" w:eastAsia="Arial" w:hAnsi="Arial"/>
          <w:sz w:val="16"/>
          <w:szCs w:val="16"/>
          <w:color w:val="auto"/>
        </w:rPr>
      </w:pPr>
    </w:p>
    <w:p>
      <w:pPr>
        <w:ind w:left="5620" w:hanging="101"/>
        <w:spacing w:after="0"/>
        <w:tabs>
          <w:tab w:leader="none" w:pos="5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4"/>
        <w:spacing w:after="0" w:line="279" w:lineRule="auto"/>
        <w:tabs>
          <w:tab w:leader="none" w:pos="896" w:val="left"/>
        </w:tabs>
        <w:numPr>
          <w:ilvl w:val="0"/>
          <w:numId w:val="12"/>
        </w:numPr>
        <w:rPr>
          <w:rFonts w:ascii="Arial" w:cs="Arial" w:eastAsia="Arial" w:hAnsi="Arial"/>
          <w:sz w:val="17"/>
          <w:szCs w:val="17"/>
          <w:color w:val="auto"/>
        </w:rPr>
      </w:pPr>
      <w:r>
        <w:rPr>
          <w:rFonts w:ascii="Arial" w:cs="Arial" w:eastAsia="Arial" w:hAnsi="Arial"/>
          <w:sz w:val="17"/>
          <w:szCs w:val="17"/>
          <w:color w:val="auto"/>
        </w:rPr>
        <w:t>as obligations in trust such amount of direct obligations of, or obligations the principal of and interest on which are fully guaranteed by, the U.S. government as will, together with the income to accrue thereon without consideration of any reinvestment thereof, be sufficient (together with any amounts deposited pursuant to clause (1) above), in the written opinion of a firm of nationally recognized independent public accounts, to pay and discharge the entire indebtedness on all Exchange Notes for principal, premium, if any, and interest. (Section 403)</w:t>
      </w:r>
    </w:p>
    <w:p>
      <w:pPr>
        <w:spacing w:after="0" w:line="17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In the event of any such defeasance, holders of the Exchange Notes would be able to look only to such trust fund for payment of principal of, any premium on, and any interest on their debt securities.</w:t>
      </w:r>
    </w:p>
    <w:p>
      <w:pPr>
        <w:spacing w:after="0" w:line="17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 defeasance is likely to be treated as a taxable exchange by holders of the Exchange Notes for an issue consisting of either obligations of the trust or a direct interest in the cash and securities held in the trust, with the result that such holders would be required for tax purposes to recognize gain or loss as if such obligations or the cash or securities deposited, as the case may be, had actually been received by them in exchange for their Exchange Notes. In addition, if the holders are treated as the owners of their proportionate share of the cash or securities held in trust, such holders would then be required to include in their income for tax purposes any income, gain or loss attributable thereto even though no cash was actually received. Thus, such holders might be required to recognize income for tax purposes in different amounts and at different times than would be recognized in the absence of defeasance. You are urged to consult your own tax advisor as to the specific consequences of defeasance.</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Indenture and the Exchange Notes will be governed by, and construed in accordance with, the laws of the State of New York.</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Bank of New York Mellon Trust Company, N.A., as successor to The Bank of New York Mellon (formerly known as The Bank of New York), as successor to JPMorgan Chase Bank, N.A. (formerly known as The Chase Manhattan Bank), acts as Trustee under the Indenture. The Bank of New York Mellon Trust Company, N.A. conducts normal banking relationships with us and certain of our subsidiaries and, in addition, is a participant in various financial agreements of the Company. The Bank of New York Mellon Trust Company, N.A. acts as trustee under certain equipment trust agreements of Union Pacific Railroad Company and trustee under various indentures in respect of certain of our securities and of securities of our subsidiaries.</w:t>
      </w:r>
    </w:p>
    <w:p>
      <w:pPr>
        <w:spacing w:after="0" w:line="193"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The Trust Indenture Act of 1939 contains limitations on the rights of the Trustee, should it become a creditor of Union Pacific, to obtain payment of claims in certain cases or to realize on certain property received by it in respect of those claims, as security or otherwise. The Trustee is permitted to engage in other transactions with Union Pacific and our subsidiaries from time to time, provided that if the Trustee acquires any conflicting interest it must eliminate the conflict upon the occurrence of an Event of Default under the Indenture, or else resign.</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EXCHANGE OFFER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Purpose of the Exchange Offer</w:t>
      </w:r>
    </w:p>
    <w:p>
      <w:pPr>
        <w:spacing w:after="0" w:line="12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In connection with the issuance of the Original Notes, we entered into a Registration Rights Agreement with dealer managers, under which we agreed to file, and to use our reasonable best efforts to have declared effective, an exchange offer registration statement under the Securities Act and to consummate the Exchange Offer.</w:t>
      </w:r>
    </w:p>
    <w:p>
      <w:pPr>
        <w:spacing w:after="0" w:line="18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We are making the Exchange Offer in reliance on the position of the SEC as set forth in certain no-action letters. However, we have not sought our own no-action letter. Based upon these interpretations by the SEC, we believe that a holder of Exchange Notes who exchanges Original Notes for Exchange Notes in the Exchange Offer generally may offer Exchange Notes for resale, sell Exchange Notes and otherwise transfer Exchange Notes without further registration under the Securities Act and without delivery of a prospectus that satisfies the requirements of Section 10 of the Securities Act. This does not apply, however, to a holder who is our “affiliate” within the meaning of Rule 405 of the Securities Act. We also believe that a holder may offer, sell or transfer the Exchange Notes only if the holder acknowledges that the holder is acquiring the Exchange Notes in the ordinary course of its business and is not participating, does not intend to participate and has no arrangement or understanding with any person to participate in a distribution of the Exchange Notes.</w:t>
      </w:r>
    </w:p>
    <w:p>
      <w:pPr>
        <w:spacing w:after="0" w:line="192"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Any holder of the Original Notes using the Exchange Offer to participate in a distribution of Exchange Notes cannot rely on the no-action letters referred to above. Any broker-dealer who holds Original Notes acquired for its own account as a result of market-making activities or other trading activities and who receives Exchange Notes in exchange for such Original Notes pursuant to the Exchange Offer may be a statutory underwriter and must deliver a prospectus meeting the requirements of the Securities Act in connection with any resale of such Exchange Notes. See “Plan of Distribution”.</w:t>
      </w:r>
    </w:p>
    <w:p>
      <w:pPr>
        <w:spacing w:after="0" w:line="18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Each broker-dealer that receives Exchange Notes for its own account in exchange for Original Notes, where such Original Notes were acquired by such broker-dealer as a result of market-making activities or other trading activities, must acknowledge that it will deliver a prospectus in connection with any resale of such Exchange Notes. See “Plan of Distribution”.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Except as described above, this prospectus may not be used for an offer to resell, resale or other transfer of Exchange Notes.</w:t>
      </w:r>
    </w:p>
    <w:p>
      <w:pPr>
        <w:spacing w:after="0" w:line="22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Exchange Offer is not being made to, nor will we accept tenders for exchange from, holders of Original Notes in any jurisdiction in which the Exchange Offer or the acceptance of it would not be in compliance with the securities or blue sky laws of such jurisdiction.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Terms of the Exchange</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Upon the terms and subject to the conditions of the Exchange Offer, we will accept any and all Original Notes validly tendered at or prior to 5:00 p.m., New York time, on the Expiration Date for the Exchange Offer. Promptly after the Expiration Date (unless extended as described in this prospectus), we will issue an aggregate principal amount of up to $1,841,950,000 of Exchange Notes for a like principal amount of outstanding Original Notes tendered and accepted in connection with the Exchange Offer. The Exchange Notes issued in connection with the Exchange Offer will be delivered promptly after the Expiration Date. Holders may tender some or all of their Original Notes in connection with the Exchange Offer, but only in principal amounts of $1,000 or in integral multiples of $1,000 in excess thereof.</w:t>
      </w:r>
    </w:p>
    <w:p>
      <w:pPr>
        <w:spacing w:after="0" w:line="193"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terms of the Exchange Notes will be identical in all material respects to the terms of the Original Notes for which they are being exchanged, except that the Exchange Notes will have been registered under the Securities Act and will be issued free from any covenant regarding registration, including the payment of</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additional interest upon a failure to file or have declared effective an exchange offer registration statement or to complete the Exchange Offer by certain dates. The Exchange Notes will evidence the same debt as the Original Notes for which they are being exchanged and will be issued under the same Indenture and be entitled to the same benefits under that Indenture as the Original Notes being exchanged. As of the date of this prospectus, $1,841,950,000 in aggregate principal amount of the Original Notes are outstanding.</w:t>
      </w:r>
    </w:p>
    <w:p>
      <w:pPr>
        <w:spacing w:after="0" w:line="187"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In connection with the issuance of the Original Notes, we arranged for the Original Notes issued to qualified institutional buyers and those issued in reliance on Regulation S under the Securities Act to be issued and transferable in book-entry form through the facilities of DTC, acting as depositary. Except as described under “Book-Entry Notes”, the Exchange Notes will be issued in the form of a global note registered in the name of DTC or its nominee and each beneficial owner’s interest in it will be transferable in book-entry form through DTC. See “Book-Entry Notes”.</w:t>
      </w:r>
    </w:p>
    <w:p>
      <w:pPr>
        <w:spacing w:after="0" w:line="154"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Holders of Original Notes do not have any appraisal or dissenters’ rights in connection with the Exchange Offer. Original Notes that are not tendered for exchange or are tendered but not accepted in connection with the Exchange Offer will remain outstanding and be entitled to the benefits of the Indenture, but certain registration and other rights under the Registration Rights Agreement will terminate and holders of the Original Notes will generally not be entitled to any registration rights under the Registration Rights Agreement. See “— Consequences of Failures to Properly Tender Original Notes in the Exchange Offer”.</w:t>
      </w:r>
    </w:p>
    <w:p>
      <w:pPr>
        <w:spacing w:after="0" w:line="18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shall be considered to have accepted validly tendered Original Notes if and when we have given oral (to be followed by prompt written notice) or written notice to the Exchange Agent. The Exchange Agent will act as agent for the tendering holders for the purposes of receiving the Exchange Notes from us.</w:t>
      </w:r>
    </w:p>
    <w:p>
      <w:pPr>
        <w:spacing w:after="0" w:line="181"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If any tendered Original Notes are not accepted for exchange because of an invalid tender, the occurrence of certain other events described in this prospectus or otherwise, we will return the Original Notes, without expense, to the tendering holder promptly after the Expiration Date for the Exchange Offer.</w:t>
      </w:r>
    </w:p>
    <w:p>
      <w:pPr>
        <w:spacing w:after="0" w:line="181" w:lineRule="exact"/>
        <w:rPr>
          <w:sz w:val="20"/>
          <w:szCs w:val="20"/>
          <w:color w:val="auto"/>
        </w:rPr>
      </w:pPr>
    </w:p>
    <w:p>
      <w:pPr>
        <w:ind w:left="200" w:right="520" w:firstLine="441"/>
        <w:spacing w:after="0" w:line="286" w:lineRule="auto"/>
        <w:rPr>
          <w:sz w:val="20"/>
          <w:szCs w:val="20"/>
          <w:color w:val="auto"/>
        </w:rPr>
      </w:pPr>
      <w:r>
        <w:rPr>
          <w:rFonts w:ascii="Arial" w:cs="Arial" w:eastAsia="Arial" w:hAnsi="Arial"/>
          <w:sz w:val="17"/>
          <w:szCs w:val="17"/>
          <w:color w:val="auto"/>
        </w:rPr>
        <w:t>Holders who tender Original Notes will not be required to pay brokerage commissions or fees or, subject to the instructions in the letter of transmittal, transfer taxes on exchange of Original Notes in connection with the Exchange Offer. We will pay all charges and expenses, other than certain applicable taxes described below, in connection with the Exchange Offer. See “—Fees and Expenses”.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Expiration Date; Extensions; Amendments</w:t>
      </w:r>
    </w:p>
    <w:p>
      <w:pPr>
        <w:spacing w:after="0" w:line="121" w:lineRule="exact"/>
        <w:rPr>
          <w:sz w:val="20"/>
          <w:szCs w:val="20"/>
          <w:color w:val="auto"/>
        </w:rPr>
      </w:pPr>
    </w:p>
    <w:p>
      <w:pPr>
        <w:ind w:left="640"/>
        <w:spacing w:after="0"/>
        <w:tabs>
          <w:tab w:leader="none" w:pos="7100" w:val="left"/>
          <w:tab w:leader="none" w:pos="7540" w:val="left"/>
        </w:tabs>
        <w:rPr>
          <w:sz w:val="20"/>
          <w:szCs w:val="20"/>
          <w:color w:val="auto"/>
        </w:rPr>
      </w:pPr>
      <w:r>
        <w:rPr>
          <w:rFonts w:ascii="Arial" w:cs="Arial" w:eastAsia="Arial" w:hAnsi="Arial"/>
          <w:sz w:val="18"/>
          <w:szCs w:val="18"/>
          <w:color w:val="auto"/>
        </w:rPr>
        <w:t>The Expiration Date for the Exchange Offer is 5:00 p.m., New York City time, 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unless extended by us in our sole discretion, in</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which case the term “Expiration Date” shall mean the latest date and time to which the Exchange Offer is extended.</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reserve the right, in our sole discretion:</w:t>
      </w:r>
    </w:p>
    <w:p>
      <w:pPr>
        <w:spacing w:after="0" w:line="131" w:lineRule="exact"/>
        <w:rPr>
          <w:sz w:val="20"/>
          <w:szCs w:val="20"/>
          <w:color w:val="auto"/>
        </w:rPr>
      </w:pPr>
    </w:p>
    <w:p>
      <w:pPr>
        <w:ind w:left="1180" w:hanging="436"/>
        <w:spacing w:after="0" w:line="264"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delay accepting any Original Notes, to extend the Exchange Offer or to terminate the Exchange Offer if, in our reasonable judgment, any of the conditions described below shall not have been satisfied, by giving oral (to be followed by prompt written notice) or written notice of the delay, extension or termination to the Exchange Agent; or</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amend the terms of the Exchange Offer in any manner.</w:t>
      </w:r>
    </w:p>
    <w:p>
      <w:pPr>
        <w:spacing w:after="0" w:line="225"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If we amend the Exchange Offer in a manner that we consider material, we will disclose such amendment by means of a prospectus supplement, and we will extend the Exchange Offer for a period of five to ten business days.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If we determine to extend, amend or terminate the Exchange Offer, we will publicly announce this determination by making a timely release through an appropriate news agency.</w:t>
      </w:r>
    </w:p>
    <w:p>
      <w:pPr>
        <w:spacing w:after="0" w:line="170"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If we delay accepting any Original Notes with respect to the Exchange Offer or terminate the Exchange Offer, we promptly will return any Original Notes deposited pursuant to the Exchange Offer as required by Rule 14e-1(c).</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on the Exchange Notes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Exchange Notes will bear interest at the rate of 3.839% per annum from the most recent date to which interest on the Original Notes has been paid or, if no interest has been paid on such Original Notes, from November 20, 2019. Interest will be payable semiannually on March 20 and September 20 of each year to the persons in whose names the Exchange Notes are registered at the close of business on the immediately preceding March 1 and September 1, respectively, whether or not that day is a business day.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Conditions to the Exchange Offer</w:t>
      </w:r>
    </w:p>
    <w:p>
      <w:pPr>
        <w:spacing w:after="0" w:line="121"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color w:val="auto"/>
        </w:rPr>
        <w:t>Notwithstanding any other provisions of the Exchange Offer, or any extension of the Exchange Offer, we will not be required to accept for exchange, or to exchange any Exchange Notes for, any Original Notes and we may terminate the Exchange Offer or, at our option, modify, extend or otherwise amend the Exchange Offer, if any of the following conditions exist with respect to the Exchange Offer on or prior to the Expiration Date:</w:t>
      </w:r>
    </w:p>
    <w:p>
      <w:pPr>
        <w:spacing w:after="0" w:line="52" w:lineRule="exact"/>
        <w:rPr>
          <w:sz w:val="20"/>
          <w:szCs w:val="20"/>
          <w:color w:val="auto"/>
        </w:rPr>
      </w:pPr>
    </w:p>
    <w:p>
      <w:pPr>
        <w:ind w:left="1180" w:right="160" w:hanging="436"/>
        <w:spacing w:after="0" w:line="257"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action or event shall have occurred, been threatened, or may occur or an action shall have been taken, and a statute, rule, regulation, judgment, order, stay, decree or injunction shall have been issued, promulgated, enacted, entered, enforced or deemed to be applicable to the Exchange Offer or the exchange of the Original Notes for the Exchange Notes under the Exchange Offer by or before any court or governmental regulatory or administrative agency, authority, instrumentality or tribunal, including, without limitation, taxing authorities, that either:</w:t>
      </w:r>
    </w:p>
    <w:p>
      <w:pPr>
        <w:spacing w:after="0" w:line="80" w:lineRule="exact"/>
        <w:rPr>
          <w:rFonts w:ascii="Arial" w:cs="Arial" w:eastAsia="Arial" w:hAnsi="Arial"/>
          <w:sz w:val="18"/>
          <w:szCs w:val="18"/>
          <w:color w:val="auto"/>
        </w:rPr>
      </w:pPr>
    </w:p>
    <w:p>
      <w:pPr>
        <w:jc w:val="both"/>
        <w:ind w:left="1200" w:right="80" w:hanging="4"/>
        <w:spacing w:after="0" w:line="312" w:lineRule="auto"/>
        <w:tabs>
          <w:tab w:leader="none" w:pos="1445" w:val="left"/>
        </w:tabs>
        <w:numPr>
          <w:ilvl w:val="1"/>
          <w:numId w:val="14"/>
        </w:numPr>
        <w:rPr>
          <w:rFonts w:ascii="Arial" w:cs="Arial" w:eastAsia="Arial" w:hAnsi="Arial"/>
          <w:sz w:val="16"/>
          <w:szCs w:val="16"/>
          <w:color w:val="auto"/>
        </w:rPr>
      </w:pPr>
      <w:r>
        <w:rPr>
          <w:rFonts w:ascii="Arial" w:cs="Arial" w:eastAsia="Arial" w:hAnsi="Arial"/>
          <w:sz w:val="16"/>
          <w:szCs w:val="16"/>
          <w:color w:val="auto"/>
        </w:rPr>
        <w:t>challenges the making of the Exchange Offer or the exchange of the Original Notes for the Exchange Notes under the Exchange Offer or might, directly or indirectly, be expected to prohibit, prevent, restrict or delay consummation of, or might otherwise adversely affect in any manner, the Exchange Offer or the exchange of the Original Notes for the Exchange Notes under the Exchange Offer; or</w:t>
      </w:r>
    </w:p>
    <w:p>
      <w:pPr>
        <w:spacing w:after="0" w:line="38" w:lineRule="exact"/>
        <w:rPr>
          <w:rFonts w:ascii="Arial" w:cs="Arial" w:eastAsia="Arial" w:hAnsi="Arial"/>
          <w:sz w:val="16"/>
          <w:szCs w:val="16"/>
          <w:color w:val="auto"/>
        </w:rPr>
      </w:pPr>
    </w:p>
    <w:p>
      <w:pPr>
        <w:ind w:left="1200" w:right="280" w:hanging="4"/>
        <w:spacing w:after="0" w:line="264" w:lineRule="auto"/>
        <w:tabs>
          <w:tab w:leader="none" w:pos="1455"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our reasonable judgment, could materially adversely affect our (or our subsidiaries’) business, condition (financial or otherwise), income, operations, properties, assets, liabilities or prospects or impair the contemplated benefits to us of the Exchange Offer or the exchange of the Original Notes for the Exchange Notes under the Exchange Offer;</w:t>
      </w:r>
    </w:p>
    <w:p>
      <w:pPr>
        <w:spacing w:after="0" w:line="86" w:lineRule="exact"/>
        <w:rPr>
          <w:rFonts w:ascii="Arial" w:cs="Arial" w:eastAsia="Arial" w:hAnsi="Arial"/>
          <w:sz w:val="18"/>
          <w:szCs w:val="18"/>
          <w:color w:val="auto"/>
        </w:rPr>
      </w:pPr>
    </w:p>
    <w:p>
      <w:pPr>
        <w:ind w:left="1180" w:hanging="436"/>
        <w:spacing w:after="0" w:line="288" w:lineRule="auto"/>
        <w:tabs>
          <w:tab w:leader="none" w:pos="11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there shall have occurred (a) any general suspension of or limitation on trading in securities in the United States securities or financial markets, whether or not mandatory, (b) any material adverse change in the prices of the Original Notes that are the subject of the Exchange Offer, (c) a material impairment in the general trading market for debt securities, (d) a declaration of a banking moratorium or any suspension of payments in respect of banks by federal or state authorities in the United States, whether or not mandatory, (e) a material escalation or commencement of a war, armed hostilities, a terrorist act or other national or international calamity directly or indirectly relating to the United States, if the effect of any such event, in the Company’s reasonable judgment makes it impracticable or inadvisable to proceed with the Exchange Offer, (f) any limitation, whether or not mandatory, by any governmental authority on, or other event in the Company’s reasonable judgment, having a reasonable likelihood of affecting, the extension of credit by banks or other lending institutions in the United States, (g) any material adverse change in the securities or financial markets in the United States generally or (h) in the case of any of the foregoing existing at the time of the commencement of the Exchange Offer, a material acceleration or worsening thereof; and</w:t>
      </w:r>
    </w:p>
    <w:p>
      <w:pPr>
        <w:spacing w:after="0" w:line="101" w:lineRule="exact"/>
        <w:rPr>
          <w:rFonts w:ascii="Arial" w:cs="Arial" w:eastAsia="Arial" w:hAnsi="Arial"/>
          <w:sz w:val="16"/>
          <w:szCs w:val="16"/>
          <w:color w:val="auto"/>
        </w:rPr>
      </w:pPr>
    </w:p>
    <w:p>
      <w:pPr>
        <w:ind w:left="5620" w:hanging="101"/>
        <w:spacing w:after="0"/>
        <w:tabs>
          <w:tab w:leader="none" w:pos="5620" w:val="left"/>
        </w:tabs>
        <w:numPr>
          <w:ilvl w:val="2"/>
          <w:numId w:val="14"/>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1180"/>
          </w:cols>
          <w:pgMar w:left="24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line="255"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Trustee with respect to the Indenture for the Original Notes that are the subject of the Exchange Offer and the Exchange Notes to be issued in the Exchange Offer shall have been directed by any holders of the Original Notes to object in any respect to, or take any action that could, in our reasonable judgment, adversely affect the consummation of the Exchange Offer or the exchange of the Original Notes for the Exchange Notes under the Exchange Offer, or the Trustee shall have taken any action that challenges the validity or effectiveness of the procedures used by us in making the Exchange Offer or the exchange of the Original Notes for the Exchange Notes under the Exchange Offer.</w:t>
      </w:r>
    </w:p>
    <w:p>
      <w:pPr>
        <w:spacing w:after="0" w:line="193" w:lineRule="exact"/>
        <w:rPr>
          <w:sz w:val="20"/>
          <w:szCs w:val="20"/>
          <w:color w:val="auto"/>
        </w:rPr>
      </w:pPr>
    </w:p>
    <w:p>
      <w:pPr>
        <w:ind w:left="200" w:right="400" w:firstLine="441"/>
        <w:spacing w:after="0" w:line="308" w:lineRule="auto"/>
        <w:rPr>
          <w:sz w:val="20"/>
          <w:szCs w:val="20"/>
          <w:color w:val="auto"/>
        </w:rPr>
      </w:pPr>
      <w:r>
        <w:rPr>
          <w:rFonts w:ascii="Arial" w:cs="Arial" w:eastAsia="Arial" w:hAnsi="Arial"/>
          <w:sz w:val="17"/>
          <w:szCs w:val="17"/>
          <w:color w:val="auto"/>
        </w:rPr>
        <w:t>The foregoing conditions are for our sole benefit and may be waived by us, in whole or in part, in our absolute discretion. Any determination made by us concerning an event, development or circumstance described or referred to above will be conclusive and binding.</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any of the foregoing conditions are not satisfied with respect to the Exchange Offer, we may, at any time on or prior to the Expiration Date:</w:t>
      </w:r>
    </w:p>
    <w:p>
      <w:pPr>
        <w:spacing w:after="0" w:line="142" w:lineRule="exact"/>
        <w:rPr>
          <w:sz w:val="20"/>
          <w:szCs w:val="20"/>
          <w:color w:val="auto"/>
        </w:rPr>
      </w:pPr>
    </w:p>
    <w:p>
      <w:pPr>
        <w:ind w:left="1180" w:right="140" w:hanging="436"/>
        <w:spacing w:after="0" w:line="277"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terminate the Exchange Offer and promptly return all tendered Original Notes that are the subject of the Exchange Offer to the respective tendering holders;</w:t>
      </w:r>
    </w:p>
    <w:p>
      <w:pPr>
        <w:spacing w:after="0" w:line="75"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modify, extend or otherwise amend the Exchange Offer and retain all tendered Original Notes that are the subject of the Exchange Offer until the Expiration Date, as extended, subject, however, to the withdrawal rights of holders; or</w:t>
      </w:r>
    </w:p>
    <w:p>
      <w:pPr>
        <w:spacing w:after="0" w:line="75" w:lineRule="exact"/>
        <w:rPr>
          <w:rFonts w:ascii="Arial" w:cs="Arial" w:eastAsia="Arial" w:hAnsi="Arial"/>
          <w:sz w:val="18"/>
          <w:szCs w:val="18"/>
          <w:color w:val="auto"/>
        </w:rPr>
      </w:pPr>
    </w:p>
    <w:p>
      <w:pPr>
        <w:ind w:left="1180" w:right="60" w:hanging="436"/>
        <w:spacing w:after="0" w:line="277"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waive the unsatisfied conditions with respect to the Exchange Offer and accept all tendered and not previously validly withdrawn Original Notes that are the subject of the Exchange Offer.</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addition, subject to applicable law, we may in our absolute discretion terminate the Exchange Offer for any other reason or for no reason.</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Effect of Tender</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Any tender by a holder, and our subsequent acceptance of that tender, of Original Notes will constitute a binding agreement between that holder and us upon the terms and subject to the conditions of the Exchange Offer described in this prospectus and in the letter of transmittal. The participation in the Exchange Offer by a tendering holder of Original Notes will constitute the agreement by that holder to deliver good and marketable title to the tendered Original Notes, free and clear of any and all liens, restrictions, charges, pledges, security interests, encumbrances or rights of any kind of third parties.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Absence of Appraisal and Dissenters’ Rights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Holders of the Original Notes do not have any appraisal or dissenters’ rights in connection with the Exchange Offer.</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Procedures for Tendering</w:t>
      </w:r>
    </w:p>
    <w:p>
      <w:pPr>
        <w:spacing w:after="0" w:line="121" w:lineRule="exact"/>
        <w:rPr>
          <w:sz w:val="20"/>
          <w:szCs w:val="20"/>
          <w:color w:val="auto"/>
        </w:rPr>
      </w:pPr>
    </w:p>
    <w:p>
      <w:pPr>
        <w:ind w:left="200" w:right="540" w:firstLine="441"/>
        <w:spacing w:after="0" w:line="312" w:lineRule="auto"/>
        <w:rPr>
          <w:sz w:val="20"/>
          <w:szCs w:val="20"/>
          <w:color w:val="auto"/>
        </w:rPr>
      </w:pPr>
      <w:r>
        <w:rPr>
          <w:rFonts w:ascii="Arial" w:cs="Arial" w:eastAsia="Arial" w:hAnsi="Arial"/>
          <w:sz w:val="16"/>
          <w:szCs w:val="16"/>
          <w:color w:val="auto"/>
        </w:rPr>
        <w:t>If you wish to participate in the Exchange Offer and your Original Notes are held by a custodial entity such as a bank, broker, dealer, trust company or other nominee, you must instruct that custodial entity to tender your Original Notes on your behalf pursuant to the procedures of that custodial entity. Please ensure you contact your custodial entity as soon as possible to give them sufficient time to meet your requested deadline.</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participate in the Exchange Offer, you must either:</w:t>
      </w:r>
    </w:p>
    <w:p>
      <w:pPr>
        <w:spacing w:after="0" w:line="131" w:lineRule="exact"/>
        <w:rPr>
          <w:sz w:val="20"/>
          <w:szCs w:val="20"/>
          <w:color w:val="auto"/>
        </w:rPr>
      </w:pPr>
    </w:p>
    <w:p>
      <w:pPr>
        <w:ind w:left="1180" w:right="400" w:hanging="436"/>
        <w:spacing w:after="0" w:line="264"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complete, sign and date a letter of transmittal, or a facsimile thereof, in accordance with the instructions in the letter of transmittal, including guaranteeing the signatures to the letter of transmittal, if required, and mail or otherwise deliver the letter of transmittal or a facsimile thereof, together with</w:t>
      </w:r>
    </w:p>
    <w:p>
      <w:pPr>
        <w:spacing w:after="0" w:line="113" w:lineRule="exact"/>
        <w:rPr>
          <w:rFonts w:ascii="Arial" w:cs="Arial" w:eastAsia="Arial" w:hAnsi="Arial"/>
          <w:sz w:val="18"/>
          <w:szCs w:val="18"/>
          <w:color w:val="auto"/>
        </w:rPr>
      </w:pPr>
    </w:p>
    <w:p>
      <w:pPr>
        <w:ind w:left="5620" w:hanging="101"/>
        <w:spacing w:after="0"/>
        <w:tabs>
          <w:tab w:leader="none" w:pos="5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300"/>
        <w:spacing w:after="0" w:line="277" w:lineRule="auto"/>
        <w:rPr>
          <w:sz w:val="20"/>
          <w:szCs w:val="20"/>
          <w:color w:val="auto"/>
        </w:rPr>
      </w:pPr>
      <w:r>
        <w:rPr>
          <w:rFonts w:ascii="Arial" w:cs="Arial" w:eastAsia="Arial" w:hAnsi="Arial"/>
          <w:sz w:val="18"/>
          <w:szCs w:val="18"/>
          <w:color w:val="auto"/>
        </w:rPr>
        <w:t>the certificates representing your Original Notes specified in the letter of transmittal, to the Exchange Agent at the address listed in the letter of transmittal, for receipt on or prior to the Expiration Date; or</w:t>
      </w:r>
    </w:p>
    <w:p>
      <w:pPr>
        <w:spacing w:after="0" w:line="76" w:lineRule="exact"/>
        <w:rPr>
          <w:sz w:val="20"/>
          <w:szCs w:val="20"/>
          <w:color w:val="auto"/>
        </w:rPr>
      </w:pPr>
    </w:p>
    <w:p>
      <w:pPr>
        <w:ind w:left="1180" w:right="580" w:hanging="436"/>
        <w:spacing w:after="0" w:line="277"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comply with the Automated Tender Offer Program (“ATOP”) procedures for book-entry transfer described below on or prior to the Expiration Date.</w:t>
      </w:r>
    </w:p>
    <w:p>
      <w:pPr>
        <w:spacing w:after="0" w:line="170"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The Exchange Agent and DTC have confirmed that the Exchange Offer is eligible for ATOP with respect to book-entry notes held through DTC. The letter of transmittal, or a facsimile thereof, with any required signature guarantees, or, in the case of book-entry transfer, an agent’s message in lieu of the letter of transmittal, and any other required documents, must be transmitted to and received by the Exchange Agent on or prior to the Expiration Date at its address set forth below under the caption “Exchange Agent”. Original Notes will not be deemed to have been tendered until the letter of transmittal and signature guarantees, if any, or agent’s message, is received by the Exchange Agent. We have not provided guaranteed delivery procedures in conjunction with the Exchange Offer or under this prospectus.</w:t>
      </w:r>
    </w:p>
    <w:p>
      <w:pPr>
        <w:spacing w:after="0" w:line="178"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tender by a holder of Original Notes will constitute an agreement between us and the holder in accordance with the terms and subject to the conditions set forth in this prospectus and in the letter of transmittal.</w:t>
      </w:r>
    </w:p>
    <w:p>
      <w:pPr>
        <w:spacing w:after="0" w:line="170"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method of delivery of Original Notes, the letter of transmittal and all other required documents to the Exchange Agent is at the election and risk of the holders. Instead of delivery by mail, we recommend that holders use an overnight or hand delivery service, properly insured. In all cases, sufficient time should be allowed to assure delivery to and receipt by the Exchange Agent on or prior to the Expiration Date. Do not send the letter of transmittal or any Original Notes to anyone other than the Exchange Agent.</w:t>
      </w:r>
    </w:p>
    <w:p>
      <w:pPr>
        <w:spacing w:after="0" w:line="187" w:lineRule="exact"/>
        <w:rPr>
          <w:sz w:val="20"/>
          <w:szCs w:val="20"/>
          <w:color w:val="auto"/>
        </w:rPr>
      </w:pPr>
    </w:p>
    <w:p>
      <w:pPr>
        <w:jc w:val="both"/>
        <w:ind w:left="200" w:right="80" w:firstLine="441"/>
        <w:spacing w:after="0" w:line="259" w:lineRule="auto"/>
        <w:rPr>
          <w:sz w:val="20"/>
          <w:szCs w:val="20"/>
          <w:color w:val="auto"/>
        </w:rPr>
      </w:pPr>
      <w:r>
        <w:rPr>
          <w:rFonts w:ascii="Arial" w:cs="Arial" w:eastAsia="Arial" w:hAnsi="Arial"/>
          <w:sz w:val="18"/>
          <w:szCs w:val="18"/>
          <w:color w:val="auto"/>
        </w:rPr>
        <w:t>If you are tendering your Original Notes in exchange for Exchange Notes and anticipate delivering your letter of transmittal and other documents other than through DTC, we urge you to contact promptly a bank, broker or other intermediary that has the capability to hold notes custodially through DTC to arrange for receipt of any Original Notes to be delivered pursuant to the Exchange Offer and to obtain the information necessary to provide the required DTC participant with account information in the letter of transmittal.</w:t>
      </w:r>
    </w:p>
    <w:p>
      <w:pPr>
        <w:spacing w:after="0" w:line="18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If you are a beneficial owner which holds Original Notes through Euroclear (as defined herein) or Clearstream (as defined herein) and wish to tender your Original Notes, you must instruct Euroclear or Clearstream, as the case may be, to block the account in respect of the tendered Original Notes in accordance with the procedures established by Euroclear or Clearstream. You are encouraged to contact Euroclear and Clearstream directly to ascertain their procedure for tendering Original Notes.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Book-Entry Delivery Procedures for Tendering Original Notes Held with DTC</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you wish to tender Original Notes held on your behalf by a participant with DTC, you must:</w:t>
      </w:r>
    </w:p>
    <w:p>
      <w:pPr>
        <w:spacing w:after="0" w:line="131" w:lineRule="exact"/>
        <w:rPr>
          <w:sz w:val="20"/>
          <w:szCs w:val="20"/>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inform the participant of your interest in tendering your Original Notes pursuant to the Exchange Offer; and</w:t>
      </w:r>
    </w:p>
    <w:p>
      <w:pPr>
        <w:spacing w:after="0" w:line="130" w:lineRule="exact"/>
        <w:rPr>
          <w:rFonts w:ascii="Arial" w:cs="Arial" w:eastAsia="Arial" w:hAnsi="Arial"/>
          <w:sz w:val="18"/>
          <w:szCs w:val="18"/>
          <w:color w:val="auto"/>
        </w:rPr>
      </w:pPr>
    </w:p>
    <w:p>
      <w:pPr>
        <w:ind w:left="1180" w:right="240" w:hanging="436"/>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instruct the participant to tender all Original Notes you wish to be tendered in the Exchange Offer into the Exchange Agent’s account at DTC on or prior to the Expiration Date.</w:t>
      </w:r>
    </w:p>
    <w:p>
      <w:pPr>
        <w:spacing w:after="0" w:line="170"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Any financial institution that is a participant in DTC, including Euroclear and Clearstream, must tender Original Notes by effecting a book-entry transfer of Original Notes to be tendered in the Exchange Offer into the account of the Exchange Agent at DTC by electronically transmitting its acceptance of the Exchange Offer through the ATOP procedures for transfer. DTC will then verify the acceptance, execute a book-entry delivery to the Exchange Agent’s account at DTC and send an agent’s message to the Exchange Agent. An “agent’s message” is a message, transmitted by DTC to, and received by, the Exchange Agent and forming part of a book-entry confirmation, which states that DTC has received an express acknowledgement from an organization that participates in DTC (a “participant”) tendering Original Notes that the participant has received and agrees to be bound by the terms of the letter of transmittal and that we may enforce the agreement against the participant. A letter of transmittal need not accompany tenders effected through ATOP.</w:t>
      </w:r>
    </w:p>
    <w:p>
      <w:pPr>
        <w:spacing w:after="0" w:line="1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180"/>
          </w:cols>
          <w:pgMar w:left="24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Proper Execution and Delivery of the Letter of Transmittal</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Signatures on a letter of transmittal or notice of withdrawal described under “—Withdrawal of Tenders”, as the case may be, must be guaranteed by an eligible guarantor institution unless the Original Notes tendered pursuant thereto are tendered (i) by a registered holder who has not completed the box entitled “Special Issuance Instructions” or “Special Delivery Instructions” on the letter of transmittal or (ii) for the account of an eligible guarantor institution. An “eligible guarantor institution” is one of the following firms or other entities identified in Rule 17Ad-15 under the Exchange Act (as the terms are used in Rule 17Ad-15):</w:t>
      </w:r>
    </w:p>
    <w:p>
      <w:pPr>
        <w:spacing w:after="0" w:line="94" w:lineRule="exact"/>
        <w:rPr>
          <w:sz w:val="20"/>
          <w:szCs w:val="20"/>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bank;</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broker, dealer, municipal securities dealer, municipal securities broker, government securities dealer or government securities broker;</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credit union;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national securities exchange, registered securities association or clearing agency;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savings institution that is a participant in a Securities Transfer Association recognized program.</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If signatures on a letter of transmittal or notice of withdrawal are required to be guaranteed, that guarantee must be made by an eligible institution.</w:t>
      </w:r>
    </w:p>
    <w:p>
      <w:pPr>
        <w:spacing w:after="0" w:line="24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If the letter of transmittal is signed by the holders of Original Notes tendered thereby, the signatures must correspond with the names as written on the face of the Original Notes or on the DTC security position listing without any change whatsoever. If any of the Original Notes tendered thereby are held by two or more holders, each holder must sign the letter of transmittal. If any of the Original Notes tendered thereby are registered in different names on different Original Notes, it will be necessary to complete, sign and submit as many separate letters of transmittal, and any accompanying documents, as there are different registrations of certificates.</w:t>
      </w:r>
    </w:p>
    <w:p>
      <w:pPr>
        <w:spacing w:after="0" w:line="18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If Original Notes that are not tendered for exchange pursuant to the Exchange Offer are to be returned to a person other than the tendering holder, certificates for those Original Notes must be endorsed or accompanied by an appropriate instrument of transfer, signed exactly as the name of the registered owner appears on the certificates, with the signatures on the certificates or instruments of transfer guaranteed by an eligible guarantor institution.</w:t>
      </w:r>
    </w:p>
    <w:p>
      <w:pPr>
        <w:spacing w:after="0" w:line="187"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If the letter of transmittal is signed by a person other than the holder of any Original Notes listed in the letter of transmittal, those Original Notes must be properly endorsed or accompanied by a properly completed bond power, signed by the holder exactly as the holder’s name appears on those Original Notes. If the letter of transmittal or any Original Notes, bond powers or other instruments of transfer are signed by trustees, executors, administrators, guardians, attorneys-in-fact, officers of corporations or others acting in a fiduciary or representative capacity, those persons should so indicate when signing, and, unless waived by us, evidence satisfactory to us of their authority to so act must be submitted with the letter of transmittal.</w:t>
      </w:r>
    </w:p>
    <w:p>
      <w:pPr>
        <w:spacing w:after="0" w:line="158"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No alternative, conditional, irregular or contingent tenders will be accepted. By executing the letter of transmittal, or facsimile thereof, the tendering holders of Original Notes waive any right to receive any notice of the acceptance for exchange of their Original Notes. Tendering holders should indicate in the applicable box in the letter of transmittal the name and address to which payments and/or substitute certificates evidencing Original Notes for amounts not tendered or not exchanged are to be issued or sent, if different from the name and address of the person signing the letter of transmittal. If those instructions are not given, Original Notes not tendered or exchanged will be returned to the tendering holder.</w:t>
      </w:r>
    </w:p>
    <w:p>
      <w:pPr>
        <w:spacing w:after="0" w:line="158"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All questions as to the validity, form, eligibility, including time of receipt, and acceptance and withdrawal of tendered Original Notes will be determined by us in our absolute discretion, which determination will be final and binding. We reserve the absolute right to reject any and all tendered Original Notes determined by us not to</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180"/>
          </w:cols>
          <w:pgMar w:left="24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4" w:lineRule="auto"/>
        <w:rPr>
          <w:sz w:val="20"/>
          <w:szCs w:val="20"/>
          <w:color w:val="auto"/>
        </w:rPr>
      </w:pPr>
      <w:r>
        <w:rPr>
          <w:rFonts w:ascii="Arial" w:cs="Arial" w:eastAsia="Arial" w:hAnsi="Arial"/>
          <w:sz w:val="18"/>
          <w:szCs w:val="18"/>
          <w:color w:val="auto"/>
        </w:rPr>
        <w:t>be in proper form or not to be tendered properly or any tendered Original Notes our acceptance of which would, in the opinion of our counsel, be unlawful. We also reserve the right to waive, in our absolute discretion, any defects, irregularities or conditions of tender as to particular Original Notes, whether or not waived in the case of other Original Notes. Our interpretation of the terms and conditions of the Exchange Offer, including the terms and instructions in the letter of transmittal, will be final and binding on all parties. Unless waived, any defects or irregularities in connection with tenders of Original Notes must be cured within the time we determine. Although we intend to notify holders of defects or irregularities with respect to tenders of Original Notes, neither we, the Exchange Agent nor any other person will be under any duty to give that notification or shall incur any liability for failure to give that notification. Tenders of Original Notes will not be deemed to have been made until any defects or irregularities therein have been cured or waived.</w:t>
      </w:r>
    </w:p>
    <w:p>
      <w:pPr>
        <w:spacing w:after="0" w:line="192" w:lineRule="exact"/>
        <w:rPr>
          <w:sz w:val="20"/>
          <w:szCs w:val="20"/>
          <w:color w:val="auto"/>
        </w:rPr>
      </w:pPr>
    </w:p>
    <w:p>
      <w:pPr>
        <w:ind w:left="200" w:right="340" w:firstLine="441"/>
        <w:spacing w:after="0" w:line="342" w:lineRule="auto"/>
        <w:rPr>
          <w:sz w:val="20"/>
          <w:szCs w:val="20"/>
          <w:color w:val="auto"/>
        </w:rPr>
      </w:pPr>
      <w:r>
        <w:rPr>
          <w:rFonts w:ascii="Arial" w:cs="Arial" w:eastAsia="Arial" w:hAnsi="Arial"/>
          <w:sz w:val="16"/>
          <w:szCs w:val="16"/>
          <w:color w:val="auto"/>
        </w:rPr>
        <w:t>Any holder whose Original Notes have been mutilated, lost, stolen or destroyed will be responsible for obtaining replacement securities or for arranging for indemnification with the Trustee of the Original Notes. Holders may contact the Exchange Agent for assistance with these matters.</w:t>
      </w:r>
    </w:p>
    <w:p>
      <w:pPr>
        <w:spacing w:after="0" w:line="124"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In addition, we reserve the right, as set forth above under the caption “—Conditions to the Exchange Offer”, to terminate the Exchange Offer. By tendering, each holder represents and acknowledges to us, among other things, that:</w:t>
      </w:r>
    </w:p>
    <w:p>
      <w:pPr>
        <w:spacing w:after="0" w:line="76" w:lineRule="exact"/>
        <w:rPr>
          <w:sz w:val="20"/>
          <w:szCs w:val="20"/>
          <w:color w:val="auto"/>
        </w:rPr>
      </w:pPr>
    </w:p>
    <w:p>
      <w:pPr>
        <w:ind w:left="1180" w:right="220" w:hanging="544"/>
        <w:spacing w:after="0" w:line="264"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has full power and authority to tender, sell, assign and transfer the Original Notes it is tendering and that we will acquire good and unencumbered title thereto, free and clear of all liens, restrictions, charges and encumbrances and not subject to any adverse claim when the same are accepted by us;</w:t>
      </w:r>
    </w:p>
    <w:p>
      <w:pPr>
        <w:spacing w:after="0" w:line="86" w:lineRule="exact"/>
        <w:rPr>
          <w:rFonts w:ascii="Arial" w:cs="Arial" w:eastAsia="Arial" w:hAnsi="Arial"/>
          <w:sz w:val="18"/>
          <w:szCs w:val="18"/>
          <w:color w:val="auto"/>
        </w:rPr>
      </w:pPr>
    </w:p>
    <w:p>
      <w:pPr>
        <w:ind w:left="1180" w:right="260" w:hanging="544"/>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Exchange Notes acquired in connection with the Exchange Offer are being obtained in the ordinary course of business of the person receiving the Exchange Notes;</w:t>
      </w:r>
    </w:p>
    <w:p>
      <w:pPr>
        <w:spacing w:after="0" w:line="75" w:lineRule="exact"/>
        <w:rPr>
          <w:rFonts w:ascii="Arial" w:cs="Arial" w:eastAsia="Arial" w:hAnsi="Arial"/>
          <w:sz w:val="18"/>
          <w:szCs w:val="18"/>
          <w:color w:val="auto"/>
        </w:rPr>
      </w:pPr>
    </w:p>
    <w:p>
      <w:pPr>
        <w:ind w:left="1180" w:hanging="544"/>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the time of commencement of the Exchange Offer it had no arrangement or understanding with any person to participate in a distribution of the Exchange Notes;</w:t>
      </w:r>
    </w:p>
    <w:p>
      <w:pPr>
        <w:spacing w:after="0" w:line="75" w:lineRule="exact"/>
        <w:rPr>
          <w:rFonts w:ascii="Arial" w:cs="Arial" w:eastAsia="Arial" w:hAnsi="Arial"/>
          <w:sz w:val="18"/>
          <w:szCs w:val="18"/>
          <w:color w:val="auto"/>
        </w:rPr>
      </w:pPr>
    </w:p>
    <w:p>
      <w:pPr>
        <w:ind w:left="1180" w:right="40" w:hanging="544"/>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is not an “affiliate” (as defined in Rule 405 under the Securities Act) of our company, or if it is an affiliate, such holder will comply with the registration and prospectus delivery requirements of the Securities Act to the extent applicable;</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the holder is not a broker-dealer, that it is not engaged in, and does not intend to engage in, the distribution of the Exchange Notes; and</w:t>
      </w:r>
    </w:p>
    <w:p>
      <w:pPr>
        <w:spacing w:after="0" w:line="153" w:lineRule="exact"/>
        <w:rPr>
          <w:rFonts w:ascii="Arial" w:cs="Arial" w:eastAsia="Arial" w:hAnsi="Arial"/>
          <w:sz w:val="16"/>
          <w:szCs w:val="16"/>
          <w:color w:val="auto"/>
        </w:rPr>
      </w:pPr>
    </w:p>
    <w:p>
      <w:pPr>
        <w:ind w:left="1180" w:right="120" w:hanging="544"/>
        <w:spacing w:after="0" w:line="259"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holder is a broker-dealer, that it is not engaged in, and does not intend to engage in, a distribution of the Exchange Notes, and that it will receive Exchange Notes for its own account in exchange for Original Notes that were acquired by such broker-dealer as a result of market-making activities or other trading activities and that it will be required to acknowledge that it will deliver a prospectus in connection with any resale of such Exchange Notes. See “Plan of Distribution.”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Withdrawal of Tenders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Tenders of Original Notes in the Exchange Offer may be validly withdrawn at any time prior to the Expiration Date.</w:t>
      </w:r>
    </w:p>
    <w:p>
      <w:pPr>
        <w:spacing w:after="0" w:line="225" w:lineRule="exact"/>
        <w:rPr>
          <w:sz w:val="20"/>
          <w:szCs w:val="20"/>
          <w:color w:val="auto"/>
        </w:rPr>
      </w:pPr>
    </w:p>
    <w:p>
      <w:pPr>
        <w:ind w:left="200" w:right="340" w:firstLine="441"/>
        <w:spacing w:after="0" w:line="308" w:lineRule="auto"/>
        <w:rPr>
          <w:sz w:val="20"/>
          <w:szCs w:val="20"/>
          <w:color w:val="auto"/>
        </w:rPr>
      </w:pPr>
      <w:r>
        <w:rPr>
          <w:rFonts w:ascii="Arial" w:cs="Arial" w:eastAsia="Arial" w:hAnsi="Arial"/>
          <w:sz w:val="17"/>
          <w:szCs w:val="17"/>
          <w:color w:val="auto"/>
        </w:rPr>
        <w:t>For a withdrawal of a tender to be effective, a written or facsimile transmission notice of withdrawal must be received by the Exchange Agent prior to the Expiration Date at its address set forth below under the caption “Exchange Agent”. The withdrawal notice must:</w:t>
      </w:r>
    </w:p>
    <w:p>
      <w:pPr>
        <w:spacing w:after="0" w:line="38" w:lineRule="exact"/>
        <w:rPr>
          <w:sz w:val="20"/>
          <w:szCs w:val="20"/>
          <w:color w:val="auto"/>
        </w:rPr>
      </w:pPr>
    </w:p>
    <w:p>
      <w:pPr>
        <w:ind w:left="1320" w:hanging="252"/>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specify the name of the tendering holder of Original Notes;</w:t>
      </w:r>
    </w:p>
    <w:p>
      <w:pPr>
        <w:spacing w:after="0" w:line="117" w:lineRule="exact"/>
        <w:rPr>
          <w:rFonts w:ascii="Arial" w:cs="Arial" w:eastAsia="Arial" w:hAnsi="Arial"/>
          <w:sz w:val="18"/>
          <w:szCs w:val="18"/>
          <w:color w:val="auto"/>
        </w:rPr>
      </w:pPr>
    </w:p>
    <w:p>
      <w:pPr>
        <w:ind w:left="1320" w:hanging="252"/>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bear a description of the Original Notes to be withdrawn;</w:t>
      </w:r>
    </w:p>
    <w:p>
      <w:pPr>
        <w:spacing w:after="0" w:line="157" w:lineRule="exact"/>
        <w:rPr>
          <w:rFonts w:ascii="Arial" w:cs="Arial" w:eastAsia="Arial" w:hAnsi="Arial"/>
          <w:sz w:val="18"/>
          <w:szCs w:val="18"/>
          <w:color w:val="auto"/>
        </w:rPr>
      </w:pPr>
    </w:p>
    <w:p>
      <w:pPr>
        <w:ind w:left="5620" w:hanging="101"/>
        <w:spacing w:after="0"/>
        <w:tabs>
          <w:tab w:leader="none" w:pos="5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20" w:firstLine="428"/>
        <w:spacing w:after="0" w:line="277" w:lineRule="auto"/>
        <w:tabs>
          <w:tab w:leader="none" w:pos="1318"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specify, in the case of Original Notes tendered by delivery of certificates for those Original Notes, the certificate numbers shown on the particular certificates evidencing those Original Notes;</w:t>
      </w:r>
    </w:p>
    <w:p>
      <w:pPr>
        <w:spacing w:after="0" w:line="62" w:lineRule="exact"/>
        <w:rPr>
          <w:rFonts w:ascii="Arial" w:cs="Arial" w:eastAsia="Arial" w:hAnsi="Arial"/>
          <w:sz w:val="18"/>
          <w:szCs w:val="18"/>
          <w:color w:val="auto"/>
        </w:rPr>
      </w:pPr>
    </w:p>
    <w:p>
      <w:pPr>
        <w:ind w:left="1320" w:hanging="252"/>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specify the aggregate principal amount represented by those Original Notes;</w:t>
      </w:r>
    </w:p>
    <w:p>
      <w:pPr>
        <w:spacing w:after="0" w:line="117" w:lineRule="exact"/>
        <w:rPr>
          <w:rFonts w:ascii="Arial" w:cs="Arial" w:eastAsia="Arial" w:hAnsi="Arial"/>
          <w:sz w:val="18"/>
          <w:szCs w:val="18"/>
          <w:color w:val="auto"/>
        </w:rPr>
      </w:pPr>
    </w:p>
    <w:p>
      <w:pPr>
        <w:jc w:val="both"/>
        <w:ind w:left="640" w:right="180" w:firstLine="428"/>
        <w:spacing w:after="0" w:line="264" w:lineRule="auto"/>
        <w:tabs>
          <w:tab w:leader="none" w:pos="1318"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specify, in the case of Original Notes tendered by delivery of certificates for those Original Notes, the name of the registered holder, if different from that of the tendering holder, or specify, in the case of Original Notes tendered by book-entry transfer, the name and number of the account at DTC to be credited with the withdrawn Original Notes; and</w:t>
      </w:r>
    </w:p>
    <w:p>
      <w:pPr>
        <w:spacing w:after="0" w:line="73" w:lineRule="exact"/>
        <w:rPr>
          <w:rFonts w:ascii="Arial" w:cs="Arial" w:eastAsia="Arial" w:hAnsi="Arial"/>
          <w:sz w:val="18"/>
          <w:szCs w:val="18"/>
          <w:color w:val="auto"/>
        </w:rPr>
      </w:pPr>
    </w:p>
    <w:p>
      <w:pPr>
        <w:ind w:left="640" w:right="260" w:firstLine="428"/>
        <w:spacing w:after="0" w:line="264" w:lineRule="auto"/>
        <w:tabs>
          <w:tab w:leader="none" w:pos="131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signed by the holder of those Original Notes in the same manner as the original signature on the letter of transmittal, including any required signature guarantees, or be accompanied by evidence satisfactory to us that the person withdrawing the tender has succeeded to the beneficial ownership of those Original Notes.</w:t>
      </w:r>
    </w:p>
    <w:p>
      <w:pPr>
        <w:spacing w:after="0" w:line="18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signature on any notice of withdrawal must be guaranteed by an eligible guarantor institution, unless the Original Notes have been tendered for the account of an eligible guarantor institution.</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Withdrawal of tenders of Original Notes may not be rescinded, and any Original Notes validly withdrawn will thereafter be deemed not to have been validly tendered for purposes of the Exchange Offer. Validly withdrawn Original Notes may, however, be re-tendered by again following one of the procedures described in “—Procedures for Tendering” on or prior to the Expiration Date.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 Agent</w:t>
      </w:r>
    </w:p>
    <w:p>
      <w:pPr>
        <w:spacing w:after="0" w:line="121"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The Bank of New York Mellon Trust Company, N.A. has been appointed as Exchange Agent in connection with the Exchange Offer. Questions and requests for assistance, as well as requests for additional copies of this prospectus or of the letter of transmittal, should be directed to the Exchange Agent at its offices at The Bank of New York Mellon Trust Company, N.A., as Exchange Agent, c/o The Bank of New York Mellon Corporation, Corporate Trust Operations—Reorganization Unit, 111 Sanders Parkway, East Syracuse, New York 13057, Attn: Joseph Felicia. The Exchange Agent’s telephone number is (315) 414-3349 and facsimile number is (732) 667-9408.</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We will not make any payment to brokers, dealers or others soliciting acceptances of the Exchange Offer. We will pay certain other expenses to be incurred in connection with the Exchange Offer, including the fees and expenses of the Exchange Agent and certain accountant and legal fees.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Holders who tender their Original Notes for exchange will not be obligated to pay transfer taxes. If, however:</w:t>
      </w:r>
    </w:p>
    <w:p>
      <w:pPr>
        <w:spacing w:after="0" w:line="131" w:lineRule="exact"/>
        <w:rPr>
          <w:sz w:val="20"/>
          <w:szCs w:val="20"/>
          <w:color w:val="auto"/>
        </w:rPr>
      </w:pPr>
    </w:p>
    <w:p>
      <w:pPr>
        <w:ind w:left="1180" w:hanging="544"/>
        <w:spacing w:after="0"/>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Exchange Notes are to be delivered to, or issued in the name of, any person other than the registered holder of the Original Notes tendered;</w:t>
      </w:r>
    </w:p>
    <w:p>
      <w:pPr>
        <w:spacing w:after="0" w:line="153" w:lineRule="exact"/>
        <w:rPr>
          <w:rFonts w:ascii="Arial" w:cs="Arial" w:eastAsia="Arial" w:hAnsi="Arial"/>
          <w:sz w:val="16"/>
          <w:szCs w:val="16"/>
          <w:color w:val="auto"/>
        </w:rPr>
      </w:pPr>
    </w:p>
    <w:p>
      <w:pPr>
        <w:ind w:left="1180" w:hanging="544"/>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tendered Original Notes are registered in the name of any person other than the person signing the letter of transmittal; or</w:t>
      </w:r>
    </w:p>
    <w:p>
      <w:pPr>
        <w:spacing w:after="0" w:line="130" w:lineRule="exact"/>
        <w:rPr>
          <w:rFonts w:ascii="Arial" w:cs="Arial" w:eastAsia="Arial" w:hAnsi="Arial"/>
          <w:sz w:val="18"/>
          <w:szCs w:val="18"/>
          <w:color w:val="auto"/>
        </w:rPr>
      </w:pPr>
    </w:p>
    <w:p>
      <w:pPr>
        <w:ind w:left="1180" w:right="40" w:hanging="544"/>
        <w:spacing w:after="0" w:line="259"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transfer tax is imposed for any reason other than the exchange of Original Notes in connection with the Exchange Offer; then the amount of any such transfer taxes (whether imposed on the registered holder or any other persons) will be payable by the tendering holder. If satisfactory evidence of payment of such taxes or exemption from them is not submitted with the letter of transmittal, the amount of such transfer taxes will be billed directly to the tendering holder.</w:t>
      </w:r>
    </w:p>
    <w:p>
      <w:pPr>
        <w:spacing w:after="0" w:line="119" w:lineRule="exact"/>
        <w:rPr>
          <w:rFonts w:ascii="Arial" w:cs="Arial" w:eastAsia="Arial" w:hAnsi="Arial"/>
          <w:sz w:val="18"/>
          <w:szCs w:val="18"/>
          <w:color w:val="auto"/>
        </w:rPr>
      </w:pPr>
    </w:p>
    <w:p>
      <w:pPr>
        <w:ind w:left="5620" w:hanging="101"/>
        <w:spacing w:after="0"/>
        <w:tabs>
          <w:tab w:leader="none" w:pos="5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Consequences of Failures to Properly Tender Original Notes in the Exchange Offer</w:t>
      </w:r>
    </w:p>
    <w:p>
      <w:pPr>
        <w:spacing w:after="0" w:line="121"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Issuance of the Exchange Notes in exchange for the Original Notes under the Exchange Offer will be made only after timely receipt by the Exchange Agent of a properly completed and duly executed letter of transmittal (or an agent’s message from DTC) and the certificate(s) representing such Original Notes (or confirmation of book-entry transfer), and all other required documents. Therefore, holders of the Original Notes desiring to tender such Original Notes in exchange for Exchange Notes should allow sufficient time to ensure timely delivery. We are under no duty to give notification of defects or irregularities of tenders of Original Notes for exchange. Original Notes that are not tendered or that are tendered but not accepted by us will, following completion of the Exchange Offer, continue to be subject to the existing restrictions upon transfer thereof under the Securities Act, and, upon completion of the Exchange Offer, certain registration rights under the Registration Rights Agreement will terminate.</w:t>
      </w:r>
    </w:p>
    <w:p>
      <w:pPr>
        <w:spacing w:after="0" w:line="167"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We generally will not be required to register any remaining Original Notes in the event the Exchange Offer is completed, subject to limited exceptions. Remaining Original Notes will continue to be subject to the following restrictions on transfer:</w:t>
      </w:r>
    </w:p>
    <w:p>
      <w:pPr>
        <w:spacing w:after="0" w:line="76" w:lineRule="exact"/>
        <w:rPr>
          <w:sz w:val="20"/>
          <w:szCs w:val="20"/>
          <w:color w:val="auto"/>
        </w:rPr>
      </w:pPr>
    </w:p>
    <w:p>
      <w:pPr>
        <w:ind w:left="1180" w:right="520" w:hanging="544"/>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remaining Original Notes may be resold only if registered pursuant to the Securities Act, if any exemption from registration is available, or if neither such registration nor such exemption is required by law; and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remaining Original Notes will bear a legend restricting transfer in the absence of registration or an exemption.</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do not currently anticipate that we will register the remaining Original Notes under the Securities Act. To the extent that Original Notes are tendered and accepted in connection with the Exchange Offer, any trading market for remaining Original Notes could be adversely affected. See “Risk Factors—Risks Relating to the Exchange Offer—If you fail to exchange your Original Notes, they will continue to be restricted securities and may become less liquid”.</w:t>
      </w:r>
    </w:p>
    <w:p>
      <w:pPr>
        <w:spacing w:after="0" w:line="11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040"/>
          </w:cols>
          <w:pgMar w:left="240" w:top="459" w:right="6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BOOK-ENTRY NOTES</w:t>
      </w:r>
    </w:p>
    <w:p>
      <w:pPr>
        <w:spacing w:after="0" w:line="22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Exchange Notes will be represented by one or more permanent global Exchange Notes in definitive, fully registered form without interest coupons. Each beneficial interest in a global Exchange Note is referred to as a “book-entry note.” Each global Exchange Note representing “book-entry notes” will be deposited with the Trustee, as custodian for, and registered in the name of, a nominee of The Depository Trust Company, as depositary, located in the Borough of Manhattan, The City of New York (“DTC”).</w:t>
      </w:r>
    </w:p>
    <w:p>
      <w:pPr>
        <w:spacing w:after="0" w:line="187" w:lineRule="exact"/>
        <w:rPr>
          <w:sz w:val="20"/>
          <w:szCs w:val="20"/>
          <w:color w:val="auto"/>
        </w:rPr>
      </w:pPr>
    </w:p>
    <w:p>
      <w:pPr>
        <w:ind w:left="200" w:right="100" w:firstLine="441"/>
        <w:spacing w:after="0" w:line="253" w:lineRule="auto"/>
        <w:rPr>
          <w:sz w:val="20"/>
          <w:szCs w:val="20"/>
          <w:color w:val="auto"/>
        </w:rPr>
      </w:pPr>
      <w:r>
        <w:rPr>
          <w:rFonts w:ascii="Arial" w:cs="Arial" w:eastAsia="Arial" w:hAnsi="Arial"/>
          <w:sz w:val="18"/>
          <w:szCs w:val="18"/>
          <w:color w:val="auto"/>
        </w:rPr>
        <w:t>The book-entry notes will be represented through book-entry accounts of financial institutions acting on behalf of beneficial owners as direct and indirect participants in DTC. Investors may elect to hold interests in the book-entry notes through either DTC (in the U.S.) or Clearstream Banking, société anonyme (“Clearstream” or “Clearstream Luxembourg”) or Euroclear Bank S.A./N.V., as operator of the Euroclear System (“Euroclear”) (in Europe) if they are participants of such systems, or indirectly through organizations that are participants in such systems. Clearstream Luxembourg and Euroclear will hold interests on behalf of their participants through customers’ securities accounts in Clearstream Luxembourg’s and Euroclear’s names on the books of their respective depositaries, which in turn will hold such interests in customers’ securities accounts in the depositaries’ names on the books of DTC. The book-entry notes will be held in denominations of $1,000 and integral multiples of $1,000 in excess thereof. Except as set forth below, the global Exchange Notes may be transferred, in whole and not in part, only to another nominee of DTC or to a successor of DTC or its nominee.</w:t>
      </w:r>
    </w:p>
    <w:p>
      <w:pPr>
        <w:spacing w:after="0" w:line="19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Clearstream Luxembourg advises that it is incorporated under the laws of Luxembourg as a professional depositary. Clearstream Luxembourg holds securities for its participating organizations (“Clearstream Luxembourg Participants”) and facilitates the clearance and settlement of securities transactions between Clearstream Luxembourg Participants through electronic book-entry changes in accounts of Clearstream Luxembourg Participants, thereby eliminating the need for physical movement of certificates. Clearstream Luxembourg provides to Clearstream Luxembourg Participants, among other things, services for safekeeping, administration, clearance and settlement of internationally traded securities and securities lending and borrowing. Clearstream Luxembourg interfaces with domestic markets in several countries.</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a professional depositary, Clearstream Luxembourg is subject to regulation by the Luxembourg Monetary Institute. Clearstream Luxembourg Participants are recognized financial institutions around the world, including underwriters, securities brokers and dealers, banks, trust companies, clearing corporations and certain other organizations and may include the underwriters. Indirect access to Clearstream Luxembourg is also available to others, such as banks, brokers, dealers and trust companies that clear through or maintain a custodial relationship with a Clearstream Luxembourg Participant either directly or indirectly. Distributions with respect to Exchange Notes held beneficially through Clearstream Luxembourg will be credited to cash accounts of Clearstream Luxembourg Participants in accordance with its rules and procedures, to the extent received by the U.S. Depositary for Clearstream Luxembourg.</w:t>
      </w:r>
    </w:p>
    <w:p>
      <w:pPr>
        <w:spacing w:after="0" w:line="18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Euroclear advises that it was created in 1968 to hold securities for participants of Euroclear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provides various other services, including securities lending and borrowing and interfaces with domestic markets in several countries. Euroclear is operated by Euroclear Bank S.A./N.V. (the “Euroclear Operator”), under contract with Euroclear Clearance Systems S.C., a Belgian cooperative corporation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 The Euroclear Operator was launched on December 31, 2000, and replaced Morgan Guaranty Trust</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Company of New York as the operator of and banker to the Euroclear system. Securities clearance accounts and cash accounts with the Euroclear Operator are governed by the Terms and Conditions Governing Use of Euroclear and the related Operating Procedures of the Euroclear System, and applicable Belgian law (collectively,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 Distributions with respect to the Exchange Notes held beneficially through Euroclear will be credited to the cash accounts of Euroclear Participants in accordance with the Terms and Conditions, to the extent received by the U.S. Depositary for Euroclear.</w:t>
      </w:r>
    </w:p>
    <w:p>
      <w:pPr>
        <w:spacing w:after="0" w:line="166"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So long as the Exchange Notes are held in global form, DTC or the nominee, as the case may be, will be considered the sole owner or holder of the Exchange Notes represented by the global Exchange Note for all purposes under the Indenture and the Exchange Notes. No beneficial owner of an interest in a global Exchange Note will be able to transfer that interest, except in accordance with DTC’s applicable procedures, in addition to those provided for under the Indenture.</w:t>
      </w:r>
    </w:p>
    <w:p>
      <w:pPr>
        <w:spacing w:after="0" w:line="18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Union Pacific has been advised by DTC that upon the issuance of global Exchange Notes representing book-entry notes, and the deposit of those global Exchange Notes with DTC, DTC will immediately credit, on its book-entry registration and transfer system, the respective principal amounts of the book-entry notes represented by those global Exchange Notes to the accounts of participants.</w:t>
      </w:r>
    </w:p>
    <w:p>
      <w:pPr>
        <w:spacing w:after="0" w:line="181"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Payments of principal of and any premium and interest on book-entry notes will be made to DTC or its nominee, as the case may be, as the registered owner of those Exchange Notes. Those payments to DTC or its nominee, as the case may be, will be made in immediately available funds at the offices of The Bank of New York, as paying agent, in the Borough of Manhattan, The City of New York, provided that, in the case of payments of principal and any premium, the global Exchange Notes are presented to the paying agent in time for the paying agent to make those payments in immediately available funds in accordance with its normal procedures. None of Union Pacific, the trustee or any agent of Union Pacific or the trustee will have any responsibility or liability for any aspect of DTC’s records or any participant’s records relating to or payments made on account of book-entry notes or for maintaining, supervising or reviewing any of DTC’s records or any participant’s records relating to book-entry notes.</w:t>
      </w:r>
    </w:p>
    <w:p>
      <w:pPr>
        <w:spacing w:after="0" w:line="167" w:lineRule="exact"/>
        <w:rPr>
          <w:sz w:val="20"/>
          <w:szCs w:val="20"/>
          <w:color w:val="auto"/>
        </w:rPr>
      </w:pPr>
    </w:p>
    <w:p>
      <w:pPr>
        <w:ind w:left="200" w:right="420" w:firstLine="441"/>
        <w:spacing w:after="0" w:line="259" w:lineRule="auto"/>
        <w:rPr>
          <w:sz w:val="20"/>
          <w:szCs w:val="20"/>
          <w:color w:val="auto"/>
        </w:rPr>
      </w:pPr>
      <w:r>
        <w:rPr>
          <w:rFonts w:ascii="Arial" w:cs="Arial" w:eastAsia="Arial" w:hAnsi="Arial"/>
          <w:sz w:val="18"/>
          <w:szCs w:val="18"/>
          <w:color w:val="auto"/>
        </w:rPr>
        <w:t>Union Pacific expects that DTC or its nominee, upon receipt of any payment of principal of or any premium or interest in respect of a global Exchange Note, will immediately credit, on its book-entry registration and transfer system, accounts of participants with payments in amounts proportionate to their respective beneficial interests in the principal amount of the global Exchange Notes, as shown on the records of DTC or its nominee.</w:t>
      </w:r>
    </w:p>
    <w:p>
      <w:pPr>
        <w:spacing w:after="0" w:line="18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Union Pacific also expects that payments by participants to owners of beneficial interests in book-entry notes held through those participants will be governed by standing instructions and customary practices, as is now the case with securities held for the accounts of customers registered in “street name”, and will be the responsibility of those participants.</w:t>
      </w:r>
    </w:p>
    <w:p>
      <w:pPr>
        <w:spacing w:after="0" w:line="18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Union Pacific expects that DTC will take any action permitted to be taken by a holder of Exchange Notes (including the presentation of Exchange Notes for exchange as described below) only at the direction of one or more participants to whose account or accounts the depositary interests in a global Exchange Note are credited and only in respect of the portion of the aggregate principal amount of the Exchange Notes as to which that participant or participants has or have given that direction. However, if there is an event of default under the Exchange Notes, DTC will exchange the global Exchange Note for definitive Exchange Notes in registered form, which it will distribute to its participants.</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180"/>
          </w:cols>
          <w:pgMar w:left="24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Union Pacific understands that DTC is a limited purpose trust company organized under the laws of the State of New York, a “banking organization” within the meaning of New York Banking Law, a member of the Federal Reserve System, a “clearing corporation” within the meaning of the Uniform Commercial Code, and a “Clearing Agency” registered pursuant to the provisions of Section 17A of the Exchange Act. DTC was created to hold securities of its participants and to facilitate the clearance and settlement of securities transactions among participants through electronic book-entry changes in accounts of its participants and certain other organizations, thereby eliminating the need for physical movement of securities certificates. DTC’s participants include securities brokers and dealers, banks, trust companies, clearing corporations, and certain other organizations, some of whom (or their representatives) own interests in DTC. Indirect access to DTC’s book-entry system is also available to others, such as banks, brokers, dealers and trust companies that clear through or maintain a custodial relationship with a participant, either directly or indirectly (“indirect participants”).</w:t>
      </w:r>
    </w:p>
    <w:p>
      <w:pPr>
        <w:spacing w:after="0" w:line="19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Although DTC is expected to follow the foregoing procedures in order to facilitate transfers of interests in a global Exchange Note among participants of DTC, it is under no obligation to perform or continue to perform those procedures and those procedures may be discontinued at any time. Neither Union Pacific nor the trustee will have any responsibility for the performance by DTC or its respective participants or indirect participants of its respective obligations under the rules and procedures governing their operations.</w:t>
      </w:r>
    </w:p>
    <w:p>
      <w:pPr>
        <w:spacing w:after="0" w:line="18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global Exchange Notes representing book-entry notes may not be transferred except as a whole by a nominee of DTC to DTC or to another nominee of DTC, or by DTC or the nominee to a successor of DTC or a nominee of the successor.</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global Exchange Notes representing the book-entry notes are exchangeable for definitive Exchange Notes in registered form, of like tenor and of an equal aggregate principal amount, only if:</w:t>
      </w:r>
    </w:p>
    <w:p>
      <w:pPr>
        <w:spacing w:after="0" w:line="76" w:lineRule="exact"/>
        <w:rPr>
          <w:sz w:val="20"/>
          <w:szCs w:val="20"/>
          <w:color w:val="auto"/>
        </w:rPr>
      </w:pPr>
    </w:p>
    <w:p>
      <w:pPr>
        <w:ind w:left="1180" w:right="200" w:hanging="544"/>
        <w:spacing w:after="0" w:line="264"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DTC notifies Union Pacific that it is unwilling or unable to continue as a depositary for the global Exchange Note, or if at any time DTC ceases to be a Clearing Agency registered under the Exchange Act, and a successor depositary is not appointed by Union Pacific within 90 days after it receives such notice or becomes aware of such cessation; or</w:t>
      </w:r>
    </w:p>
    <w:p>
      <w:pPr>
        <w:spacing w:after="0" w:line="86" w:lineRule="exact"/>
        <w:rPr>
          <w:rFonts w:ascii="Arial" w:cs="Arial" w:eastAsia="Arial" w:hAnsi="Arial"/>
          <w:sz w:val="18"/>
          <w:szCs w:val="18"/>
          <w:color w:val="auto"/>
        </w:rPr>
      </w:pPr>
    </w:p>
    <w:p>
      <w:pPr>
        <w:ind w:left="1180" w:right="660" w:hanging="544"/>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Union Pacific in its sole discretion and subject to DTC’s procedures determines that the book-entry notes will be exchangeable for definitive Exchange Notes in registered form.</w:t>
      </w:r>
    </w:p>
    <w:p>
      <w:pPr>
        <w:spacing w:after="0" w:line="170"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Any global Exchange Note representing book-entry notes that is exchangeable pursuant to the preceding sentence will be exchangeable in whole for definitive Exchange Notes in registered form, of like tenor and of an equal aggregate principal amount, in denominations of U.S. $1,000 and integral multiples of U.S. $1,000 in excess thereof. Upon the exchange of a global Exchange Note for definitive Exchange Notes, that global Exchange Note will be canceled by the trustee and the definitive Exchange Notes will be registered in the names and in the authorized denominations as DTC, pursuant to instructions from its participants, any indirect participants or otherwise, instructs the trustee. The trustee will deliver those Exchange Notes to the persons in whose names those Exchange Notes are registered and will recognize those persons as the holders of those Exchange Notes.</w:t>
      </w:r>
    </w:p>
    <w:p>
      <w:pPr>
        <w:spacing w:after="0" w:line="165"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Except as provided above, owners of book-entry notes will not be entitled to receive physical delivery of Exchange Notes in definitive form and will not be considered the holders of those Exchange Notes for any purpose under the Indenture, and no global Exchange Note representing book-entry notes will be exchangeable, except for another global Exchange Note of like denomination and tenor to be registered in the name of DTC or its nominee. Accordingly, each person owning a book-entry note must rely on the procedures of DTC and, if that person is not a participant, on the procedures of the participant through which that person owns its interest, to exercise any rights of a holder under that global Exchange Note or the Indenture. The Indenture provides that DTC, as a holder, may appoint agents and otherwise authorize participants to give or take any request, demand, authorization, direction, notice, consent, waiver or other action that a holder is entitled to give or take under the Indenture. Union Pacific understands that under existing industry practices, if Union Pacific requests any action</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of holders or an owner of a book-entry note desires to give or take any action a holder is entitled to give or take under the Indenture, DTC or its nominee would authorize the participants owning the relevant book-entry notes to give or take that action, and those participants would authorize beneficial owners owning through those participants to give or take that action or would otherwise act upon the instructions of beneficial owners owning through them.</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Clearance and Settlement Procedures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Transfers between participants in DTC will be effected in the ordinary way in accordance with DTC’s rules and will be settled in same-day funds. Secondary market trading between Clearstream Luxembourg Participants and/or Euroclear Participants will be effected in the ordinary way, in accordance with the applicable rules and operating procedures of Clearstream Luxembourg and Euroclear, and will be settled using the procedures applicable to conventional eurobonds in immediately available funds.</w:t>
      </w:r>
    </w:p>
    <w:p>
      <w:pPr>
        <w:spacing w:after="0" w:line="18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Cross-market transfers between persons holding directly or indirectly through participants in DTC, on the one hand, and directly or indirectly through Clearstream Luxembourg Participants or Euroclear Participants, on the other, will be effected in DTC in accordance with DTC’s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Exchange Notes in DTC, and making or receiving payment in accordance with normal procedures for same-day funds settlement applicable to DTC. Clearstream Luxembourg Participants and Euroclear Participants may not deliver instructions directly to their respective U.S. Depositaries.</w:t>
      </w:r>
    </w:p>
    <w:p>
      <w:pPr>
        <w:spacing w:after="0" w:line="166"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Because of time-zone differences, credits of book-entry notes received in Clearstream Luxembourg or Euroclear as a result of a transaction with a DTC participant will be made during subsequent securities settlement processing and dated the business day following DTC settlement date. Such credits or any transactions in such Exchange Notes settled during such processing will be reported to the relevant Euroclear or Clearstream Luxembourg Participants on such business day. Cash received in Clearstream Luxembourg or Euroclear as a result of sales of Exchange Notes by or through a Clearstream Luxembourg Participant or a Euroclear Participant to a DTC participant will be received on DTC settlement date but will be available in the relevant Clearstream Luxembourg or Euroclear cash account only as of the business day following settlement in DTC.</w:t>
      </w:r>
    </w:p>
    <w:p>
      <w:pPr>
        <w:spacing w:after="0" w:line="16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Although DTC, Clearstream Luxembourg and Euroclear have agreed to the foregoing procedures in order to facilitate transfers of Exchange Notes among participants of DTC, Clearstream Luxembourg and Euroclear, they are under no obligation to perform or continue to perform such procedures and such procedures may be discontinued at any time.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22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following discussion is a summary of certain material U.S. federal income tax consequences of the Exchange Offer to holders of Original Notes, but is not a complete analysis of all potential tax effects. The summary below is based upon the Internal Revenue Code of 1986, as amended (the “Code”), regulations of the Treasury Department, administrative rulings and pronouncements of the Internal Revenue Service and judicial decisions, all of which are subject to change, possibly with retroactive effect. This summary does not address all of the U.S. federal income tax consequences that may be applicable to particular holders, including dealers in securities, financial institutions, insurance companies and tax-exempt organizations. In addition, this summary does not consider the effect of any foreign, state, local, gift, estate or other tax laws that may be applicable to a particular holder. This summary applies only to a holder that holds such Original Notes as a capital asset within the meaning of Section 1221 of the Code.</w:t>
      </w:r>
    </w:p>
    <w:p>
      <w:pPr>
        <w:spacing w:after="0" w:line="16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An exchange of Original Notes for Exchange Notes pursuant to the Exchange Offer will not be treated as a taxable exchange or other taxable event for U.S. federal income tax purposes. Accordingly, there will be no U.S. Federal income tax consequences to holders who exchange their Original Notes for Exchange Notes in connection with the Exchange Offer and any such holder will have the same adjusted tax basis and holding period in the Exchange Notes as it had in the Original Notes immediately before the exchange.</w:t>
      </w:r>
    </w:p>
    <w:p>
      <w:pPr>
        <w:spacing w:after="0" w:line="18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foregoing discussion of certain U.S. federal income tax considerations does not consider the facts and circumstances of any particular holder’s situation or status. Accordingly, each holder of Original Notes considering the Exchange Offer should consult its own tax advisor regarding the tax consequences of the Exchange Offer to it, including those under state, foreign and other tax laws.</w:t>
      </w: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Each broker-dealer that receives Exchange Notes for its own account pursuant to the Exchange Offer must acknowledge that it will deliver a prospectus in connection with any resale of the Exchange Notes. This prospectus, as it may be amended or supplemented from time to time, may be used by a broker-dealer in connection with resales of Exchange Notes received in exchange for Original Notes where such Original Notes were acquired as a result of market-making activities or other trading activities. The Company has agreed that, for a period of 180 days after the Expiration Date, it will make this prospectus, as amended or supplemented, available to any broker-dealer for use in connection with any such resale. In addition, during this period, all dealers effecting transactions in the Exchange Notes may be required to deliver a prospectus.</w:t>
      </w:r>
    </w:p>
    <w:p>
      <w:pPr>
        <w:spacing w:after="0" w:line="178"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The Company will not receive any proceeds from any sale of Exchange Notes by broker-dealers. Exchange Notes received by broker-dealers for their own account pursuant to the Exchange Offer may be sold from time to time in one or more transactions in the over-the-counter market, in negotiated transactions, through the writing of options on the Exchange Notes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or the purchasers of any such Exchange Notes. Any broker-dealer that resells Exchange Notes that were received by it for its own account pursuant to the Exchange Offer and any broker or dealer that participates in a distribution of such Exchange Notes may be deemed to be an “underwriter” within the meaning of the Securities Act and any profit on any such resale of Exchange Notes and any commission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For a period of 180 days after the Expiration Date the Company will promptly send additional copies of this prospectus and any amendment or supplement to this prospectus to any broker-dealer that requests such documents in the letter of transmittal. The Company has agreed to pay all expenses incident to the Exchange Offer (including the expenses of one counsel for the holders of the Notes) other than commissions or concessions of any brokers or dealers and will indemnify the holders of the Notes (including any broker-dealers) against certain liabilities, including liabilities under the Securities Act.</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validity of the Exchange Notes will be passed upon for us by John A. Menicucci, Jr., Esquire, Assistant Secretary of the Company and Senior Counsel of Union Pacific Railroad Company, or another senior corporate counsel designated by us and certain other matters in connection with the Exchange Notes will be passed upon for us by Chapman and Cutler LLP, Chicago, Illinois.</w:t>
      </w:r>
    </w:p>
    <w:p>
      <w:pPr>
        <w:spacing w:after="0" w:line="39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340" w:firstLine="441"/>
        <w:spacing w:after="0" w:line="302" w:lineRule="auto"/>
        <w:rPr>
          <w:sz w:val="20"/>
          <w:szCs w:val="20"/>
          <w:color w:val="auto"/>
        </w:rPr>
      </w:pPr>
      <w:r>
        <w:rPr>
          <w:rFonts w:ascii="Arial" w:cs="Arial" w:eastAsia="Arial" w:hAnsi="Arial"/>
          <w:sz w:val="16"/>
          <w:szCs w:val="16"/>
          <w:color w:val="auto"/>
        </w:rPr>
        <w:t>The financial statements incorporated in this prospectus by reference from the Company’s Annual Report on Form 10-K for the year ended December 31, 2019, and the effectiveness of Union Pacific Corporation’s internal control over financial reporting have been audited by Deloitte &amp; Touche LLP, an independent registered public accounting firm, as stated in their reports, which are incorporated herein by reference. Such financial statements have been so incorporated in reliance upon the report of such firm given upon their authority as experts in accounting and auditing.</w:t>
      </w:r>
    </w:p>
    <w:p>
      <w:pPr>
        <w:spacing w:after="0" w:line="8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160"/>
          </w:cols>
          <w:pgMar w:left="240" w:top="459"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282575</wp:posOffset>
            </wp:positionV>
            <wp:extent cx="6997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380"/>
        <w:spacing w:after="0"/>
        <w:rPr>
          <w:sz w:val="20"/>
          <w:szCs w:val="20"/>
          <w:color w:val="auto"/>
        </w:rPr>
      </w:pPr>
      <w:r>
        <w:rPr>
          <w:rFonts w:ascii="Arial" w:cs="Arial" w:eastAsia="Arial" w:hAnsi="Arial"/>
          <w:sz w:val="43"/>
          <w:szCs w:val="43"/>
          <w:b w:val="1"/>
          <w:bCs w:val="1"/>
          <w:color w:val="auto"/>
        </w:rPr>
        <w:t>UNION PACIFIC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200"/>
        <w:spacing w:after="0"/>
        <w:rPr>
          <w:sz w:val="20"/>
          <w:szCs w:val="20"/>
          <w:color w:val="auto"/>
        </w:rPr>
      </w:pPr>
      <w:r>
        <w:rPr>
          <w:rFonts w:ascii="Arial" w:cs="Arial" w:eastAsia="Arial" w:hAnsi="Arial"/>
          <w:sz w:val="23"/>
          <w:szCs w:val="23"/>
          <w:b w:val="1"/>
          <w:bCs w:val="1"/>
          <w:color w:val="auto"/>
        </w:rPr>
        <w:t>Offer to Exchange up to $1,841,950,000 Principal Amount of 3.839%</w:t>
      </w:r>
    </w:p>
    <w:p>
      <w:pPr>
        <w:spacing w:after="0" w:line="61"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Notes due 2060</w:t>
      </w:r>
    </w:p>
    <w:p>
      <w:pPr>
        <w:spacing w:after="0" w:line="10"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for a Like Principal Amount of 3.839% Notes due 2060</w:t>
      </w:r>
    </w:p>
    <w:p>
      <w:pPr>
        <w:spacing w:after="0" w:line="10"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which have been registered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3133090</wp:posOffset>
            </wp:positionV>
            <wp:extent cx="14662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1186180</wp:posOffset>
            </wp:positionV>
            <wp:extent cx="1929765" cy="4718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192976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PROSPECTUS</w:t>
      </w:r>
    </w:p>
    <w:p>
      <w:pPr>
        <w:spacing w:after="0" w:line="215"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1929765</wp:posOffset>
            </wp:positionV>
            <wp:extent cx="6997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1990090</wp:posOffset>
            </wp:positionV>
            <wp:extent cx="699770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3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i w:val="1"/>
          <w:iCs w:val="1"/>
          <w:color w:val="auto"/>
        </w:rPr>
        <w:t>Item 20.</w:t>
      </w:r>
      <w:r>
        <w:rPr>
          <w:sz w:val="20"/>
          <w:szCs w:val="20"/>
          <w:color w:val="auto"/>
        </w:rPr>
        <w:tab/>
      </w:r>
      <w:r>
        <w:rPr>
          <w:rFonts w:ascii="Arial" w:cs="Arial" w:eastAsia="Arial" w:hAnsi="Arial"/>
          <w:sz w:val="16"/>
          <w:szCs w:val="16"/>
          <w:b w:val="1"/>
          <w:bCs w:val="1"/>
          <w:i w:val="1"/>
          <w:iCs w:val="1"/>
          <w:color w:val="auto"/>
        </w:rPr>
        <w:t>Indemnification of Directors and Officers.</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 xml:space="preserve">Section 16-10a-901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of the Utah Revised Business Corporation Act grants to a corporation the power to indemnify a person made a party to a lawsuit or other proceeding because such person is or was a director or officer. A corporation is further empowered to purchase insurance on behalf of any person who is or was a director or officer against any liability asserted against him or her and incurred by him or her in such capacity or arising out of his or her status as such capacity. The Company’s by-laws provide for mandatory indemnification of its directors, officers and employees in certain circumstances. The Company maintains insurance on behalf of directors and officers against liability asserted against them arising out of their status as such.</w:t>
      </w:r>
    </w:p>
    <w:p>
      <w:pPr>
        <w:spacing w:after="0" w:line="193"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The Company’s restated articles of incorporation, incorporated herein as Exhibit 3.1 to this registration statement, eliminate in certain circumstances the personal liability of directors of the Company for monetary damages for a breach of their fiduciary duty as directors. This provision does not eliminate the liability of a director for (i) the amount of a financial benefit received by a director to which he is not entitled, (ii) an intentional infliction of harm on the corporation or the shareholders, (iii) a violation of Section 16-10a-842 of the Utah Revised Business Corporation Act (relating to the liability of directors for unlawful distributions) or (iv) an intentional violation of criminal law.</w:t>
      </w:r>
    </w:p>
    <w:p>
      <w:pPr>
        <w:spacing w:after="0" w:line="321"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i w:val="1"/>
          <w:iCs w:val="1"/>
          <w:color w:val="auto"/>
        </w:rPr>
        <w:t>Item 21.</w:t>
      </w:r>
      <w:r>
        <w:rPr>
          <w:sz w:val="20"/>
          <w:szCs w:val="20"/>
          <w:color w:val="auto"/>
        </w:rPr>
        <w:tab/>
      </w:r>
      <w:r>
        <w:rPr>
          <w:rFonts w:ascii="Arial" w:cs="Arial" w:eastAsia="Arial" w:hAnsi="Arial"/>
          <w:sz w:val="16"/>
          <w:szCs w:val="16"/>
          <w:b w:val="1"/>
          <w:bCs w:val="1"/>
          <w:i w:val="1"/>
          <w:iCs w:val="1"/>
          <w:color w:val="auto"/>
        </w:rPr>
        <w:t>Exhibits.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attached Exhibit Index is incorporated by reference.</w:t>
      </w:r>
    </w:p>
    <w:p>
      <w:pPr>
        <w:spacing w:after="0" w:line="374"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i w:val="1"/>
          <w:iCs w:val="1"/>
          <w:color w:val="auto"/>
        </w:rPr>
        <w:t>Item 22.</w:t>
      </w:r>
      <w:r>
        <w:rPr>
          <w:sz w:val="20"/>
          <w:szCs w:val="20"/>
          <w:color w:val="auto"/>
        </w:rPr>
        <w:tab/>
      </w:r>
      <w:r>
        <w:rPr>
          <w:rFonts w:ascii="Arial" w:cs="Arial" w:eastAsia="Arial" w:hAnsi="Arial"/>
          <w:sz w:val="15"/>
          <w:szCs w:val="15"/>
          <w:b w:val="1"/>
          <w:bCs w:val="1"/>
          <w:i w:val="1"/>
          <w:iCs w:val="1"/>
          <w:color w:val="auto"/>
        </w:rPr>
        <w:t>Undertakings.</w:t>
      </w:r>
    </w:p>
    <w:p>
      <w:pPr>
        <w:spacing w:after="0" w:line="117" w:lineRule="exact"/>
        <w:rPr>
          <w:sz w:val="20"/>
          <w:szCs w:val="20"/>
          <w:color w:val="auto"/>
        </w:rPr>
      </w:pPr>
    </w:p>
    <w:p>
      <w:pPr>
        <w:ind w:left="880" w:hanging="236"/>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320" w:hanging="252"/>
        <w:spacing w:after="0"/>
        <w:tabs>
          <w:tab w:leader="none" w:pos="13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820" w:hanging="223"/>
        <w:spacing w:after="0"/>
        <w:tabs>
          <w:tab w:leader="none" w:pos="1820" w:val="left"/>
        </w:tabs>
        <w:numPr>
          <w:ilvl w:val="2"/>
          <w:numId w:val="2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1200" w:right="40" w:firstLine="397"/>
        <w:spacing w:after="0" w:line="272" w:lineRule="auto"/>
        <w:tabs>
          <w:tab w:leader="none" w:pos="1866" w:val="left"/>
        </w:tabs>
        <w:numPr>
          <w:ilvl w:val="2"/>
          <w:numId w:val="27"/>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69" w:lineRule="exact"/>
        <w:rPr>
          <w:rFonts w:ascii="Arial" w:cs="Arial" w:eastAsia="Arial" w:hAnsi="Arial"/>
          <w:sz w:val="17"/>
          <w:szCs w:val="17"/>
          <w:color w:val="auto"/>
        </w:rPr>
      </w:pPr>
    </w:p>
    <w:p>
      <w:pPr>
        <w:ind w:left="1200" w:right="60" w:firstLine="397"/>
        <w:spacing w:after="0" w:line="277" w:lineRule="auto"/>
        <w:tabs>
          <w:tab w:leader="none" w:pos="1916" w:val="left"/>
        </w:tabs>
        <w:numPr>
          <w:ilvl w:val="2"/>
          <w:numId w:val="2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rFonts w:ascii="Arial" w:cs="Arial" w:eastAsia="Arial" w:hAnsi="Arial"/>
          <w:sz w:val="18"/>
          <w:szCs w:val="18"/>
          <w:color w:val="auto"/>
        </w:rPr>
      </w:pPr>
    </w:p>
    <w:p>
      <w:pPr>
        <w:jc w:val="both"/>
        <w:ind w:left="640" w:firstLine="428"/>
        <w:spacing w:after="0" w:line="264" w:lineRule="auto"/>
        <w:tabs>
          <w:tab w:leader="none" w:pos="1318"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3" w:lineRule="exact"/>
        <w:rPr>
          <w:rFonts w:ascii="Arial" w:cs="Arial" w:eastAsia="Arial" w:hAnsi="Arial"/>
          <w:sz w:val="18"/>
          <w:szCs w:val="18"/>
          <w:color w:val="auto"/>
        </w:rPr>
      </w:pPr>
    </w:p>
    <w:p>
      <w:pPr>
        <w:ind w:left="640" w:right="200" w:firstLine="428"/>
        <w:spacing w:after="0" w:line="277" w:lineRule="auto"/>
        <w:tabs>
          <w:tab w:leader="none" w:pos="1318"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20" w:hanging="252"/>
        <w:spacing w:after="0"/>
        <w:tabs>
          <w:tab w:leader="none" w:pos="1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for purposes of determining liability under the Securities Act of 1933 to any purchaser:</w:t>
      </w:r>
    </w:p>
    <w:p>
      <w:pPr>
        <w:spacing w:after="0" w:line="117" w:lineRule="exact"/>
        <w:rPr>
          <w:rFonts w:ascii="Arial" w:cs="Arial" w:eastAsia="Arial" w:hAnsi="Arial"/>
          <w:sz w:val="18"/>
          <w:szCs w:val="18"/>
          <w:color w:val="auto"/>
        </w:rPr>
      </w:pPr>
    </w:p>
    <w:p>
      <w:pPr>
        <w:ind w:left="1200" w:right="120" w:firstLine="397"/>
        <w:spacing w:after="0" w:line="291" w:lineRule="auto"/>
        <w:tabs>
          <w:tab w:leader="none" w:pos="1816" w:val="left"/>
        </w:tabs>
        <w:numPr>
          <w:ilvl w:val="1"/>
          <w:numId w:val="28"/>
        </w:numPr>
        <w:rPr>
          <w:rFonts w:ascii="Arial" w:cs="Arial" w:eastAsia="Arial" w:hAnsi="Arial"/>
          <w:sz w:val="16"/>
          <w:szCs w:val="16"/>
          <w:color w:val="auto"/>
        </w:rPr>
      </w:pPr>
      <w:r>
        <w:rPr>
          <w:rFonts w:ascii="Arial" w:cs="Arial" w:eastAsia="Arial" w:hAnsi="Arial"/>
          <w:sz w:val="16"/>
          <w:szCs w:val="16"/>
          <w:color w:val="auto"/>
        </w:rPr>
        <w:t>each prospectus filed pursuant to Rule 424(b) as part of the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59" w:lineRule="exact"/>
        <w:rPr>
          <w:rFonts w:ascii="Arial" w:cs="Arial" w:eastAsia="Arial" w:hAnsi="Arial"/>
          <w:sz w:val="16"/>
          <w:szCs w:val="16"/>
          <w:color w:val="auto"/>
        </w:rPr>
      </w:pPr>
    </w:p>
    <w:p>
      <w:pPr>
        <w:ind w:left="640" w:right="80" w:firstLine="428"/>
        <w:spacing w:after="0" w:line="277" w:lineRule="auto"/>
        <w:tabs>
          <w:tab w:leader="none" w:pos="131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securities:</w:t>
      </w:r>
    </w:p>
    <w:p>
      <w:pPr>
        <w:spacing w:after="0" w:line="170" w:lineRule="exact"/>
        <w:rPr>
          <w:sz w:val="20"/>
          <w:szCs w:val="20"/>
          <w:color w:val="auto"/>
        </w:rPr>
      </w:pPr>
    </w:p>
    <w:p>
      <w:pPr>
        <w:ind w:left="640" w:right="160" w:firstLine="423"/>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9" w:lineRule="exact"/>
        <w:rPr>
          <w:sz w:val="20"/>
          <w:szCs w:val="20"/>
          <w:color w:val="auto"/>
        </w:rPr>
      </w:pPr>
    </w:p>
    <w:p>
      <w:pPr>
        <w:ind w:left="1280" w:hanging="212"/>
        <w:spacing w:after="0"/>
        <w:tabs>
          <w:tab w:leader="none" w:pos="12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40" w:lineRule="exact"/>
        <w:rPr>
          <w:rFonts w:ascii="Arial" w:cs="Arial" w:eastAsia="Arial" w:hAnsi="Arial"/>
          <w:sz w:val="16"/>
          <w:szCs w:val="16"/>
          <w:color w:val="auto"/>
        </w:rPr>
      </w:pPr>
    </w:p>
    <w:p>
      <w:pPr>
        <w:ind w:left="640" w:right="220" w:firstLine="428"/>
        <w:spacing w:after="0" w:line="277" w:lineRule="auto"/>
        <w:tabs>
          <w:tab w:leader="none" w:pos="132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640" w:right="20" w:firstLine="428"/>
        <w:spacing w:after="0" w:line="277" w:lineRule="auto"/>
        <w:tabs>
          <w:tab w:leader="none" w:pos="1378"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380" w:hanging="312"/>
        <w:spacing w:after="0"/>
        <w:tabs>
          <w:tab w:leader="none" w:pos="13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200" w:right="20" w:firstLine="444"/>
        <w:spacing w:after="0" w:line="257" w:lineRule="auto"/>
        <w:tabs>
          <w:tab w:leader="none" w:pos="89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the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shall be deemed to be a new registration statement relating to the securities offering therein, and the offering of such securities at that time shall be deemed to be the initial bona fide offering thereof.</w:t>
      </w:r>
    </w:p>
    <w:p>
      <w:pPr>
        <w:spacing w:after="0" w:line="188" w:lineRule="exact"/>
        <w:rPr>
          <w:rFonts w:ascii="Arial" w:cs="Arial" w:eastAsia="Arial" w:hAnsi="Arial"/>
          <w:sz w:val="18"/>
          <w:szCs w:val="18"/>
          <w:color w:val="auto"/>
        </w:rPr>
      </w:pPr>
    </w:p>
    <w:p>
      <w:pPr>
        <w:ind w:left="200" w:firstLine="444"/>
        <w:spacing w:after="0" w:line="271" w:lineRule="auto"/>
        <w:tabs>
          <w:tab w:leader="none" w:pos="885"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described in Item 20,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4"/>
        <w:spacing w:after="0" w:line="259" w:lineRule="auto"/>
        <w:tabs>
          <w:tab w:leader="none" w:pos="89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86" w:lineRule="exact"/>
        <w:rPr>
          <w:rFonts w:ascii="Arial" w:cs="Arial" w:eastAsia="Arial" w:hAnsi="Arial"/>
          <w:sz w:val="18"/>
          <w:szCs w:val="18"/>
          <w:color w:val="auto"/>
        </w:rPr>
      </w:pPr>
    </w:p>
    <w:p>
      <w:pPr>
        <w:ind w:left="200" w:firstLine="444"/>
        <w:spacing w:after="0" w:line="342" w:lineRule="auto"/>
        <w:tabs>
          <w:tab w:leader="none" w:pos="88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240" w:top="459" w:right="5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80" w:type="dxa"/>
            <w:vAlign w:val="bottom"/>
            <w:gridSpan w:val="6"/>
          </w:tcPr>
          <w:p>
            <w:pPr>
              <w:ind w:left="42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NDEX</w:t>
            </w:r>
          </w:p>
        </w:tc>
        <w:tc>
          <w:tcPr>
            <w:tcW w:w="0" w:type="dxa"/>
            <w:vAlign w:val="bottom"/>
          </w:tcPr>
          <w:p>
            <w:pPr>
              <w:spacing w:after="0"/>
              <w:rPr>
                <w:sz w:val="1"/>
                <w:szCs w:val="1"/>
                <w:color w:val="auto"/>
              </w:rPr>
            </w:pPr>
          </w:p>
        </w:tc>
      </w:tr>
      <w:tr>
        <w:trPr>
          <w:trHeight w:val="432"/>
        </w:trPr>
        <w:tc>
          <w:tcPr>
            <w:tcW w:w="10980" w:type="dxa"/>
            <w:vAlign w:val="bottom"/>
            <w:gridSpan w:val="12"/>
          </w:tcPr>
          <w:p>
            <w:pPr>
              <w:ind w:left="440"/>
              <w:spacing w:after="0"/>
              <w:rPr>
                <w:sz w:val="20"/>
                <w:szCs w:val="20"/>
                <w:color w:val="auto"/>
              </w:rPr>
            </w:pPr>
            <w:r>
              <w:rPr>
                <w:rFonts w:ascii="Arial" w:cs="Arial" w:eastAsia="Arial" w:hAnsi="Arial"/>
                <w:sz w:val="18"/>
                <w:szCs w:val="18"/>
                <w:color w:val="auto"/>
              </w:rPr>
              <w:t>The following exhibits are filed as part of this Registration Statement and incorporated by reference herein.</w:t>
            </w:r>
          </w:p>
        </w:tc>
        <w:tc>
          <w:tcPr>
            <w:tcW w:w="0" w:type="dxa"/>
            <w:vAlign w:val="bottom"/>
          </w:tcPr>
          <w:p>
            <w:pPr>
              <w:spacing w:after="0"/>
              <w:rPr>
                <w:sz w:val="1"/>
                <w:szCs w:val="1"/>
                <w:color w:val="auto"/>
              </w:rPr>
            </w:pPr>
          </w:p>
        </w:tc>
      </w:tr>
      <w:tr>
        <w:trPr>
          <w:trHeight w:val="369"/>
        </w:trPr>
        <w:tc>
          <w:tcPr>
            <w:tcW w:w="720" w:type="dxa"/>
            <w:vAlign w:val="bottom"/>
          </w:tcPr>
          <w:p>
            <w:pPr>
              <w:jc w:val="right"/>
              <w:ind w:right="153"/>
              <w:spacing w:after="0"/>
              <w:rPr>
                <w:sz w:val="20"/>
                <w:szCs w:val="20"/>
                <w:color w:val="auto"/>
              </w:rPr>
            </w:pPr>
            <w:r>
              <w:rPr>
                <w:rFonts w:ascii="Arial" w:cs="Arial" w:eastAsia="Arial" w:hAnsi="Arial"/>
                <w:sz w:val="14"/>
                <w:szCs w:val="14"/>
                <w:b w:val="1"/>
                <w:bCs w:val="1"/>
                <w:color w:val="auto"/>
                <w:w w:val="98"/>
              </w:rPr>
              <w:t>Exhibit</w:t>
            </w: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80" w:type="dxa"/>
            <w:vAlign w:val="bottom"/>
            <w:gridSpan w:val="6"/>
            <w:vMerge w:val="restart"/>
          </w:tcPr>
          <w:p>
            <w:pPr>
              <w:ind w:left="10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6"/>
        </w:trPr>
        <w:tc>
          <w:tcPr>
            <w:tcW w:w="720" w:type="dxa"/>
            <w:vAlign w:val="bottom"/>
          </w:tcPr>
          <w:p>
            <w:pPr>
              <w:jc w:val="right"/>
              <w:ind w:right="113"/>
              <w:spacing w:after="0"/>
              <w:rPr>
                <w:sz w:val="20"/>
                <w:szCs w:val="20"/>
                <w:color w:val="auto"/>
              </w:rPr>
            </w:pPr>
            <w:r>
              <w:rPr>
                <w:rFonts w:ascii="Arial" w:cs="Arial" w:eastAsia="Arial" w:hAnsi="Arial"/>
                <w:sz w:val="14"/>
                <w:szCs w:val="14"/>
                <w:b w:val="1"/>
                <w:bCs w:val="1"/>
                <w:color w:val="auto"/>
                <w:w w:val="94"/>
              </w:rPr>
              <w:t>Number</w:t>
            </w:r>
          </w:p>
        </w:tc>
        <w:tc>
          <w:tcPr>
            <w:tcW w:w="7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8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3.1</w:t>
            </w:r>
          </w:p>
        </w:tc>
        <w:tc>
          <w:tcPr>
            <w:tcW w:w="760" w:type="dxa"/>
            <w:vAlign w:val="bottom"/>
          </w:tcPr>
          <w:p>
            <w:pPr>
              <w:ind w:left="220"/>
              <w:spacing w:after="0"/>
              <w:rPr>
                <w:sz w:val="20"/>
                <w:szCs w:val="20"/>
                <w:color w:val="auto"/>
              </w:rPr>
            </w:pPr>
            <w:r>
              <w:rPr>
                <w:rFonts w:ascii="Arial" w:cs="Arial" w:eastAsia="Arial" w:hAnsi="Arial"/>
                <w:sz w:val="18"/>
                <w:szCs w:val="18"/>
                <w:color w:val="auto"/>
              </w:rPr>
              <w:t>—</w:t>
            </w:r>
          </w:p>
        </w:tc>
        <w:tc>
          <w:tcPr>
            <w:tcW w:w="9220" w:type="dxa"/>
            <w:vAlign w:val="bottom"/>
            <w:tcBorders>
              <w:bottom w:val="single" w:sz="8" w:color="0000EE"/>
            </w:tcBorders>
            <w:gridSpan w:val="6"/>
          </w:tcPr>
          <w:p>
            <w:pPr>
              <w:spacing w:after="0"/>
              <w:rPr>
                <w:rFonts w:ascii="Arial" w:cs="Arial" w:eastAsia="Arial" w:hAnsi="Arial"/>
                <w:sz w:val="18"/>
                <w:szCs w:val="18"/>
                <w:color w:val="0000EE"/>
                <w:w w:val="90"/>
              </w:rPr>
            </w:pPr>
            <w:hyperlink r:id="rId80">
              <w:r>
                <w:rPr>
                  <w:rFonts w:ascii="Arial" w:cs="Arial" w:eastAsia="Arial" w:hAnsi="Arial"/>
                  <w:sz w:val="18"/>
                  <w:szCs w:val="18"/>
                  <w:color w:val="0000EE"/>
                  <w:w w:val="90"/>
                </w:rPr>
                <w:t>Restated Articles of Incorporation of Union Pacific Corporation, as amended and restated through June 27, 2011, and as further</w:t>
              </w:r>
            </w:hyperlink>
          </w:p>
        </w:tc>
        <w:tc>
          <w:tcPr>
            <w:tcW w:w="280" w:type="dxa"/>
            <w:vAlign w:val="bottom"/>
            <w:gridSpan w:val="4"/>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500" w:type="dxa"/>
            <w:vAlign w:val="bottom"/>
            <w:gridSpan w:val="10"/>
          </w:tcPr>
          <w:p>
            <w:pPr>
              <w:spacing w:after="0" w:line="196" w:lineRule="exact"/>
              <w:rPr>
                <w:rFonts w:ascii="Arial" w:cs="Arial" w:eastAsia="Arial" w:hAnsi="Arial"/>
                <w:sz w:val="18"/>
                <w:szCs w:val="18"/>
                <w:color w:val="0000EE"/>
                <w:w w:val="91"/>
              </w:rPr>
            </w:pPr>
            <w:hyperlink r:id="rId80">
              <w:r>
                <w:rPr>
                  <w:rFonts w:ascii="Arial" w:cs="Arial" w:eastAsia="Arial" w:hAnsi="Arial"/>
                  <w:sz w:val="18"/>
                  <w:szCs w:val="18"/>
                  <w:color w:val="0000EE"/>
                  <w:w w:val="91"/>
                </w:rPr>
                <w:t>amended May 15, 2014, incorporated by reference to Exhibit 3(a) to the Company’s Quarterly Report on Form 10-Q for the quarter</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ended June 30, 2014.</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3.2</w:t>
            </w:r>
          </w:p>
        </w:tc>
        <w:tc>
          <w:tcPr>
            <w:tcW w:w="760" w:type="dxa"/>
            <w:vAlign w:val="bottom"/>
          </w:tcPr>
          <w:p>
            <w:pPr>
              <w:ind w:left="220"/>
              <w:spacing w:after="0"/>
              <w:rPr>
                <w:sz w:val="20"/>
                <w:szCs w:val="20"/>
                <w:color w:val="auto"/>
              </w:rPr>
            </w:pPr>
            <w:r>
              <w:rPr>
                <w:rFonts w:ascii="Arial" w:cs="Arial" w:eastAsia="Arial" w:hAnsi="Arial"/>
                <w:sz w:val="18"/>
                <w:szCs w:val="18"/>
                <w:color w:val="auto"/>
              </w:rPr>
              <w:t>—</w:t>
            </w:r>
          </w:p>
        </w:tc>
        <w:tc>
          <w:tcPr>
            <w:tcW w:w="9420" w:type="dxa"/>
            <w:vAlign w:val="bottom"/>
            <w:tcBorders>
              <w:bottom w:val="single" w:sz="8" w:color="0000EE"/>
            </w:tcBorders>
            <w:gridSpan w:val="8"/>
          </w:tcPr>
          <w:p>
            <w:pPr>
              <w:spacing w:after="0"/>
              <w:rPr>
                <w:rFonts w:ascii="Arial" w:cs="Arial" w:eastAsia="Arial" w:hAnsi="Arial"/>
                <w:sz w:val="18"/>
                <w:szCs w:val="18"/>
                <w:color w:val="0000EE"/>
                <w:w w:val="91"/>
              </w:rPr>
            </w:pPr>
            <w:hyperlink r:id="rId81">
              <w:r>
                <w:rPr>
                  <w:rFonts w:ascii="Arial" w:cs="Arial" w:eastAsia="Arial" w:hAnsi="Arial"/>
                  <w:sz w:val="18"/>
                  <w:szCs w:val="18"/>
                  <w:color w:val="0000EE"/>
                  <w:w w:val="91"/>
                </w:rPr>
                <w:t>By-laws of Union Pacific Corporation, as amended effective as of November 19, 2015, incorporated by reference to Exhibit 3.2 to</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81">
              <w:r>
                <w:rPr>
                  <w:rFonts w:ascii="Arial" w:cs="Arial" w:eastAsia="Arial" w:hAnsi="Arial"/>
                  <w:sz w:val="18"/>
                  <w:szCs w:val="18"/>
                  <w:color w:val="0000EE"/>
                  <w:w w:val="90"/>
                </w:rPr>
                <w:t>the Company’s Current Report on Form 8-K, dated November 19, 2015.</w:t>
              </w:r>
            </w:hyperlink>
          </w:p>
        </w:tc>
        <w:tc>
          <w:tcPr>
            <w:tcW w:w="43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30"/>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4.1</w:t>
            </w:r>
          </w:p>
        </w:tc>
        <w:tc>
          <w:tcPr>
            <w:tcW w:w="760" w:type="dxa"/>
            <w:vAlign w:val="bottom"/>
          </w:tcPr>
          <w:p>
            <w:pPr>
              <w:ind w:left="220"/>
              <w:spacing w:after="0"/>
              <w:rPr>
                <w:sz w:val="20"/>
                <w:szCs w:val="20"/>
                <w:color w:val="auto"/>
              </w:rPr>
            </w:pPr>
            <w:r>
              <w:rPr>
                <w:rFonts w:ascii="Arial" w:cs="Arial" w:eastAsia="Arial" w:hAnsi="Arial"/>
                <w:sz w:val="18"/>
                <w:szCs w:val="18"/>
                <w:color w:val="auto"/>
              </w:rPr>
              <w:t>—</w:t>
            </w:r>
          </w:p>
        </w:tc>
        <w:tc>
          <w:tcPr>
            <w:tcW w:w="9500" w:type="dxa"/>
            <w:vAlign w:val="bottom"/>
            <w:gridSpan w:val="10"/>
          </w:tcPr>
          <w:p>
            <w:pPr>
              <w:spacing w:after="0"/>
              <w:rPr>
                <w:sz w:val="20"/>
                <w:szCs w:val="20"/>
                <w:color w:val="auto"/>
              </w:rPr>
            </w:pPr>
            <w:r>
              <w:rPr>
                <w:rFonts w:ascii="Arial" w:cs="Arial" w:eastAsia="Arial" w:hAnsi="Arial"/>
                <w:sz w:val="18"/>
                <w:szCs w:val="18"/>
                <w:color w:val="auto"/>
                <w:w w:val="92"/>
              </w:rPr>
              <w:t>Indenture, dated as of April 1, 1999, between Union Pacific Corporation and The Bank of New York Mellon Trust Company, N.A.,</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500" w:type="dxa"/>
            <w:vAlign w:val="bottom"/>
            <w:gridSpan w:val="10"/>
          </w:tcPr>
          <w:p>
            <w:pPr>
              <w:spacing w:after="0"/>
              <w:rPr>
                <w:sz w:val="20"/>
                <w:szCs w:val="20"/>
                <w:color w:val="auto"/>
              </w:rPr>
            </w:pPr>
            <w:r>
              <w:rPr>
                <w:rFonts w:ascii="Arial" w:cs="Arial" w:eastAsia="Arial" w:hAnsi="Arial"/>
                <w:sz w:val="18"/>
                <w:szCs w:val="18"/>
                <w:color w:val="auto"/>
                <w:w w:val="90"/>
              </w:rPr>
              <w:t>as successor to The Bank of New York Mellon (formerly known as The Bank of New York), as successor to JPMorgan Chase Bank,</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500" w:type="dxa"/>
            <w:vAlign w:val="bottom"/>
            <w:gridSpan w:val="10"/>
          </w:tcPr>
          <w:p>
            <w:pPr>
              <w:spacing w:after="0"/>
              <w:rPr>
                <w:sz w:val="20"/>
                <w:szCs w:val="20"/>
                <w:color w:val="auto"/>
              </w:rPr>
            </w:pPr>
            <w:r>
              <w:rPr>
                <w:rFonts w:ascii="Arial" w:cs="Arial" w:eastAsia="Arial" w:hAnsi="Arial"/>
                <w:sz w:val="18"/>
                <w:szCs w:val="18"/>
                <w:color w:val="auto"/>
                <w:w w:val="96"/>
              </w:rPr>
              <w:t>N.A. (formerly The Chase Manhattan Bank), Trustee, incorporated by reference to Exhibit 4.2 to the Company’s Registration</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500" w:type="dxa"/>
            <w:vAlign w:val="bottom"/>
            <w:gridSpan w:val="10"/>
          </w:tcPr>
          <w:p>
            <w:pPr>
              <w:spacing w:after="0"/>
              <w:rPr>
                <w:sz w:val="20"/>
                <w:szCs w:val="20"/>
                <w:color w:val="auto"/>
              </w:rPr>
            </w:pPr>
            <w:r>
              <w:rPr>
                <w:rFonts w:ascii="Arial" w:cs="Arial" w:eastAsia="Arial" w:hAnsi="Arial"/>
                <w:sz w:val="18"/>
                <w:szCs w:val="18"/>
                <w:color w:val="auto"/>
              </w:rPr>
              <w:t>Statement on Form S-3 (File No. 333-75989), dated April 9, 1999.</w:t>
            </w:r>
          </w:p>
        </w:tc>
        <w:tc>
          <w:tcPr>
            <w:tcW w:w="0" w:type="dxa"/>
            <w:vAlign w:val="bottom"/>
          </w:tcPr>
          <w:p>
            <w:pPr>
              <w:spacing w:after="0"/>
              <w:rPr>
                <w:sz w:val="1"/>
                <w:szCs w:val="1"/>
                <w:color w:val="auto"/>
              </w:rPr>
            </w:pPr>
          </w:p>
        </w:tc>
      </w:tr>
      <w:tr>
        <w:trPr>
          <w:trHeight w:val="310"/>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4.2</w:t>
            </w:r>
          </w:p>
        </w:tc>
        <w:tc>
          <w:tcPr>
            <w:tcW w:w="760" w:type="dxa"/>
            <w:vAlign w:val="bottom"/>
          </w:tcPr>
          <w:p>
            <w:pPr>
              <w:ind w:left="220"/>
              <w:spacing w:after="0"/>
              <w:rPr>
                <w:sz w:val="20"/>
                <w:szCs w:val="20"/>
                <w:color w:val="auto"/>
              </w:rPr>
            </w:pPr>
            <w:r>
              <w:rPr>
                <w:rFonts w:ascii="Arial" w:cs="Arial" w:eastAsia="Arial" w:hAnsi="Arial"/>
                <w:sz w:val="18"/>
                <w:szCs w:val="18"/>
                <w:color w:val="auto"/>
              </w:rPr>
              <w:t>—</w:t>
            </w:r>
          </w:p>
        </w:tc>
        <w:tc>
          <w:tcPr>
            <w:tcW w:w="9500" w:type="dxa"/>
            <w:vAlign w:val="bottom"/>
            <w:gridSpan w:val="10"/>
          </w:tcPr>
          <w:p>
            <w:pPr>
              <w:spacing w:after="0"/>
              <w:rPr>
                <w:sz w:val="20"/>
                <w:szCs w:val="20"/>
                <w:color w:val="auto"/>
              </w:rPr>
            </w:pPr>
            <w:r>
              <w:rPr>
                <w:rFonts w:ascii="Arial" w:cs="Arial" w:eastAsia="Arial" w:hAnsi="Arial"/>
                <w:sz w:val="18"/>
                <w:szCs w:val="18"/>
                <w:color w:val="auto"/>
                <w:w w:val="96"/>
              </w:rPr>
              <w:t>Form of Debt Security, incorporated by reference to Exhibit 4.3 to the Company’s Registration Statement on Form S-3 (File</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500" w:type="dxa"/>
            <w:vAlign w:val="bottom"/>
            <w:gridSpan w:val="10"/>
          </w:tcPr>
          <w:p>
            <w:pPr>
              <w:spacing w:after="0"/>
              <w:rPr>
                <w:sz w:val="20"/>
                <w:szCs w:val="20"/>
                <w:color w:val="auto"/>
              </w:rPr>
            </w:pPr>
            <w:r>
              <w:rPr>
                <w:rFonts w:ascii="Arial" w:cs="Arial" w:eastAsia="Arial" w:hAnsi="Arial"/>
                <w:sz w:val="18"/>
                <w:szCs w:val="18"/>
                <w:color w:val="auto"/>
              </w:rPr>
              <w:t>No. 33-59323), dated May 12, 1995.</w:t>
            </w:r>
          </w:p>
        </w:tc>
        <w:tc>
          <w:tcPr>
            <w:tcW w:w="0" w:type="dxa"/>
            <w:vAlign w:val="bottom"/>
          </w:tcPr>
          <w:p>
            <w:pPr>
              <w:spacing w:after="0"/>
              <w:rPr>
                <w:sz w:val="1"/>
                <w:szCs w:val="1"/>
                <w:color w:val="auto"/>
              </w:rPr>
            </w:pPr>
          </w:p>
        </w:tc>
      </w:tr>
      <w:tr>
        <w:trPr>
          <w:trHeight w:val="28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5.1</w:t>
            </w:r>
          </w:p>
        </w:tc>
        <w:tc>
          <w:tcPr>
            <w:tcW w:w="760" w:type="dxa"/>
            <w:vAlign w:val="bottom"/>
          </w:tcPr>
          <w:p>
            <w:pPr>
              <w:ind w:left="220"/>
              <w:spacing w:after="0"/>
              <w:rPr>
                <w:sz w:val="20"/>
                <w:szCs w:val="20"/>
                <w:color w:val="auto"/>
              </w:rPr>
            </w:pPr>
            <w:r>
              <w:rPr>
                <w:rFonts w:ascii="Arial" w:cs="Arial" w:eastAsia="Arial" w:hAnsi="Arial"/>
                <w:sz w:val="18"/>
                <w:szCs w:val="18"/>
                <w:color w:val="auto"/>
              </w:rPr>
              <w:t>—</w:t>
            </w:r>
          </w:p>
        </w:tc>
        <w:tc>
          <w:tcPr>
            <w:tcW w:w="93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Opinion and consent of John A. Menicucci, Jr., Esquire, Assistant Secretary of the Company and Senior Counsel of Union Pacific</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500" w:type="dxa"/>
            <w:vAlign w:val="bottom"/>
            <w:gridSpan w:val="10"/>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Railroad Company</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21.1</w:t>
            </w:r>
          </w:p>
        </w:tc>
        <w:tc>
          <w:tcPr>
            <w:tcW w:w="760" w:type="dxa"/>
            <w:vAlign w:val="bottom"/>
          </w:tcPr>
          <w:p>
            <w:pPr>
              <w:ind w:left="220"/>
              <w:spacing w:after="0"/>
              <w:rPr>
                <w:sz w:val="20"/>
                <w:szCs w:val="20"/>
                <w:color w:val="auto"/>
              </w:rPr>
            </w:pPr>
            <w:r>
              <w:rPr>
                <w:rFonts w:ascii="Arial" w:cs="Arial" w:eastAsia="Arial" w:hAnsi="Arial"/>
                <w:sz w:val="18"/>
                <w:szCs w:val="18"/>
                <w:color w:val="auto"/>
              </w:rPr>
              <w:t>—</w:t>
            </w:r>
          </w:p>
        </w:tc>
        <w:tc>
          <w:tcPr>
            <w:tcW w:w="9500" w:type="dxa"/>
            <w:vAlign w:val="bottom"/>
            <w:gridSpan w:val="1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Subsidiaries of Union Pacific Corporation</w:t>
              </w:r>
            </w:hyperlink>
          </w:p>
        </w:tc>
        <w:tc>
          <w:tcPr>
            <w:tcW w:w="0" w:type="dxa"/>
            <w:vAlign w:val="bottom"/>
          </w:tcPr>
          <w:p>
            <w:pPr>
              <w:spacing w:after="0"/>
              <w:rPr>
                <w:sz w:val="1"/>
                <w:szCs w:val="1"/>
                <w:color w:val="auto"/>
              </w:rPr>
            </w:pPr>
          </w:p>
        </w:tc>
      </w:tr>
      <w:tr>
        <w:trPr>
          <w:trHeight w:val="304"/>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23.1</w:t>
            </w:r>
          </w:p>
        </w:tc>
        <w:tc>
          <w:tcPr>
            <w:tcW w:w="760" w:type="dxa"/>
            <w:vAlign w:val="bottom"/>
          </w:tcPr>
          <w:p>
            <w:pPr>
              <w:ind w:left="220"/>
              <w:spacing w:after="0"/>
              <w:rPr>
                <w:sz w:val="20"/>
                <w:szCs w:val="20"/>
                <w:color w:val="auto"/>
              </w:rPr>
            </w:pPr>
            <w:r>
              <w:rPr>
                <w:rFonts w:ascii="Arial" w:cs="Arial" w:eastAsia="Arial" w:hAnsi="Arial"/>
                <w:sz w:val="18"/>
                <w:szCs w:val="18"/>
                <w:color w:val="auto"/>
              </w:rPr>
              <w:t>—</w:t>
            </w:r>
          </w:p>
        </w:tc>
        <w:tc>
          <w:tcPr>
            <w:tcW w:w="2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49">
              <w:r>
                <w:rPr>
                  <w:rFonts w:ascii="Arial" w:cs="Arial" w:eastAsia="Arial" w:hAnsi="Arial"/>
                  <w:sz w:val="18"/>
                  <w:szCs w:val="18"/>
                  <w:color w:val="0000EE"/>
                  <w:w w:val="91"/>
                </w:rPr>
                <w:t>Consent of Deloitte &amp; Touche LLP.</w:t>
              </w:r>
            </w:hyperlink>
          </w:p>
        </w:tc>
        <w:tc>
          <w:tcPr>
            <w:tcW w:w="460" w:type="dxa"/>
            <w:vAlign w:val="bottom"/>
            <w:tcBorders>
              <w:top w:val="single" w:sz="8" w:color="0000EE"/>
            </w:tcBorders>
          </w:tcPr>
          <w:p>
            <w:pPr>
              <w:spacing w:after="0"/>
              <w:rPr>
                <w:sz w:val="24"/>
                <w:szCs w:val="24"/>
                <w:color w:val="auto"/>
              </w:rPr>
            </w:pPr>
          </w:p>
        </w:tc>
        <w:tc>
          <w:tcPr>
            <w:tcW w:w="64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23.2</w:t>
            </w:r>
          </w:p>
        </w:tc>
        <w:tc>
          <w:tcPr>
            <w:tcW w:w="760" w:type="dxa"/>
            <w:vAlign w:val="bottom"/>
          </w:tcPr>
          <w:p>
            <w:pPr>
              <w:ind w:left="220"/>
              <w:spacing w:after="0"/>
              <w:rPr>
                <w:sz w:val="20"/>
                <w:szCs w:val="20"/>
                <w:color w:val="auto"/>
              </w:rPr>
            </w:pPr>
            <w:r>
              <w:rPr>
                <w:rFonts w:ascii="Arial" w:cs="Arial" w:eastAsia="Arial" w:hAnsi="Arial"/>
                <w:sz w:val="18"/>
                <w:szCs w:val="18"/>
                <w:color w:val="auto"/>
              </w:rPr>
              <w:t>—</w:t>
            </w:r>
          </w:p>
        </w:tc>
        <w:tc>
          <w:tcPr>
            <w:tcW w:w="9500" w:type="dxa"/>
            <w:vAlign w:val="bottom"/>
            <w:gridSpan w:val="10"/>
          </w:tcPr>
          <w:p>
            <w:pPr>
              <w:spacing w:after="0"/>
              <w:rPr>
                <w:sz w:val="20"/>
                <w:szCs w:val="20"/>
                <w:color w:val="auto"/>
              </w:rPr>
            </w:pPr>
            <w:r>
              <w:rPr>
                <w:rFonts w:ascii="Arial" w:cs="Arial" w:eastAsia="Arial" w:hAnsi="Arial"/>
                <w:sz w:val="18"/>
                <w:szCs w:val="18"/>
                <w:color w:val="auto"/>
                <w:w w:val="94"/>
              </w:rPr>
              <w:t>Consent of John A. Menicucci, Jr., Esquire, Assistant Secretary of the Company and Senior Counsel of Union Pacific Railroad</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500" w:type="dxa"/>
            <w:vAlign w:val="bottom"/>
            <w:gridSpan w:val="10"/>
          </w:tcPr>
          <w:p>
            <w:pPr>
              <w:spacing w:after="0"/>
              <w:rPr>
                <w:sz w:val="20"/>
                <w:szCs w:val="20"/>
                <w:color w:val="auto"/>
              </w:rPr>
            </w:pPr>
            <w:r>
              <w:rPr>
                <w:rFonts w:ascii="Arial" w:cs="Arial" w:eastAsia="Arial" w:hAnsi="Arial"/>
                <w:sz w:val="18"/>
                <w:szCs w:val="18"/>
                <w:color w:val="auto"/>
              </w:rPr>
              <w:t>Company (included in Exhibit 5.1).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140" w:hanging="936"/>
        <w:spacing w:after="0"/>
        <w:tabs>
          <w:tab w:leader="none" w:pos="1140" w:val="left"/>
        </w:tabs>
        <w:numPr>
          <w:ilvl w:val="0"/>
          <w:numId w:val="32"/>
        </w:numPr>
        <w:rPr>
          <w:rFonts w:ascii="Arial" w:cs="Arial" w:eastAsia="Arial" w:hAnsi="Arial"/>
          <w:sz w:val="16"/>
          <w:szCs w:val="16"/>
          <w:u w:val="single" w:color="auto"/>
          <w:color w:val="0000EE"/>
        </w:rPr>
      </w:pPr>
      <w:r>
        <w:rPr>
          <w:rFonts w:ascii="Arial" w:cs="Arial" w:eastAsia="Arial" w:hAnsi="Arial"/>
          <w:sz w:val="18"/>
          <w:szCs w:val="18"/>
          <w:color w:val="auto"/>
        </w:rPr>
        <w:t>—</w:t>
      </w:r>
      <w:hyperlink w:anchor="page50">
        <w:r>
          <w:rPr>
            <w:rFonts w:ascii="Arial" w:cs="Arial" w:eastAsia="Arial" w:hAnsi="Arial"/>
            <w:sz w:val="16"/>
            <w:szCs w:val="16"/>
            <w:u w:val="single" w:color="auto"/>
            <w:color w:val="0000EE"/>
          </w:rPr>
          <w:t>Powers of Attorney.</w:t>
        </w:r>
      </w:hyperlink>
    </w:p>
    <w:p>
      <w:pPr>
        <w:spacing w:after="0" w:line="100"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25.1</w:t>
            </w:r>
          </w:p>
        </w:tc>
        <w:tc>
          <w:tcPr>
            <w:tcW w:w="860" w:type="dxa"/>
            <w:vAlign w:val="bottom"/>
          </w:tcPr>
          <w:p>
            <w:pPr>
              <w:ind w:left="320"/>
              <w:spacing w:after="0"/>
              <w:rPr>
                <w:sz w:val="20"/>
                <w:szCs w:val="20"/>
                <w:color w:val="auto"/>
              </w:rPr>
            </w:pPr>
            <w:r>
              <w:rPr>
                <w:rFonts w:ascii="Arial" w:cs="Arial" w:eastAsia="Arial" w:hAnsi="Arial"/>
                <w:sz w:val="18"/>
                <w:szCs w:val="18"/>
                <w:color w:val="auto"/>
              </w:rPr>
              <w:t>—</w:t>
            </w:r>
          </w:p>
        </w:tc>
        <w:tc>
          <w:tcPr>
            <w:tcW w:w="93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Statement of Eligibility on Form T-1 of The Bank of New York Mellon Trust Company, N.A. to act as trustee under the Indenture.</w:t>
              </w:r>
            </w:hyperlink>
          </w:p>
        </w:tc>
      </w:tr>
      <w:tr>
        <w:trPr>
          <w:trHeight w:val="304"/>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99.1</w:t>
            </w:r>
          </w:p>
        </w:tc>
        <w:tc>
          <w:tcPr>
            <w:tcW w:w="860" w:type="dxa"/>
            <w:vAlign w:val="bottom"/>
          </w:tcPr>
          <w:p>
            <w:pPr>
              <w:ind w:left="320"/>
              <w:spacing w:after="0"/>
              <w:rPr>
                <w:sz w:val="20"/>
                <w:szCs w:val="20"/>
                <w:color w:val="auto"/>
              </w:rPr>
            </w:pPr>
            <w:r>
              <w:rPr>
                <w:rFonts w:ascii="Arial" w:cs="Arial" w:eastAsia="Arial" w:hAnsi="Arial"/>
                <w:sz w:val="18"/>
                <w:szCs w:val="18"/>
                <w:color w:val="auto"/>
              </w:rPr>
              <w:t>—</w:t>
            </w:r>
          </w:p>
        </w:tc>
        <w:tc>
          <w:tcPr>
            <w:tcW w:w="9380" w:type="dxa"/>
            <w:vAlign w:val="bottom"/>
            <w:gridSpan w:val="4"/>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Form of Letter of Transmittal.</w:t>
              </w:r>
            </w:hyperlink>
          </w:p>
        </w:tc>
      </w:tr>
      <w:tr>
        <w:trPr>
          <w:trHeight w:val="304"/>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99.2</w:t>
            </w:r>
          </w:p>
        </w:tc>
        <w:tc>
          <w:tcPr>
            <w:tcW w:w="860" w:type="dxa"/>
            <w:vAlign w:val="bottom"/>
          </w:tcPr>
          <w:p>
            <w:pPr>
              <w:ind w:left="320"/>
              <w:spacing w:after="0"/>
              <w:rPr>
                <w:sz w:val="20"/>
                <w:szCs w:val="20"/>
                <w:color w:val="auto"/>
              </w:rPr>
            </w:pPr>
            <w:r>
              <w:rPr>
                <w:rFonts w:ascii="Arial" w:cs="Arial" w:eastAsia="Arial" w:hAnsi="Arial"/>
                <w:sz w:val="18"/>
                <w:szCs w:val="18"/>
                <w:color w:val="auto"/>
              </w:rPr>
              <w:t>—</w:t>
            </w:r>
          </w:p>
        </w:tc>
        <w:tc>
          <w:tcPr>
            <w:tcW w:w="2160" w:type="dxa"/>
            <w:vAlign w:val="bottom"/>
            <w:tcBorders>
              <w:top w:val="single" w:sz="8" w:color="0000EE"/>
            </w:tcBorders>
            <w:gridSpan w:val="3"/>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Form of Letter to Clients.</w:t>
              </w:r>
            </w:hyperlink>
          </w:p>
        </w:tc>
        <w:tc>
          <w:tcPr>
            <w:tcW w:w="722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80" w:type="dxa"/>
            <w:vAlign w:val="bottom"/>
            <w:gridSpan w:val="2"/>
          </w:tcPr>
          <w:p>
            <w:pPr>
              <w:spacing w:after="0" w:line="20" w:lineRule="exact"/>
              <w:rPr>
                <w:sz w:val="1"/>
                <w:szCs w:val="1"/>
                <w:color w:val="auto"/>
              </w:rPr>
            </w:pPr>
          </w:p>
        </w:tc>
      </w:tr>
      <w:tr>
        <w:trPr>
          <w:trHeight w:val="304"/>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99.3</w:t>
            </w:r>
          </w:p>
        </w:tc>
        <w:tc>
          <w:tcPr>
            <w:tcW w:w="860" w:type="dxa"/>
            <w:vAlign w:val="bottom"/>
          </w:tcPr>
          <w:p>
            <w:pPr>
              <w:ind w:left="320"/>
              <w:spacing w:after="0"/>
              <w:rPr>
                <w:sz w:val="20"/>
                <w:szCs w:val="20"/>
                <w:color w:val="auto"/>
              </w:rPr>
            </w:pPr>
            <w:r>
              <w:rPr>
                <w:rFonts w:ascii="Arial" w:cs="Arial" w:eastAsia="Arial" w:hAnsi="Arial"/>
                <w:sz w:val="18"/>
                <w:szCs w:val="18"/>
                <w:color w:val="auto"/>
              </w:rPr>
              <w:t>—</w:t>
            </w:r>
          </w:p>
        </w:tc>
        <w:tc>
          <w:tcPr>
            <w:tcW w:w="9380" w:type="dxa"/>
            <w:vAlign w:val="bottom"/>
            <w:gridSpan w:val="4"/>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Form of Letter to Brokers.</w:t>
              </w:r>
            </w:hyperlink>
          </w:p>
        </w:tc>
      </w:tr>
      <w:tr>
        <w:trPr>
          <w:trHeight w:val="20"/>
        </w:trPr>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7480" w:type="dxa"/>
            <w:vAlign w:val="bottom"/>
            <w:gridSpan w:val="2"/>
          </w:tcPr>
          <w:p>
            <w:pPr>
              <w:spacing w:after="0" w:line="20" w:lineRule="exact"/>
              <w:rPr>
                <w:sz w:val="1"/>
                <w:szCs w:val="1"/>
                <w:color w:val="auto"/>
              </w:rPr>
            </w:pPr>
          </w:p>
        </w:tc>
      </w:tr>
      <w:tr>
        <w:trPr>
          <w:trHeight w:val="345"/>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99.4</w:t>
            </w:r>
          </w:p>
        </w:tc>
        <w:tc>
          <w:tcPr>
            <w:tcW w:w="860" w:type="dxa"/>
            <w:vAlign w:val="bottom"/>
          </w:tcPr>
          <w:p>
            <w:pPr>
              <w:ind w:left="320"/>
              <w:spacing w:after="0"/>
              <w:rPr>
                <w:sz w:val="20"/>
                <w:szCs w:val="20"/>
                <w:color w:val="auto"/>
              </w:rPr>
            </w:pPr>
            <w:r>
              <w:rPr>
                <w:rFonts w:ascii="Arial" w:cs="Arial" w:eastAsia="Arial" w:hAnsi="Arial"/>
                <w:sz w:val="18"/>
                <w:szCs w:val="18"/>
                <w:color w:val="auto"/>
              </w:rPr>
              <w:t>—</w:t>
            </w:r>
          </w:p>
        </w:tc>
        <w:tc>
          <w:tcPr>
            <w:tcW w:w="9380" w:type="dxa"/>
            <w:vAlign w:val="bottom"/>
            <w:gridSpan w:val="4"/>
          </w:tcPr>
          <w:p>
            <w:pPr>
              <w:spacing w:after="0"/>
              <w:rPr>
                <w:sz w:val="20"/>
                <w:szCs w:val="20"/>
                <w:color w:val="auto"/>
              </w:rPr>
            </w:pPr>
            <w:r>
              <w:rPr>
                <w:rFonts w:ascii="Arial" w:cs="Arial" w:eastAsia="Arial" w:hAnsi="Arial"/>
                <w:sz w:val="18"/>
                <w:szCs w:val="18"/>
                <w:color w:val="auto"/>
                <w:w w:val="99"/>
              </w:rPr>
              <w:t>Form of Guidelines for Certificate of Taxpayer Identification Number on Substitute Form W-9 (included in Exhibit 99.1).</w:t>
            </w:r>
          </w:p>
        </w:tc>
      </w:tr>
    </w:tbl>
    <w:p>
      <w:pPr>
        <w:sectPr>
          <w:pgSz w:w="11900" w:h="16838" w:orient="portrait"/>
          <w:cols w:equalWidth="0" w:num="1">
            <w:col w:w="11180"/>
          </w:cols>
          <w:pgMar w:left="24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Pursuant to the requirements of the Securities Act of 1933, Union Pacific Corporation has duly caused this Registration Statement on Form S-4 to be signed on its behalf by the undersigned, thereunto duly authorized, in the City of Omaha, State of Nebraska, on the 3rd day of March, 2020.</w:t>
      </w:r>
    </w:p>
    <w:p>
      <w:pPr>
        <w:spacing w:after="0" w:line="15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UNION PACIFIC CORPORATION</w:t>
      </w:r>
    </w:p>
    <w:p>
      <w:pPr>
        <w:spacing w:after="0" w:line="225" w:lineRule="exact"/>
        <w:rPr>
          <w:sz w:val="20"/>
          <w:szCs w:val="20"/>
          <w:color w:val="auto"/>
        </w:rPr>
      </w:pPr>
    </w:p>
    <w:p>
      <w:pPr>
        <w:ind w:left="682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Jennifer L. Hamann</w:t>
      </w:r>
    </w:p>
    <w:p>
      <w:pPr>
        <w:spacing w:after="0" w:line="77"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Name: Jennifer L. Hamann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-130175</wp:posOffset>
            </wp:positionV>
            <wp:extent cx="24872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Title: Executive Vice President and</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the 3rd day of March, 2020.</w:t>
      </w:r>
    </w:p>
    <w:p>
      <w:pPr>
        <w:spacing w:after="0" w:line="193" w:lineRule="exact"/>
        <w:rPr>
          <w:sz w:val="20"/>
          <w:szCs w:val="20"/>
          <w:color w:val="auto"/>
        </w:rPr>
      </w:pPr>
    </w:p>
    <w:tbl>
      <w:tblPr>
        <w:tblLayout w:type="fixed"/>
        <w:tblInd w:w="220" w:type="dxa"/>
        <w:tblCellMar>
          <w:top w:w="0" w:type="dxa"/>
          <w:left w:w="0" w:type="dxa"/>
          <w:bottom w:w="0" w:type="dxa"/>
          <w:right w:w="0" w:type="dxa"/>
        </w:tblCellMar>
      </w:tblPr>
      <w:tr>
        <w:trPr>
          <w:trHeight w:val="182"/>
        </w:trPr>
        <w:tc>
          <w:tcPr>
            <w:tcW w:w="5040" w:type="dxa"/>
            <w:vAlign w:val="bottom"/>
          </w:tcPr>
          <w:p>
            <w:pPr>
              <w:ind w:left="2160"/>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IGNATURE</w:t>
            </w:r>
          </w:p>
        </w:tc>
        <w:tc>
          <w:tcPr>
            <w:tcW w:w="5900" w:type="dxa"/>
            <w:vAlign w:val="bottom"/>
          </w:tcPr>
          <w:p>
            <w:pPr>
              <w:ind w:left="2920"/>
              <w:spacing w:after="0"/>
              <w:rPr>
                <w:sz w:val="20"/>
                <w:szCs w:val="20"/>
                <w:color w:val="auto"/>
              </w:rPr>
            </w:pPr>
            <w:r>
              <w:rPr>
                <w:rFonts w:ascii="Arial" w:cs="Arial" w:eastAsia="Arial" w:hAnsi="Arial"/>
                <w:sz w:val="14"/>
                <w:szCs w:val="14"/>
                <w:color w:val="auto"/>
              </w:rPr>
              <w:t>T</w:t>
            </w:r>
            <w:r>
              <w:rPr>
                <w:rFonts w:ascii="Arial" w:cs="Arial" w:eastAsia="Arial" w:hAnsi="Arial"/>
                <w:sz w:val="11"/>
                <w:szCs w:val="11"/>
                <w:color w:val="auto"/>
              </w:rPr>
              <w:t>ITLE</w:t>
            </w:r>
          </w:p>
        </w:tc>
      </w:tr>
      <w:tr>
        <w:trPr>
          <w:trHeight w:val="417"/>
        </w:trPr>
        <w:tc>
          <w:tcPr>
            <w:tcW w:w="50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Lance M. Fritz</w:t>
            </w:r>
          </w:p>
        </w:tc>
        <w:tc>
          <w:tcPr>
            <w:tcW w:w="5900" w:type="dxa"/>
            <w:vAlign w:val="bottom"/>
          </w:tcPr>
          <w:p>
            <w:pPr>
              <w:ind w:left="220"/>
              <w:spacing w:after="0"/>
              <w:rPr>
                <w:sz w:val="20"/>
                <w:szCs w:val="20"/>
                <w:color w:val="auto"/>
              </w:rPr>
            </w:pPr>
            <w:r>
              <w:rPr>
                <w:rFonts w:ascii="Arial" w:cs="Arial" w:eastAsia="Arial" w:hAnsi="Arial"/>
                <w:sz w:val="18"/>
                <w:szCs w:val="18"/>
                <w:color w:val="auto"/>
                <w:w w:val="92"/>
              </w:rPr>
              <w:t>Chairman, President and Chief Executive Officer (Principal Executive Officer)</w:t>
            </w:r>
          </w:p>
        </w:tc>
      </w:tr>
      <w:tr>
        <w:trPr>
          <w:trHeight w:val="224"/>
        </w:trPr>
        <w:tc>
          <w:tcPr>
            <w:tcW w:w="5040" w:type="dxa"/>
            <w:vAlign w:val="bottom"/>
          </w:tcPr>
          <w:p>
            <w:pPr>
              <w:ind w:left="80"/>
              <w:spacing w:after="0"/>
              <w:rPr>
                <w:sz w:val="20"/>
                <w:szCs w:val="20"/>
                <w:color w:val="auto"/>
              </w:rPr>
            </w:pPr>
            <w:r>
              <w:rPr>
                <w:rFonts w:ascii="Arial" w:cs="Arial" w:eastAsia="Arial" w:hAnsi="Arial"/>
                <w:sz w:val="18"/>
                <w:szCs w:val="18"/>
                <w:color w:val="auto"/>
              </w:rPr>
              <w:t>Lance M. Fritz</w:t>
            </w:r>
          </w:p>
        </w:tc>
        <w:tc>
          <w:tcPr>
            <w:tcW w:w="590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Jennifer L. Hamann</w:t>
            </w:r>
          </w:p>
        </w:tc>
        <w:tc>
          <w:tcPr>
            <w:tcW w:w="5900" w:type="dxa"/>
            <w:vAlign w:val="bottom"/>
          </w:tcPr>
          <w:p>
            <w:pPr>
              <w:ind w:left="220"/>
              <w:spacing w:after="0"/>
              <w:rPr>
                <w:sz w:val="20"/>
                <w:szCs w:val="20"/>
                <w:color w:val="auto"/>
              </w:rPr>
            </w:pPr>
            <w:r>
              <w:rPr>
                <w:rFonts w:ascii="Arial" w:cs="Arial" w:eastAsia="Arial" w:hAnsi="Arial"/>
                <w:sz w:val="18"/>
                <w:szCs w:val="18"/>
                <w:color w:val="auto"/>
                <w:w w:val="98"/>
              </w:rPr>
              <w:t>Executive Vice President and Chief Financial Officer (Principal Financial</w:t>
            </w:r>
          </w:p>
        </w:tc>
      </w:tr>
      <w:tr>
        <w:trPr>
          <w:trHeight w:val="224"/>
        </w:trPr>
        <w:tc>
          <w:tcPr>
            <w:tcW w:w="5040" w:type="dxa"/>
            <w:vAlign w:val="bottom"/>
          </w:tcPr>
          <w:p>
            <w:pPr>
              <w:ind w:left="80"/>
              <w:spacing w:after="0"/>
              <w:rPr>
                <w:sz w:val="20"/>
                <w:szCs w:val="20"/>
                <w:color w:val="auto"/>
              </w:rPr>
            </w:pPr>
            <w:r>
              <w:rPr>
                <w:rFonts w:ascii="Arial" w:cs="Arial" w:eastAsia="Arial" w:hAnsi="Arial"/>
                <w:sz w:val="18"/>
                <w:szCs w:val="18"/>
                <w:color w:val="auto"/>
              </w:rPr>
              <w:t>Jennifer Hamann</w:t>
            </w:r>
          </w:p>
        </w:tc>
        <w:tc>
          <w:tcPr>
            <w:tcW w:w="5900" w:type="dxa"/>
            <w:vAlign w:val="bottom"/>
          </w:tcPr>
          <w:p>
            <w:pPr>
              <w:ind w:left="220"/>
              <w:spacing w:after="0"/>
              <w:rPr>
                <w:sz w:val="20"/>
                <w:szCs w:val="20"/>
                <w:color w:val="auto"/>
              </w:rPr>
            </w:pPr>
            <w:r>
              <w:rPr>
                <w:rFonts w:ascii="Arial" w:cs="Arial" w:eastAsia="Arial" w:hAnsi="Arial"/>
                <w:sz w:val="18"/>
                <w:szCs w:val="18"/>
                <w:color w:val="auto"/>
              </w:rPr>
              <w:t>Officer)</w:t>
            </w:r>
          </w:p>
        </w:tc>
      </w:tr>
      <w:tr>
        <w:trPr>
          <w:trHeight w:val="431"/>
        </w:trPr>
        <w:tc>
          <w:tcPr>
            <w:tcW w:w="50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Todd M. Rynaski</w:t>
            </w:r>
          </w:p>
        </w:tc>
        <w:tc>
          <w:tcPr>
            <w:tcW w:w="5900" w:type="dxa"/>
            <w:vAlign w:val="bottom"/>
          </w:tcPr>
          <w:p>
            <w:pPr>
              <w:ind w:left="220"/>
              <w:spacing w:after="0"/>
              <w:rPr>
                <w:sz w:val="20"/>
                <w:szCs w:val="20"/>
                <w:color w:val="auto"/>
              </w:rPr>
            </w:pPr>
            <w:r>
              <w:rPr>
                <w:rFonts w:ascii="Arial" w:cs="Arial" w:eastAsia="Arial" w:hAnsi="Arial"/>
                <w:sz w:val="18"/>
                <w:szCs w:val="18"/>
                <w:color w:val="auto"/>
              </w:rPr>
              <w:t>Vice President and Controller (Principal Accounting Officer)</w:t>
            </w:r>
          </w:p>
        </w:tc>
      </w:tr>
      <w:tr>
        <w:trPr>
          <w:trHeight w:val="224"/>
        </w:trPr>
        <w:tc>
          <w:tcPr>
            <w:tcW w:w="5040" w:type="dxa"/>
            <w:vAlign w:val="bottom"/>
          </w:tcPr>
          <w:p>
            <w:pPr>
              <w:ind w:left="80"/>
              <w:spacing w:after="0"/>
              <w:rPr>
                <w:sz w:val="20"/>
                <w:szCs w:val="20"/>
                <w:color w:val="auto"/>
              </w:rPr>
            </w:pPr>
            <w:r>
              <w:rPr>
                <w:rFonts w:ascii="Arial" w:cs="Arial" w:eastAsia="Arial" w:hAnsi="Arial"/>
                <w:sz w:val="18"/>
                <w:szCs w:val="18"/>
                <w:color w:val="auto"/>
              </w:rPr>
              <w:t>Todd M. Rynaski</w:t>
            </w:r>
          </w:p>
        </w:tc>
        <w:tc>
          <w:tcPr>
            <w:tcW w:w="590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ind w:left="2460"/>
              <w:spacing w:after="0"/>
              <w:rPr>
                <w:sz w:val="20"/>
                <w:szCs w:val="20"/>
                <w:color w:val="auto"/>
              </w:rPr>
            </w:pPr>
            <w:r>
              <w:rPr>
                <w:rFonts w:ascii="Arial" w:cs="Arial" w:eastAsia="Arial" w:hAnsi="Arial"/>
                <w:sz w:val="18"/>
                <w:szCs w:val="18"/>
                <w:color w:val="auto"/>
              </w:rPr>
              <w:t>*</w:t>
            </w:r>
          </w:p>
        </w:tc>
        <w:tc>
          <w:tcPr>
            <w:tcW w:w="590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040" w:type="dxa"/>
            <w:vAlign w:val="bottom"/>
          </w:tcPr>
          <w:p>
            <w:pPr>
              <w:ind w:left="60"/>
              <w:spacing w:after="0"/>
              <w:rPr>
                <w:sz w:val="20"/>
                <w:szCs w:val="20"/>
                <w:color w:val="auto"/>
              </w:rPr>
            </w:pPr>
            <w:r>
              <w:rPr>
                <w:rFonts w:ascii="Arial" w:cs="Arial" w:eastAsia="Arial" w:hAnsi="Arial"/>
                <w:sz w:val="18"/>
                <w:szCs w:val="18"/>
                <w:color w:val="auto"/>
              </w:rPr>
              <w:t>Andrew H. Card, Jr.</w:t>
            </w:r>
          </w:p>
        </w:tc>
        <w:tc>
          <w:tcPr>
            <w:tcW w:w="590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ind w:left="2460"/>
              <w:spacing w:after="0"/>
              <w:rPr>
                <w:sz w:val="20"/>
                <w:szCs w:val="20"/>
                <w:color w:val="auto"/>
              </w:rPr>
            </w:pPr>
            <w:r>
              <w:rPr>
                <w:rFonts w:ascii="Arial" w:cs="Arial" w:eastAsia="Arial" w:hAnsi="Arial"/>
                <w:sz w:val="18"/>
                <w:szCs w:val="18"/>
                <w:color w:val="auto"/>
              </w:rPr>
              <w:t>*</w:t>
            </w:r>
          </w:p>
        </w:tc>
        <w:tc>
          <w:tcPr>
            <w:tcW w:w="590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040" w:type="dxa"/>
            <w:vAlign w:val="bottom"/>
          </w:tcPr>
          <w:p>
            <w:pPr>
              <w:ind w:left="80"/>
              <w:spacing w:after="0"/>
              <w:rPr>
                <w:sz w:val="20"/>
                <w:szCs w:val="20"/>
                <w:color w:val="auto"/>
              </w:rPr>
            </w:pPr>
            <w:r>
              <w:rPr>
                <w:rFonts w:ascii="Arial" w:cs="Arial" w:eastAsia="Arial" w:hAnsi="Arial"/>
                <w:sz w:val="18"/>
                <w:szCs w:val="18"/>
                <w:color w:val="auto"/>
              </w:rPr>
              <w:t>Erroll B. Davis, Jr.</w:t>
            </w:r>
          </w:p>
        </w:tc>
        <w:tc>
          <w:tcPr>
            <w:tcW w:w="590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ind w:left="2460"/>
              <w:spacing w:after="0"/>
              <w:rPr>
                <w:sz w:val="20"/>
                <w:szCs w:val="20"/>
                <w:color w:val="auto"/>
              </w:rPr>
            </w:pPr>
            <w:r>
              <w:rPr>
                <w:rFonts w:ascii="Arial" w:cs="Arial" w:eastAsia="Arial" w:hAnsi="Arial"/>
                <w:sz w:val="18"/>
                <w:szCs w:val="18"/>
                <w:color w:val="auto"/>
              </w:rPr>
              <w:t>*</w:t>
            </w:r>
          </w:p>
        </w:tc>
        <w:tc>
          <w:tcPr>
            <w:tcW w:w="590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040" w:type="dxa"/>
            <w:vAlign w:val="bottom"/>
          </w:tcPr>
          <w:p>
            <w:pPr>
              <w:ind w:left="80"/>
              <w:spacing w:after="0"/>
              <w:rPr>
                <w:sz w:val="20"/>
                <w:szCs w:val="20"/>
                <w:color w:val="auto"/>
              </w:rPr>
            </w:pPr>
            <w:r>
              <w:rPr>
                <w:rFonts w:ascii="Arial" w:cs="Arial" w:eastAsia="Arial" w:hAnsi="Arial"/>
                <w:sz w:val="18"/>
                <w:szCs w:val="18"/>
                <w:color w:val="auto"/>
              </w:rPr>
              <w:t>William J. DeLaney</w:t>
            </w:r>
          </w:p>
        </w:tc>
        <w:tc>
          <w:tcPr>
            <w:tcW w:w="590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ind w:left="2460"/>
              <w:spacing w:after="0"/>
              <w:rPr>
                <w:sz w:val="20"/>
                <w:szCs w:val="20"/>
                <w:color w:val="auto"/>
              </w:rPr>
            </w:pPr>
            <w:r>
              <w:rPr>
                <w:rFonts w:ascii="Arial" w:cs="Arial" w:eastAsia="Arial" w:hAnsi="Arial"/>
                <w:sz w:val="18"/>
                <w:szCs w:val="18"/>
                <w:color w:val="auto"/>
              </w:rPr>
              <w:t>*</w:t>
            </w:r>
          </w:p>
        </w:tc>
        <w:tc>
          <w:tcPr>
            <w:tcW w:w="590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040" w:type="dxa"/>
            <w:vAlign w:val="bottom"/>
          </w:tcPr>
          <w:p>
            <w:pPr>
              <w:ind w:left="80"/>
              <w:spacing w:after="0"/>
              <w:rPr>
                <w:sz w:val="20"/>
                <w:szCs w:val="20"/>
                <w:color w:val="auto"/>
              </w:rPr>
            </w:pPr>
            <w:r>
              <w:rPr>
                <w:rFonts w:ascii="Arial" w:cs="Arial" w:eastAsia="Arial" w:hAnsi="Arial"/>
                <w:sz w:val="18"/>
                <w:szCs w:val="18"/>
                <w:color w:val="auto"/>
              </w:rPr>
              <w:t>David B. Dillon</w:t>
            </w:r>
          </w:p>
        </w:tc>
        <w:tc>
          <w:tcPr>
            <w:tcW w:w="590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ind w:left="2460"/>
              <w:spacing w:after="0"/>
              <w:rPr>
                <w:sz w:val="20"/>
                <w:szCs w:val="20"/>
                <w:color w:val="auto"/>
              </w:rPr>
            </w:pPr>
            <w:r>
              <w:rPr>
                <w:rFonts w:ascii="Arial" w:cs="Arial" w:eastAsia="Arial" w:hAnsi="Arial"/>
                <w:sz w:val="18"/>
                <w:szCs w:val="18"/>
                <w:color w:val="auto"/>
              </w:rPr>
              <w:t>*</w:t>
            </w:r>
          </w:p>
        </w:tc>
        <w:tc>
          <w:tcPr>
            <w:tcW w:w="590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040" w:type="dxa"/>
            <w:vAlign w:val="bottom"/>
          </w:tcPr>
          <w:p>
            <w:pPr>
              <w:ind w:left="80"/>
              <w:spacing w:after="0"/>
              <w:rPr>
                <w:sz w:val="20"/>
                <w:szCs w:val="20"/>
                <w:color w:val="auto"/>
              </w:rPr>
            </w:pPr>
            <w:r>
              <w:rPr>
                <w:rFonts w:ascii="Arial" w:cs="Arial" w:eastAsia="Arial" w:hAnsi="Arial"/>
                <w:sz w:val="18"/>
                <w:szCs w:val="18"/>
                <w:color w:val="auto"/>
              </w:rPr>
              <w:t>Deborah C. Hopkins</w:t>
            </w:r>
          </w:p>
        </w:tc>
        <w:tc>
          <w:tcPr>
            <w:tcW w:w="590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ind w:left="2460"/>
              <w:spacing w:after="0"/>
              <w:rPr>
                <w:sz w:val="20"/>
                <w:szCs w:val="20"/>
                <w:color w:val="auto"/>
              </w:rPr>
            </w:pPr>
            <w:r>
              <w:rPr>
                <w:rFonts w:ascii="Arial" w:cs="Arial" w:eastAsia="Arial" w:hAnsi="Arial"/>
                <w:sz w:val="18"/>
                <w:szCs w:val="18"/>
                <w:color w:val="auto"/>
              </w:rPr>
              <w:t>*</w:t>
            </w:r>
          </w:p>
        </w:tc>
        <w:tc>
          <w:tcPr>
            <w:tcW w:w="590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040" w:type="dxa"/>
            <w:vAlign w:val="bottom"/>
          </w:tcPr>
          <w:p>
            <w:pPr>
              <w:ind w:left="80"/>
              <w:spacing w:after="0"/>
              <w:rPr>
                <w:sz w:val="20"/>
                <w:szCs w:val="20"/>
                <w:color w:val="auto"/>
              </w:rPr>
            </w:pPr>
            <w:r>
              <w:rPr>
                <w:rFonts w:ascii="Arial" w:cs="Arial" w:eastAsia="Arial" w:hAnsi="Arial"/>
                <w:sz w:val="18"/>
                <w:szCs w:val="18"/>
                <w:color w:val="auto"/>
              </w:rPr>
              <w:t>Jane H. Lute</w:t>
            </w:r>
          </w:p>
        </w:tc>
        <w:tc>
          <w:tcPr>
            <w:tcW w:w="590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ind w:left="2460"/>
              <w:spacing w:after="0"/>
              <w:rPr>
                <w:sz w:val="20"/>
                <w:szCs w:val="20"/>
                <w:color w:val="auto"/>
              </w:rPr>
            </w:pPr>
            <w:r>
              <w:rPr>
                <w:rFonts w:ascii="Arial" w:cs="Arial" w:eastAsia="Arial" w:hAnsi="Arial"/>
                <w:sz w:val="18"/>
                <w:szCs w:val="18"/>
                <w:color w:val="auto"/>
              </w:rPr>
              <w:t>*</w:t>
            </w:r>
          </w:p>
        </w:tc>
        <w:tc>
          <w:tcPr>
            <w:tcW w:w="590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040" w:type="dxa"/>
            <w:vAlign w:val="bottom"/>
          </w:tcPr>
          <w:p>
            <w:pPr>
              <w:ind w:left="80"/>
              <w:spacing w:after="0"/>
              <w:rPr>
                <w:sz w:val="20"/>
                <w:szCs w:val="20"/>
                <w:color w:val="auto"/>
              </w:rPr>
            </w:pPr>
            <w:r>
              <w:rPr>
                <w:rFonts w:ascii="Arial" w:cs="Arial" w:eastAsia="Arial" w:hAnsi="Arial"/>
                <w:sz w:val="18"/>
                <w:szCs w:val="18"/>
                <w:color w:val="auto"/>
              </w:rPr>
              <w:t>Michael R. McCarthy</w:t>
            </w:r>
          </w:p>
        </w:tc>
        <w:tc>
          <w:tcPr>
            <w:tcW w:w="5900" w:type="dxa"/>
            <w:vAlign w:val="bottom"/>
          </w:tcPr>
          <w:p>
            <w:pPr>
              <w:spacing w:after="0"/>
              <w:rPr>
                <w:sz w:val="19"/>
                <w:szCs w:val="19"/>
                <w:color w:val="auto"/>
              </w:rPr>
            </w:pPr>
          </w:p>
        </w:tc>
      </w:tr>
    </w:tbl>
    <w:p>
      <w:pPr>
        <w:sectPr>
          <w:pgSz w:w="11900" w:h="16838" w:orient="portrait"/>
          <w:cols w:equalWidth="0" w:num="1">
            <w:col w:w="11160"/>
          </w:cols>
          <w:pgMar w:left="240" w:top="459"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20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340" w:type="dxa"/>
            <w:vAlign w:val="bottom"/>
            <w:gridSpan w:val="2"/>
          </w:tcPr>
          <w:p>
            <w:pPr>
              <w:jc w:val="center"/>
              <w:ind w:right="740"/>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IGNATURE</w:t>
            </w:r>
          </w:p>
        </w:tc>
        <w:tc>
          <w:tcPr>
            <w:tcW w:w="3260" w:type="dxa"/>
            <w:vAlign w:val="bottom"/>
          </w:tcPr>
          <w:p>
            <w:pPr>
              <w:ind w:left="2920"/>
              <w:spacing w:after="0"/>
              <w:rPr>
                <w:sz w:val="20"/>
                <w:szCs w:val="20"/>
                <w:color w:val="auto"/>
              </w:rPr>
            </w:pPr>
            <w:r>
              <w:rPr>
                <w:rFonts w:ascii="Arial" w:cs="Arial" w:eastAsia="Arial" w:hAnsi="Arial"/>
                <w:sz w:val="14"/>
                <w:szCs w:val="14"/>
                <w:color w:val="auto"/>
              </w:rPr>
              <w:t>T</w:t>
            </w:r>
            <w:r>
              <w:rPr>
                <w:rFonts w:ascii="Arial" w:cs="Arial" w:eastAsia="Arial" w:hAnsi="Arial"/>
                <w:sz w:val="11"/>
                <w:szCs w:val="11"/>
                <w:color w:val="auto"/>
              </w:rPr>
              <w:t>ITLE</w:t>
            </w: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24"/>
                <w:szCs w:val="24"/>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40" w:type="dxa"/>
            <w:vAlign w:val="bottom"/>
            <w:gridSpan w:val="3"/>
          </w:tcPr>
          <w:p>
            <w:pPr>
              <w:ind w:left="80"/>
              <w:spacing w:after="0"/>
              <w:rPr>
                <w:sz w:val="20"/>
                <w:szCs w:val="20"/>
                <w:color w:val="auto"/>
              </w:rPr>
            </w:pPr>
            <w:r>
              <w:rPr>
                <w:rFonts w:ascii="Arial" w:cs="Arial" w:eastAsia="Arial" w:hAnsi="Arial"/>
                <w:sz w:val="18"/>
                <w:szCs w:val="18"/>
                <w:color w:val="auto"/>
              </w:rPr>
              <w:t>Thomas F. McLarty III</w:t>
            </w: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24"/>
                <w:szCs w:val="24"/>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40" w:type="dxa"/>
            <w:vAlign w:val="bottom"/>
            <w:gridSpan w:val="3"/>
          </w:tcPr>
          <w:p>
            <w:pPr>
              <w:ind w:left="80"/>
              <w:spacing w:after="0"/>
              <w:rPr>
                <w:sz w:val="20"/>
                <w:szCs w:val="20"/>
                <w:color w:val="auto"/>
              </w:rPr>
            </w:pPr>
            <w:r>
              <w:rPr>
                <w:rFonts w:ascii="Arial" w:cs="Arial" w:eastAsia="Arial" w:hAnsi="Arial"/>
                <w:sz w:val="18"/>
                <w:szCs w:val="18"/>
                <w:color w:val="auto"/>
              </w:rPr>
              <w:t>Bhavesh V. Patel</w:t>
            </w: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24"/>
                <w:szCs w:val="24"/>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40" w:type="dxa"/>
            <w:vAlign w:val="bottom"/>
            <w:gridSpan w:val="3"/>
          </w:tcPr>
          <w:p>
            <w:pPr>
              <w:ind w:left="80"/>
              <w:spacing w:after="0"/>
              <w:rPr>
                <w:sz w:val="20"/>
                <w:szCs w:val="20"/>
                <w:color w:val="auto"/>
              </w:rPr>
            </w:pPr>
            <w:r>
              <w:rPr>
                <w:rFonts w:ascii="Arial" w:cs="Arial" w:eastAsia="Arial" w:hAnsi="Arial"/>
                <w:sz w:val="18"/>
                <w:szCs w:val="18"/>
                <w:color w:val="auto"/>
              </w:rPr>
              <w:t>Jose H. Villarreal</w:t>
            </w: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24"/>
                <w:szCs w:val="24"/>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Christopher J. Williams</w:t>
            </w: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*By</w:t>
            </w:r>
          </w:p>
        </w:tc>
        <w:tc>
          <w:tcPr>
            <w:tcW w:w="4340" w:type="dxa"/>
            <w:vAlign w:val="bottom"/>
            <w:gridSpan w:val="2"/>
          </w:tcPr>
          <w:p>
            <w:pPr>
              <w:ind w:left="140"/>
              <w:spacing w:after="0"/>
              <w:rPr>
                <w:sz w:val="20"/>
                <w:szCs w:val="20"/>
                <w:color w:val="auto"/>
              </w:rPr>
            </w:pPr>
            <w:r>
              <w:rPr>
                <w:rFonts w:ascii="Arial" w:cs="Arial" w:eastAsia="Arial" w:hAnsi="Arial"/>
                <w:sz w:val="18"/>
                <w:szCs w:val="18"/>
                <w:color w:val="auto"/>
              </w:rPr>
              <w:t>/s/ Rhonda S. Ferguson</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c>
          <w:tcPr>
            <w:tcW w:w="640" w:type="dxa"/>
            <w:vAlign w:val="bottom"/>
            <w:vMerge w:val="restart"/>
          </w:tcPr>
          <w:p>
            <w:pPr>
              <w:spacing w:after="0"/>
              <w:rPr>
                <w:sz w:val="4"/>
                <w:szCs w:val="4"/>
                <w:color w:val="auto"/>
              </w:rPr>
            </w:pPr>
          </w:p>
        </w:tc>
        <w:tc>
          <w:tcPr>
            <w:tcW w:w="3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700" w:type="dxa"/>
            <w:vAlign w:val="bottom"/>
          </w:tcPr>
          <w:p>
            <w:pPr>
              <w:ind w:left="140"/>
              <w:spacing w:after="0" w:line="195" w:lineRule="exact"/>
              <w:rPr>
                <w:sz w:val="20"/>
                <w:szCs w:val="20"/>
                <w:color w:val="auto"/>
              </w:rPr>
            </w:pPr>
            <w:r>
              <w:rPr>
                <w:rFonts w:ascii="Arial" w:cs="Arial" w:eastAsia="Arial" w:hAnsi="Arial"/>
                <w:sz w:val="18"/>
                <w:szCs w:val="18"/>
                <w:color w:val="auto"/>
              </w:rPr>
              <w:t>Rhonda S. Ferguson</w:t>
            </w:r>
          </w:p>
        </w:tc>
        <w:tc>
          <w:tcPr>
            <w:tcW w:w="640" w:type="dxa"/>
            <w:vAlign w:val="bottom"/>
            <w:vMerge w:val="continue"/>
          </w:tcPr>
          <w:p>
            <w:pPr>
              <w:spacing w:after="0"/>
              <w:rPr>
                <w:sz w:val="16"/>
                <w:szCs w:val="16"/>
                <w:color w:val="auto"/>
              </w:rPr>
            </w:pP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340" w:type="dxa"/>
            <w:vAlign w:val="bottom"/>
            <w:gridSpan w:val="2"/>
          </w:tcPr>
          <w:p>
            <w:pPr>
              <w:ind w:left="120"/>
              <w:spacing w:after="0"/>
              <w:rPr>
                <w:sz w:val="20"/>
                <w:szCs w:val="20"/>
                <w:color w:val="auto"/>
              </w:rPr>
            </w:pPr>
            <w:r>
              <w:rPr>
                <w:rFonts w:ascii="Arial" w:cs="Arial" w:eastAsia="Arial" w:hAnsi="Arial"/>
                <w:sz w:val="18"/>
                <w:szCs w:val="18"/>
                <w:color w:val="auto"/>
              </w:rPr>
              <w:t>As Attorney-in-Fact</w:t>
            </w: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5"/>
          <w:szCs w:val="15"/>
          <w:b w:val="1"/>
          <w:bCs w:val="1"/>
          <w:color w:val="auto"/>
        </w:rPr>
        <w:t>NION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ACIFIC</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ETTERHEAD</w:t>
      </w:r>
      <w:r>
        <w:rPr>
          <w:rFonts w:ascii="Arial" w:cs="Arial" w:eastAsia="Arial" w:hAnsi="Arial"/>
          <w:sz w:val="18"/>
          <w:szCs w:val="18"/>
          <w:b w:val="1"/>
          <w:bCs w:val="1"/>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Union Pacific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1400 Douglas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Omaha, Nebraska 68179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 xml:space="preserve">I am Assistant Secretary of Union Pacific Corporation, a Utah corporation (the </w:t>
      </w:r>
      <w:r>
        <w:rPr>
          <w:rFonts w:ascii="Arial" w:cs="Arial" w:eastAsia="Arial" w:hAnsi="Arial"/>
          <w:sz w:val="17"/>
          <w:szCs w:val="17"/>
          <w:i w:val="1"/>
          <w:iCs w:val="1"/>
          <w:color w:val="auto"/>
        </w:rPr>
        <w:t>“Company”</w:t>
      </w:r>
      <w:r>
        <w:rPr>
          <w:rFonts w:ascii="Arial" w:cs="Arial" w:eastAsia="Arial" w:hAnsi="Arial"/>
          <w:sz w:val="17"/>
          <w:szCs w:val="17"/>
          <w:color w:val="auto"/>
        </w:rPr>
        <w:t xml:space="preserve">) and Senior Counsel for the Union Pacific Railroad Company, and I am rendering this opinion in connection with the filing by the Company with the Securities and Exchange Commission (the </w:t>
      </w:r>
      <w:r>
        <w:rPr>
          <w:rFonts w:ascii="Arial" w:cs="Arial" w:eastAsia="Arial" w:hAnsi="Arial"/>
          <w:sz w:val="17"/>
          <w:szCs w:val="17"/>
          <w:i w:val="1"/>
          <w:iCs w:val="1"/>
          <w:color w:val="auto"/>
        </w:rPr>
        <w:t>“SEC”</w:t>
      </w:r>
      <w:r>
        <w:rPr>
          <w:rFonts w:ascii="Arial" w:cs="Arial" w:eastAsia="Arial" w:hAnsi="Arial"/>
          <w:sz w:val="17"/>
          <w:szCs w:val="17"/>
          <w:color w:val="auto"/>
        </w:rPr>
        <w:t xml:space="preserve">) of a registration statement on Form S-4 (as amended, the </w:t>
      </w:r>
      <w:r>
        <w:rPr>
          <w:rFonts w:ascii="Arial" w:cs="Arial" w:eastAsia="Arial" w:hAnsi="Arial"/>
          <w:sz w:val="17"/>
          <w:szCs w:val="17"/>
          <w:i w:val="1"/>
          <w:iCs w:val="1"/>
          <w:color w:val="auto"/>
        </w:rPr>
        <w:t>“Registration Statement”</w:t>
      </w:r>
      <w:r>
        <w:rPr>
          <w:rFonts w:ascii="Arial" w:cs="Arial" w:eastAsia="Arial" w:hAnsi="Arial"/>
          <w:sz w:val="17"/>
          <w:szCs w:val="17"/>
          <w:color w:val="auto"/>
        </w:rPr>
        <w:t xml:space="preserve">) under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relating to the issuance and exchange of up to $1,841,950,000 aggregate principal amount of new 3.839% Notes due 2060 (the </w:t>
      </w:r>
      <w:r>
        <w:rPr>
          <w:rFonts w:ascii="Arial" w:cs="Arial" w:eastAsia="Arial" w:hAnsi="Arial"/>
          <w:sz w:val="17"/>
          <w:szCs w:val="17"/>
          <w:i w:val="1"/>
          <w:iCs w:val="1"/>
          <w:color w:val="auto"/>
        </w:rPr>
        <w:t>“Exchange Notes”</w:t>
      </w:r>
      <w:r>
        <w:rPr>
          <w:rFonts w:ascii="Arial" w:cs="Arial" w:eastAsia="Arial" w:hAnsi="Arial"/>
          <w:sz w:val="17"/>
          <w:szCs w:val="17"/>
          <w:color w:val="auto"/>
        </w:rPr>
        <w:t xml:space="preserve">) for a like aggregate principal amount of outstanding 3.839% Notes due 2060, which have certain transfer restrictions (the </w:t>
      </w:r>
      <w:r>
        <w:rPr>
          <w:rFonts w:ascii="Arial" w:cs="Arial" w:eastAsia="Arial" w:hAnsi="Arial"/>
          <w:sz w:val="17"/>
          <w:szCs w:val="17"/>
          <w:i w:val="1"/>
          <w:iCs w:val="1"/>
          <w:color w:val="auto"/>
        </w:rPr>
        <w:t>“Original Notes”</w:t>
      </w:r>
      <w:r>
        <w:rPr>
          <w:rFonts w:ascii="Arial" w:cs="Arial" w:eastAsia="Arial" w:hAnsi="Arial"/>
          <w:sz w:val="17"/>
          <w:szCs w:val="17"/>
          <w:color w:val="auto"/>
        </w:rPr>
        <w:t xml:space="preserve">). The Exchange Notes are to be issued pursuant to an indenture (the </w:t>
      </w:r>
      <w:r>
        <w:rPr>
          <w:rFonts w:ascii="Arial" w:cs="Arial" w:eastAsia="Arial" w:hAnsi="Arial"/>
          <w:sz w:val="17"/>
          <w:szCs w:val="17"/>
          <w:i w:val="1"/>
          <w:iCs w:val="1"/>
          <w:color w:val="auto"/>
        </w:rPr>
        <w:t>“Indenture”</w:t>
      </w:r>
      <w:r>
        <w:rPr>
          <w:rFonts w:ascii="Arial" w:cs="Arial" w:eastAsia="Arial" w:hAnsi="Arial"/>
          <w:sz w:val="17"/>
          <w:szCs w:val="17"/>
          <w:color w:val="auto"/>
        </w:rPr>
        <w:t>) dated as of April 1, 1999 between the Company and The Bank of New York Mellon Trust Company, N.A., as successor to The Bank of New York Mellon (formerly known as The Bank of New York), as successor to JPMorgan Chase Bank, N.A. (formerly known as The Chase Manhattan Bank), as trustee.</w:t>
      </w:r>
    </w:p>
    <w:p>
      <w:pPr>
        <w:spacing w:after="0" w:line="179" w:lineRule="exact"/>
        <w:rPr>
          <w:sz w:val="20"/>
          <w:szCs w:val="20"/>
          <w:color w:val="auto"/>
        </w:rPr>
      </w:pPr>
    </w:p>
    <w:p>
      <w:pPr>
        <w:ind w:right="240" w:firstLine="441"/>
        <w:spacing w:after="0" w:line="276" w:lineRule="auto"/>
        <w:rPr>
          <w:sz w:val="20"/>
          <w:szCs w:val="20"/>
          <w:color w:val="auto"/>
        </w:rPr>
      </w:pPr>
      <w:r>
        <w:rPr>
          <w:rFonts w:ascii="Arial" w:cs="Arial" w:eastAsia="Arial" w:hAnsi="Arial"/>
          <w:sz w:val="17"/>
          <w:szCs w:val="17"/>
          <w:color w:val="auto"/>
        </w:rPr>
        <w:t xml:space="preserve">In connection with this opinion, I, or attorneys under my supervision, have examined originals or copies, certified or otherwise identified to my satisfaction, of such documents and proceedings as I have considered necessary for the purposes of this opinion. I, or attorneys under my supervision, have also examined and am familiar with the proceedings taken by the Company to authorize the issuance and exchange of the Exchange Notes for a like aggregate principal amount of outstanding Original Notes. In addition, I have examined a copy of the Registration Statement, including the prospectus forming a part thereof and the exhibits thereto (the </w:t>
      </w:r>
      <w:r>
        <w:rPr>
          <w:rFonts w:ascii="Arial" w:cs="Arial" w:eastAsia="Arial" w:hAnsi="Arial"/>
          <w:sz w:val="17"/>
          <w:szCs w:val="17"/>
          <w:i w:val="1"/>
          <w:iCs w:val="1"/>
          <w:color w:val="auto"/>
        </w:rPr>
        <w:t>“Prospectus”</w:t>
      </w:r>
      <w:r>
        <w:rPr>
          <w:rFonts w:ascii="Arial" w:cs="Arial" w:eastAsia="Arial" w:hAnsi="Arial"/>
          <w:sz w:val="17"/>
          <w:szCs w:val="17"/>
          <w:color w:val="auto"/>
        </w:rPr>
        <w:t>).</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rendering this opinion I have assumed, without independent investigation: (i) the authenticity of all documents submitted to me as originals;</w:t>
      </w:r>
    </w:p>
    <w:p>
      <w:pPr>
        <w:spacing w:after="0" w:line="46" w:lineRule="exact"/>
        <w:rPr>
          <w:sz w:val="20"/>
          <w:szCs w:val="20"/>
          <w:color w:val="auto"/>
        </w:rPr>
      </w:pPr>
    </w:p>
    <w:p>
      <w:pPr>
        <w:jc w:val="both"/>
        <w:ind w:right="140" w:firstLine="4"/>
        <w:spacing w:after="0" w:line="255" w:lineRule="auto"/>
        <w:tabs>
          <w:tab w:leader="none" w:pos="26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conformity to original documents of all documents submitted as certified or photostatic copies; and (iii) the genuineness of all signatures. As to questions of material fact relating to the opinions expressed herein, I have relied upon such certificates of public officials, corporate agents and officers of the Company and such other certificates as I have deemed relevant.</w:t>
      </w:r>
    </w:p>
    <w:p>
      <w:pPr>
        <w:sectPr>
          <w:pgSz w:w="11900" w:h="16838" w:orient="portrait"/>
          <w:cols w:equalWidth="0" w:num="1">
            <w:col w:w="11020"/>
          </w:cols>
          <w:pgMar w:left="440" w:top="121" w:right="4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March 3,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- 2 -</w:t>
      </w:r>
    </w:p>
    <w:p>
      <w:pPr>
        <w:spacing w:after="0" w:line="143"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Based upon and subject to the foregoing and other qualifications and limitations set forth herein, I am of the opinion that when the Registration Statement has become effective under the Securities Act, the Exchange Notes have been duly executed, delivered and authenticated in accordance with the terms of the Indenture and the Original Notes have been duly received by the Company, all in the manner contemplated by the said Registration Statement, the Exchange Notes will be legally issued and binding obligations of the Company enforceable against the Company in accordance with their terms, except as enforcement thereof may be limited by bankruptcy, insolvency, reorganization, moratorium, fraudulent conveyance or similar laws relating to or affecting creditors’ rights generally and by general principles of equity including, without limitation, concepts of materiality, reasonableness, good faith and fair dealing and the possible unavailability of specific performance or injunctive relief, regardless of whether considered in a proceeding in equity or at law and will be entitled to the benefits of the Indenture.</w:t>
      </w:r>
    </w:p>
    <w:p>
      <w:pPr>
        <w:spacing w:after="0" w:line="179"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My opinion is limited in all respects to the corporate laws of the State of Utah, the laws of the State of Nebraska and the laws of the United States of America, and I express no opinion with respect to the laws of any other jurisdiction. To the extent that this opinion relates to matters under the laws of the State of New York, I have assumed that the laws of the State of New York are substantially similar to those of the State of Nebraska for similar matters in this opinion. Please note that I am opining only as to the matters expressly set forth herein, and no opinion should be inferred as to any other matters. This opinion is provided as of the date hereof and is based upon currently existing statutes, rules, regulations and judicial decisions, and I disclaim any obligation to advise you of any change in any of these sources of law or subsequent legal or factual developments that might affect any matters or opinions set forth herein.</w:t>
      </w:r>
    </w:p>
    <w:p>
      <w:pPr>
        <w:spacing w:after="0" w:line="189"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In addition, I hereby consent to the filing of this opinion as Exhibit 5.1 to the Registration Statement and to the use of my name under the heading “Legal Matters” in the Prospectus. In rendering this opinion and giving this consent, I do not admit that I am an “expert” within the meaning of Section 7 of the Securities Act and the rules and regulations of the SEC thereunder.</w:t>
      </w:r>
    </w:p>
    <w:p>
      <w:pPr>
        <w:spacing w:after="0" w:line="33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John A. Menicucci, Jr.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John A. Menicucci,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Assistant Secretary</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Union Pacific Corporation</w:t>
      </w:r>
    </w:p>
    <w:p>
      <w:pPr>
        <w:sectPr>
          <w:pgSz w:w="11900" w:h="16838" w:orient="portrait"/>
          <w:cols w:equalWidth="0" w:num="1">
            <w:col w:w="11000"/>
          </w:cols>
          <w:pgMar w:left="440" w:top="274" w:right="45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SIGNIFICANT SUBSIDIARIES OF UNION PACIFIC CORPORATION</w:t>
      </w:r>
    </w:p>
    <w:p>
      <w:pPr>
        <w:spacing w:after="0" w:line="248" w:lineRule="exact"/>
        <w:rPr>
          <w:sz w:val="20"/>
          <w:szCs w:val="20"/>
          <w:color w:val="auto"/>
        </w:rPr>
      </w:pPr>
    </w:p>
    <w:tbl>
      <w:tblPr>
        <w:tblLayout w:type="fixed"/>
        <w:tblInd w:w="780" w:type="dxa"/>
        <w:tblCellMar>
          <w:top w:w="0" w:type="dxa"/>
          <w:left w:w="0" w:type="dxa"/>
          <w:bottom w:w="0" w:type="dxa"/>
          <w:right w:w="0" w:type="dxa"/>
        </w:tblCellMar>
      </w:tblPr>
      <w:tr>
        <w:trPr>
          <w:trHeight w:val="191"/>
        </w:trPr>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Name of Corporation</w:t>
            </w:r>
          </w:p>
        </w:tc>
        <w:tc>
          <w:tcPr>
            <w:tcW w:w="2900" w:type="dxa"/>
            <w:vAlign w:val="bottom"/>
          </w:tcPr>
          <w:p>
            <w:pPr>
              <w:spacing w:after="0"/>
              <w:rPr>
                <w:sz w:val="16"/>
                <w:szCs w:val="16"/>
                <w:color w:val="auto"/>
              </w:rPr>
            </w:pPr>
          </w:p>
        </w:tc>
        <w:tc>
          <w:tcPr>
            <w:tcW w:w="32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State of Incorporation</w:t>
            </w:r>
          </w:p>
        </w:tc>
      </w:tr>
      <w:tr>
        <w:trPr>
          <w:trHeight w:val="203"/>
        </w:trPr>
        <w:tc>
          <w:tcPr>
            <w:tcW w:w="4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Union Pacific Railroad Company</w:t>
            </w:r>
          </w:p>
        </w:tc>
        <w:tc>
          <w:tcPr>
            <w:tcW w:w="18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Delaware</w:t>
            </w:r>
          </w:p>
        </w:tc>
        <w:tc>
          <w:tcPr>
            <w:tcW w:w="60" w:type="dxa"/>
            <w:vAlign w:val="bottom"/>
            <w:tcBorders>
              <w:top w:val="single" w:sz="8" w:color="CCEEFF"/>
            </w:tcBorders>
            <w:shd w:val="clear" w:color="auto" w:fill="CCEEFF"/>
          </w:tcPr>
          <w:p>
            <w:pPr>
              <w:spacing w:after="0"/>
              <w:rPr>
                <w:sz w:val="17"/>
                <w:szCs w:val="17"/>
                <w:color w:val="auto"/>
              </w:rPr>
            </w:pPr>
          </w:p>
        </w:tc>
      </w:tr>
    </w:tbl>
    <w:p>
      <w:pPr>
        <w:sectPr>
          <w:pgSz w:w="11900" w:h="16838" w:orient="portrait"/>
          <w:cols w:equalWidth="0" w:num="1">
            <w:col w:w="10020"/>
          </w:cols>
          <w:pgMar w:left="1440" w:top="121" w:right="4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consent to the incorporation by reference in this Registration Statement on Form S-4 of our reports dated February 7, 2020 relating to the financial statements of Union Pacific Corporation and Subsidiary Companies (the Corporation), and the effectiveness of the Corporation’s internal control over financial reporting, appearing in the Annual Report on Form 10-K of Union Pacific Corporation for the year ended December 31, 2019. We also consent to the reference to us under the heading “Experts” in such Registration Statement.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Omaha, Nebraska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 2020</w:t>
      </w:r>
    </w:p>
    <w:p>
      <w:pPr>
        <w:sectPr>
          <w:pgSz w:w="11900" w:h="16838" w:orient="portrait"/>
          <w:cols w:equalWidth="0" w:num="1">
            <w:col w:w="11020"/>
          </w:cols>
          <w:pgMar w:left="440" w:top="121" w:right="4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5"/>
          <w:szCs w:val="15"/>
          <w:b w:val="1"/>
          <w:bCs w:val="1"/>
          <w:color w:val="auto"/>
        </w:rPr>
        <w:t>NION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ACIFIC</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OWERS OF</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TTORNEY</w:t>
      </w:r>
    </w:p>
    <w:p>
      <w:pPr>
        <w:spacing w:after="0" w:line="211"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Each of the undersigned directors of Union Pacific Corporation, a Utah corporation (the “Company”), do hereby appoint each of Lance M. Fritz, Rhonda S. Ferguson and John A. Menicucci, Jr., each of them acting individually, as his or her true and lawful attorney-in-fact and agent, each with power to act without the other, with full power of substitution, to execute, deliver and file, for and on my behalf, and in my name and in my capacity as a Director, a Registration Statement on Form S-4 (or other appropriate form) for filing with the Securities and Exchange Commission under the Securities Act of 1933, as amended, and any other documents in support thereof or supplemental or amendatory thereto, and all other amendments (including post-effective amendments) to such Registration Statement (and any additional Registration Statement related thereto permitted by Rule 462(b) promulgated under the Securities Act of 1933, as amended (and all further amendments, including post-effective amendments, thereto)), with respect to the issuance of certain debt obligations as described in the Registration Statement, hereby granting to such attorneys and agents and each of them full power and authority to do and perform each and every act and thing whatsoever as such attorney or attorneys and agents may deem necessary or advisable to carry out fully the intent of the foregoing as I might or could do personally or in my capacity as Director, hereby ratifying and confirming all acts and things which such attorney or attorneys and agents or their substitutes may do or cause to be done by virtue of this Power of Attorney</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N</w:t>
      </w:r>
      <w:r>
        <w:rPr>
          <w:rFonts w:ascii="Arial" w:cs="Arial" w:eastAsia="Arial" w:hAnsi="Arial"/>
          <w:sz w:val="18"/>
          <w:szCs w:val="18"/>
          <w:color w:val="auto"/>
        </w:rPr>
        <w:t xml:space="preserve"> W</w:t>
      </w:r>
      <w:r>
        <w:rPr>
          <w:rFonts w:ascii="Arial" w:cs="Arial" w:eastAsia="Arial" w:hAnsi="Arial"/>
          <w:sz w:val="15"/>
          <w:szCs w:val="15"/>
          <w:color w:val="auto"/>
        </w:rPr>
        <w:t>ITNESS</w:t>
      </w:r>
      <w:r>
        <w:rPr>
          <w:rFonts w:ascii="Arial" w:cs="Arial" w:eastAsia="Arial" w:hAnsi="Arial"/>
          <w:sz w:val="18"/>
          <w:szCs w:val="18"/>
          <w:color w:val="auto"/>
        </w:rPr>
        <w:t xml:space="preserve"> W</w:t>
      </w:r>
      <w:r>
        <w:rPr>
          <w:rFonts w:ascii="Arial" w:cs="Arial" w:eastAsia="Arial" w:hAnsi="Arial"/>
          <w:sz w:val="15"/>
          <w:szCs w:val="15"/>
          <w:color w:val="auto"/>
        </w:rPr>
        <w:t>HEREOF</w:t>
      </w:r>
      <w:r>
        <w:rPr>
          <w:rFonts w:ascii="Arial" w:cs="Arial" w:eastAsia="Arial" w:hAnsi="Arial"/>
          <w:sz w:val="18"/>
          <w:szCs w:val="18"/>
          <w:color w:val="auto"/>
        </w:rPr>
        <w:t>, the undersigned have executed this Power of Attorney as of February 6, 2020.</w:t>
      </w:r>
    </w:p>
    <w:p>
      <w:pPr>
        <w:sectPr>
          <w:pgSz w:w="11900" w:h="16838" w:orient="portrait"/>
          <w:cols w:equalWidth="0" w:num="1">
            <w:col w:w="11020"/>
          </w:cols>
          <w:pgMar w:left="440" w:top="121"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Michael R. McCarthy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R.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101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 Thomas F. McLarty III</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Thomas F. McLarty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101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Bhavesh V. Patel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Bhavesh V.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101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Jose H. Villarreal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Jose H. Villarreal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101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/s/ Christopher J. Williams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Christopher J.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101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Jane H. Lute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Jane H. Lute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101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/s/ Andrew H. Card, Jr.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Andrew H. Card,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42195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Erroll B. Davis,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Erroll B. Davis,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42195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 William J. DeLaney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William J. DeLaney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42195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David B. Dillon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B.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42195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/s/ Deborah C. Hopkins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Deborah C. Hopkins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42195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ectPr>
          <w:pgSz w:w="11900" w:h="16838" w:orient="portrait"/>
          <w:cols w:equalWidth="0" w:num="2">
            <w:col w:w="3660" w:space="720"/>
            <w:col w:w="6640"/>
          </w:cols>
          <w:pgMar w:left="440" w:top="121" w:right="439" w:bottom="1440" w:gutter="0" w:footer="0" w:header="0"/>
          <w:type w:val="continuous"/>
        </w:sectPr>
      </w:pPr>
    </w:p>
    <w:bookmarkStart w:id="50" w:name="page51"/>
    <w:bookmarkEnd w:id="50"/>
    <w:p>
      <w:pPr>
        <w:ind w:left="10100"/>
        <w:spacing w:after="0"/>
        <w:rPr>
          <w:sz w:val="20"/>
          <w:szCs w:val="20"/>
          <w:color w:val="auto"/>
        </w:rPr>
      </w:pPr>
      <w:r>
        <w:rPr>
          <w:rFonts w:ascii="Arial" w:cs="Arial" w:eastAsia="Arial" w:hAnsi="Arial"/>
          <w:sz w:val="16"/>
          <w:szCs w:val="16"/>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6997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238125</wp:posOffset>
            </wp:positionV>
            <wp:extent cx="6997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UNDER THE TRUST INDENTURE ACT OF 1939 OF A</w:t>
      </w:r>
    </w:p>
    <w:p>
      <w:pPr>
        <w:jc w:val="center"/>
        <w:ind w:right="20"/>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209" w:lineRule="exact"/>
        <w:rPr>
          <w:sz w:val="20"/>
          <w:szCs w:val="20"/>
          <w:color w:val="auto"/>
        </w:rPr>
      </w:pPr>
    </w:p>
    <w:p>
      <w:pPr>
        <w:ind w:left="440" w:right="1220" w:hanging="436"/>
        <w:spacing w:after="0" w:line="256" w:lineRule="auto"/>
        <w:tabs>
          <w:tab w:leader="none" w:pos="440" w:val="left"/>
        </w:tabs>
        <w:numPr>
          <w:ilvl w:val="0"/>
          <w:numId w:val="34"/>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206375</wp:posOffset>
            </wp:positionV>
            <wp:extent cx="14662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43"/>
          <w:szCs w:val="43"/>
          <w:b w:val="1"/>
          <w:bCs w:val="1"/>
          <w:color w:val="auto"/>
        </w:rPr>
        <w:t>THE BANK OF NEW YORK MELLON</w:t>
      </w:r>
    </w:p>
    <w:p>
      <w:pPr>
        <w:spacing w:after="0" w:line="55"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auto"/>
        </w:rPr>
        <w:t>TRUST COMPANY, N.A.</w:t>
      </w:r>
    </w:p>
    <w:p>
      <w:pPr>
        <w:jc w:val="center"/>
        <w:ind w:right="20"/>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980" w:type="dxa"/>
            <w:vAlign w:val="bottom"/>
          </w:tcPr>
          <w:p>
            <w:pPr>
              <w:spacing w:after="0"/>
              <w:rPr>
                <w:sz w:val="18"/>
                <w:szCs w:val="18"/>
                <w:color w:val="auto"/>
              </w:rPr>
            </w:pPr>
          </w:p>
        </w:tc>
        <w:tc>
          <w:tcPr>
            <w:tcW w:w="7040" w:type="dxa"/>
            <w:vAlign w:val="bottom"/>
            <w:gridSpan w:val="3"/>
          </w:tcPr>
          <w:p>
            <w:pPr>
              <w:jc w:val="center"/>
              <w:ind w:left="1574"/>
              <w:spacing w:after="0"/>
              <w:rPr>
                <w:sz w:val="20"/>
                <w:szCs w:val="20"/>
                <w:color w:val="auto"/>
              </w:rPr>
            </w:pPr>
            <w:r>
              <w:rPr>
                <w:rFonts w:ascii="Arial" w:cs="Arial" w:eastAsia="Arial" w:hAnsi="Arial"/>
                <w:sz w:val="18"/>
                <w:szCs w:val="18"/>
                <w:b w:val="1"/>
                <w:bCs w:val="1"/>
                <w:color w:val="auto"/>
                <w:w w:val="89"/>
              </w:rPr>
              <w:t>95-3571558</w:t>
            </w:r>
          </w:p>
        </w:tc>
      </w:tr>
      <w:tr>
        <w:trPr>
          <w:trHeight w:val="149"/>
        </w:trPr>
        <w:tc>
          <w:tcPr>
            <w:tcW w:w="3980" w:type="dxa"/>
            <w:vAlign w:val="bottom"/>
          </w:tcPr>
          <w:p>
            <w:pPr>
              <w:jc w:val="center"/>
              <w:ind w:left="1439"/>
              <w:spacing w:after="0" w:line="149" w:lineRule="exact"/>
              <w:rPr>
                <w:sz w:val="20"/>
                <w:szCs w:val="20"/>
                <w:color w:val="auto"/>
              </w:rPr>
            </w:pPr>
            <w:r>
              <w:rPr>
                <w:rFonts w:ascii="Arial" w:cs="Arial" w:eastAsia="Arial" w:hAnsi="Arial"/>
                <w:sz w:val="14"/>
                <w:szCs w:val="14"/>
                <w:b w:val="1"/>
                <w:bCs w:val="1"/>
                <w:color w:val="auto"/>
                <w:w w:val="93"/>
              </w:rPr>
              <w:t>(Jurisdiction of incorporation</w:t>
            </w:r>
          </w:p>
        </w:tc>
        <w:tc>
          <w:tcPr>
            <w:tcW w:w="3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380" w:type="dxa"/>
            <w:vAlign w:val="bottom"/>
          </w:tcPr>
          <w:p>
            <w:pPr>
              <w:jc w:val="center"/>
              <w:ind w:right="96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80" w:type="dxa"/>
            <w:vAlign w:val="bottom"/>
          </w:tcPr>
          <w:p>
            <w:pPr>
              <w:jc w:val="center"/>
              <w:ind w:left="1479"/>
              <w:spacing w:after="0"/>
              <w:rPr>
                <w:sz w:val="20"/>
                <w:szCs w:val="20"/>
                <w:color w:val="auto"/>
              </w:rPr>
            </w:pPr>
            <w:r>
              <w:rPr>
                <w:rFonts w:ascii="Arial" w:cs="Arial" w:eastAsia="Arial" w:hAnsi="Arial"/>
                <w:sz w:val="14"/>
                <w:szCs w:val="14"/>
                <w:b w:val="1"/>
                <w:bCs w:val="1"/>
                <w:color w:val="auto"/>
                <w:w w:val="94"/>
              </w:rPr>
              <w:t>if not a U.S. national bank)</w:t>
            </w:r>
          </w:p>
        </w:tc>
        <w:tc>
          <w:tcPr>
            <w:tcW w:w="3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380" w:type="dxa"/>
            <w:vAlign w:val="bottom"/>
          </w:tcPr>
          <w:p>
            <w:pPr>
              <w:jc w:val="center"/>
              <w:ind w:right="928"/>
              <w:spacing w:after="0"/>
              <w:rPr>
                <w:sz w:val="20"/>
                <w:szCs w:val="20"/>
                <w:color w:val="auto"/>
              </w:rPr>
            </w:pPr>
            <w:r>
              <w:rPr>
                <w:rFonts w:ascii="Arial" w:cs="Arial" w:eastAsia="Arial" w:hAnsi="Arial"/>
                <w:sz w:val="14"/>
                <w:szCs w:val="14"/>
                <w:b w:val="1"/>
                <w:bCs w:val="1"/>
                <w:color w:val="auto"/>
                <w:w w:val="94"/>
              </w:rPr>
              <w:t>identification no.)</w:t>
            </w:r>
          </w:p>
        </w:tc>
      </w:tr>
      <w:tr>
        <w:trPr>
          <w:trHeight w:val="426"/>
        </w:trPr>
        <w:tc>
          <w:tcPr>
            <w:tcW w:w="3980" w:type="dxa"/>
            <w:vAlign w:val="bottom"/>
          </w:tcPr>
          <w:p>
            <w:pPr>
              <w:jc w:val="center"/>
              <w:ind w:left="1419"/>
              <w:spacing w:after="0"/>
              <w:rPr>
                <w:sz w:val="20"/>
                <w:szCs w:val="20"/>
                <w:color w:val="auto"/>
              </w:rPr>
            </w:pPr>
            <w:r>
              <w:rPr>
                <w:rFonts w:ascii="Arial" w:cs="Arial" w:eastAsia="Arial" w:hAnsi="Arial"/>
                <w:sz w:val="18"/>
                <w:szCs w:val="18"/>
                <w:b w:val="1"/>
                <w:bCs w:val="1"/>
                <w:color w:val="auto"/>
                <w:w w:val="89"/>
              </w:rPr>
              <w:t>400 South Hope Street</w:t>
            </w:r>
          </w:p>
        </w:tc>
        <w:tc>
          <w:tcPr>
            <w:tcW w:w="3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16"/>
        </w:trPr>
        <w:tc>
          <w:tcPr>
            <w:tcW w:w="3980" w:type="dxa"/>
            <w:vAlign w:val="bottom"/>
          </w:tcPr>
          <w:p>
            <w:pPr>
              <w:jc w:val="center"/>
              <w:ind w:left="1479"/>
              <w:spacing w:after="0"/>
              <w:rPr>
                <w:sz w:val="20"/>
                <w:szCs w:val="20"/>
                <w:color w:val="auto"/>
              </w:rPr>
            </w:pPr>
            <w:r>
              <w:rPr>
                <w:rFonts w:ascii="Arial" w:cs="Arial" w:eastAsia="Arial" w:hAnsi="Arial"/>
                <w:sz w:val="18"/>
                <w:szCs w:val="18"/>
                <w:b w:val="1"/>
                <w:bCs w:val="1"/>
                <w:color w:val="auto"/>
                <w:w w:val="88"/>
              </w:rPr>
              <w:t>Suite 500</w:t>
            </w:r>
          </w:p>
        </w:tc>
        <w:tc>
          <w:tcPr>
            <w:tcW w:w="3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25"/>
        </w:trPr>
        <w:tc>
          <w:tcPr>
            <w:tcW w:w="3980" w:type="dxa"/>
            <w:vAlign w:val="bottom"/>
          </w:tcPr>
          <w:p>
            <w:pPr>
              <w:jc w:val="center"/>
              <w:ind w:left="1459"/>
              <w:spacing w:after="0"/>
              <w:rPr>
                <w:sz w:val="20"/>
                <w:szCs w:val="20"/>
                <w:color w:val="auto"/>
              </w:rPr>
            </w:pPr>
            <w:r>
              <w:rPr>
                <w:rFonts w:ascii="Arial" w:cs="Arial" w:eastAsia="Arial" w:hAnsi="Arial"/>
                <w:sz w:val="18"/>
                <w:szCs w:val="18"/>
                <w:b w:val="1"/>
                <w:bCs w:val="1"/>
                <w:color w:val="auto"/>
                <w:w w:val="89"/>
              </w:rPr>
              <w:t>Los Angeles, California</w:t>
            </w:r>
          </w:p>
        </w:tc>
        <w:tc>
          <w:tcPr>
            <w:tcW w:w="7040" w:type="dxa"/>
            <w:vAlign w:val="bottom"/>
            <w:gridSpan w:val="3"/>
          </w:tcPr>
          <w:p>
            <w:pPr>
              <w:jc w:val="center"/>
              <w:ind w:left="1534"/>
              <w:spacing w:after="0"/>
              <w:rPr>
                <w:sz w:val="20"/>
                <w:szCs w:val="20"/>
                <w:color w:val="auto"/>
              </w:rPr>
            </w:pPr>
            <w:r>
              <w:rPr>
                <w:rFonts w:ascii="Arial" w:cs="Arial" w:eastAsia="Arial" w:hAnsi="Arial"/>
                <w:sz w:val="18"/>
                <w:szCs w:val="18"/>
                <w:b w:val="1"/>
                <w:bCs w:val="1"/>
                <w:color w:val="auto"/>
                <w:w w:val="91"/>
              </w:rPr>
              <w:t>90071</w:t>
            </w:r>
          </w:p>
        </w:tc>
      </w:tr>
      <w:tr>
        <w:trPr>
          <w:trHeight w:val="186"/>
        </w:trPr>
        <w:tc>
          <w:tcPr>
            <w:tcW w:w="3980" w:type="dxa"/>
            <w:vAlign w:val="bottom"/>
          </w:tcPr>
          <w:p>
            <w:pPr>
              <w:jc w:val="center"/>
              <w:ind w:left="14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380" w:type="dxa"/>
            <w:vAlign w:val="bottom"/>
          </w:tcPr>
          <w:p>
            <w:pPr>
              <w:jc w:val="center"/>
              <w:ind w:right="928"/>
              <w:spacing w:after="0"/>
              <w:rPr>
                <w:sz w:val="20"/>
                <w:szCs w:val="20"/>
                <w:color w:val="auto"/>
              </w:rPr>
            </w:pPr>
            <w:r>
              <w:rPr>
                <w:rFonts w:ascii="Arial" w:cs="Arial" w:eastAsia="Arial" w:hAnsi="Arial"/>
                <w:sz w:val="14"/>
                <w:szCs w:val="14"/>
                <w:b w:val="1"/>
                <w:bCs w:val="1"/>
                <w:color w:val="auto"/>
                <w:w w:val="92"/>
              </w:rPr>
              <w:t>(Zip code)</w:t>
            </w:r>
          </w:p>
        </w:tc>
      </w:tr>
      <w:tr>
        <w:trPr>
          <w:trHeight w:val="350"/>
        </w:trPr>
        <w:tc>
          <w:tcPr>
            <w:tcW w:w="3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380" w:type="dxa"/>
            <w:vAlign w:val="bottom"/>
          </w:tcPr>
          <w:p>
            <w:pPr>
              <w:spacing w:after="0"/>
              <w:rPr>
                <w:sz w:val="24"/>
                <w:szCs w:val="24"/>
                <w:color w:val="auto"/>
              </w:rPr>
            </w:pPr>
          </w:p>
        </w:tc>
      </w:tr>
      <w:tr>
        <w:trPr>
          <w:trHeight w:val="403"/>
        </w:trPr>
        <w:tc>
          <w:tcPr>
            <w:tcW w:w="3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80" w:type="dxa"/>
            <w:vAlign w:val="bottom"/>
            <w:gridSpan w:val="2"/>
          </w:tcPr>
          <w:p>
            <w:pPr>
              <w:jc w:val="center"/>
              <w:ind w:right="4288"/>
              <w:spacing w:after="0"/>
              <w:rPr>
                <w:sz w:val="20"/>
                <w:szCs w:val="20"/>
                <w:color w:val="auto"/>
              </w:rPr>
            </w:pPr>
            <w:r>
              <w:rPr>
                <w:rFonts w:ascii="Arial" w:cs="Arial" w:eastAsia="Arial" w:hAnsi="Arial"/>
                <w:sz w:val="18"/>
                <w:szCs w:val="18"/>
                <w:b w:val="1"/>
                <w:bCs w:val="1"/>
                <w:color w:val="auto"/>
                <w:w w:val="91"/>
              </w:rPr>
              <w:t>Union Pacific Corporation</w:t>
            </w:r>
          </w:p>
        </w:tc>
      </w:tr>
      <w:tr>
        <w:trPr>
          <w:trHeight w:val="186"/>
        </w:trPr>
        <w:tc>
          <w:tcPr>
            <w:tcW w:w="3980" w:type="dxa"/>
            <w:vAlign w:val="bottom"/>
          </w:tcPr>
          <w:p>
            <w:pPr>
              <w:spacing w:after="0"/>
              <w:rPr>
                <w:sz w:val="16"/>
                <w:szCs w:val="16"/>
                <w:color w:val="auto"/>
              </w:rPr>
            </w:pPr>
          </w:p>
        </w:tc>
        <w:tc>
          <w:tcPr>
            <w:tcW w:w="7040" w:type="dxa"/>
            <w:vAlign w:val="bottom"/>
            <w:gridSpan w:val="3"/>
          </w:tcPr>
          <w:p>
            <w:pPr>
              <w:jc w:val="center"/>
              <w:ind w:right="3948"/>
              <w:spacing w:after="0"/>
              <w:rPr>
                <w:sz w:val="20"/>
                <w:szCs w:val="20"/>
                <w:color w:val="auto"/>
              </w:rPr>
            </w:pPr>
            <w:r>
              <w:rPr>
                <w:rFonts w:ascii="Arial" w:cs="Arial" w:eastAsia="Arial" w:hAnsi="Arial"/>
                <w:sz w:val="14"/>
                <w:szCs w:val="14"/>
                <w:b w:val="1"/>
                <w:bCs w:val="1"/>
                <w:color w:val="auto"/>
                <w:w w:val="92"/>
              </w:rPr>
              <w:t>(Exact name of obligor as specified in its charter)</w:t>
            </w:r>
          </w:p>
        </w:tc>
      </w:tr>
      <w:tr>
        <w:trPr>
          <w:trHeight w:val="336"/>
        </w:trPr>
        <w:tc>
          <w:tcPr>
            <w:tcW w:w="3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380" w:type="dxa"/>
            <w:vAlign w:val="bottom"/>
          </w:tcPr>
          <w:p>
            <w:pPr>
              <w:spacing w:after="0"/>
              <w:rPr>
                <w:sz w:val="24"/>
                <w:szCs w:val="24"/>
                <w:color w:val="auto"/>
              </w:rPr>
            </w:pPr>
          </w:p>
        </w:tc>
      </w:tr>
      <w:tr>
        <w:trPr>
          <w:trHeight w:val="470"/>
        </w:trPr>
        <w:tc>
          <w:tcPr>
            <w:tcW w:w="3980" w:type="dxa"/>
            <w:vAlign w:val="bottom"/>
          </w:tcPr>
          <w:p>
            <w:pPr>
              <w:jc w:val="center"/>
              <w:ind w:left="1479"/>
              <w:spacing w:after="0"/>
              <w:rPr>
                <w:sz w:val="20"/>
                <w:szCs w:val="20"/>
                <w:color w:val="auto"/>
              </w:rPr>
            </w:pPr>
            <w:r>
              <w:rPr>
                <w:rFonts w:ascii="Arial" w:cs="Arial" w:eastAsia="Arial" w:hAnsi="Arial"/>
                <w:sz w:val="18"/>
                <w:szCs w:val="18"/>
                <w:b w:val="1"/>
                <w:bCs w:val="1"/>
                <w:color w:val="auto"/>
                <w:w w:val="94"/>
              </w:rPr>
              <w:t>Utah</w:t>
            </w:r>
          </w:p>
        </w:tc>
        <w:tc>
          <w:tcPr>
            <w:tcW w:w="7040" w:type="dxa"/>
            <w:vAlign w:val="bottom"/>
            <w:gridSpan w:val="3"/>
          </w:tcPr>
          <w:p>
            <w:pPr>
              <w:jc w:val="center"/>
              <w:ind w:left="1574"/>
              <w:spacing w:after="0"/>
              <w:rPr>
                <w:sz w:val="20"/>
                <w:szCs w:val="20"/>
                <w:color w:val="auto"/>
              </w:rPr>
            </w:pPr>
            <w:r>
              <w:rPr>
                <w:rFonts w:ascii="Arial" w:cs="Arial" w:eastAsia="Arial" w:hAnsi="Arial"/>
                <w:sz w:val="18"/>
                <w:szCs w:val="18"/>
                <w:b w:val="1"/>
                <w:bCs w:val="1"/>
                <w:color w:val="auto"/>
                <w:w w:val="89"/>
              </w:rPr>
              <w:t>13-2626465</w:t>
            </w:r>
          </w:p>
        </w:tc>
      </w:tr>
      <w:tr>
        <w:trPr>
          <w:trHeight w:val="149"/>
        </w:trPr>
        <w:tc>
          <w:tcPr>
            <w:tcW w:w="3980" w:type="dxa"/>
            <w:vAlign w:val="bottom"/>
          </w:tcPr>
          <w:p>
            <w:pPr>
              <w:jc w:val="center"/>
              <w:ind w:left="14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380" w:type="dxa"/>
            <w:vAlign w:val="bottom"/>
          </w:tcPr>
          <w:p>
            <w:pPr>
              <w:jc w:val="center"/>
              <w:ind w:right="96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80" w:type="dxa"/>
            <w:vAlign w:val="bottom"/>
          </w:tcPr>
          <w:p>
            <w:pPr>
              <w:jc w:val="center"/>
              <w:ind w:left="1459"/>
              <w:spacing w:after="0"/>
              <w:rPr>
                <w:sz w:val="20"/>
                <w:szCs w:val="20"/>
                <w:color w:val="auto"/>
              </w:rPr>
            </w:pPr>
            <w:r>
              <w:rPr>
                <w:rFonts w:ascii="Arial" w:cs="Arial" w:eastAsia="Arial" w:hAnsi="Arial"/>
                <w:sz w:val="14"/>
                <w:szCs w:val="14"/>
                <w:b w:val="1"/>
                <w:bCs w:val="1"/>
                <w:color w:val="auto"/>
                <w:w w:val="94"/>
              </w:rPr>
              <w:t>incorporation or organization)</w:t>
            </w:r>
          </w:p>
        </w:tc>
        <w:tc>
          <w:tcPr>
            <w:tcW w:w="3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380" w:type="dxa"/>
            <w:vAlign w:val="bottom"/>
          </w:tcPr>
          <w:p>
            <w:pPr>
              <w:jc w:val="center"/>
              <w:ind w:right="928"/>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3980" w:type="dxa"/>
            <w:vAlign w:val="bottom"/>
          </w:tcPr>
          <w:p>
            <w:pPr>
              <w:jc w:val="center"/>
              <w:ind w:left="1459"/>
              <w:spacing w:after="0"/>
              <w:rPr>
                <w:sz w:val="20"/>
                <w:szCs w:val="20"/>
                <w:color w:val="auto"/>
              </w:rPr>
            </w:pPr>
            <w:r>
              <w:rPr>
                <w:rFonts w:ascii="Arial" w:cs="Arial" w:eastAsia="Arial" w:hAnsi="Arial"/>
                <w:sz w:val="18"/>
                <w:szCs w:val="18"/>
                <w:b w:val="1"/>
                <w:bCs w:val="1"/>
                <w:color w:val="auto"/>
                <w:w w:val="88"/>
              </w:rPr>
              <w:t>1400 Douglas Street</w:t>
            </w:r>
          </w:p>
        </w:tc>
        <w:tc>
          <w:tcPr>
            <w:tcW w:w="3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25"/>
        </w:trPr>
        <w:tc>
          <w:tcPr>
            <w:tcW w:w="3980" w:type="dxa"/>
            <w:vAlign w:val="bottom"/>
          </w:tcPr>
          <w:p>
            <w:pPr>
              <w:jc w:val="center"/>
              <w:ind w:left="1419"/>
              <w:spacing w:after="0"/>
              <w:rPr>
                <w:sz w:val="20"/>
                <w:szCs w:val="20"/>
                <w:color w:val="auto"/>
              </w:rPr>
            </w:pPr>
            <w:r>
              <w:rPr>
                <w:rFonts w:ascii="Arial" w:cs="Arial" w:eastAsia="Arial" w:hAnsi="Arial"/>
                <w:sz w:val="18"/>
                <w:szCs w:val="18"/>
                <w:b w:val="1"/>
                <w:bCs w:val="1"/>
                <w:color w:val="auto"/>
                <w:w w:val="92"/>
              </w:rPr>
              <w:t>Omaha, Nebraska</w:t>
            </w:r>
          </w:p>
        </w:tc>
        <w:tc>
          <w:tcPr>
            <w:tcW w:w="7040" w:type="dxa"/>
            <w:vAlign w:val="bottom"/>
            <w:gridSpan w:val="3"/>
          </w:tcPr>
          <w:p>
            <w:pPr>
              <w:jc w:val="center"/>
              <w:ind w:left="1534"/>
              <w:spacing w:after="0"/>
              <w:rPr>
                <w:sz w:val="20"/>
                <w:szCs w:val="20"/>
                <w:color w:val="auto"/>
              </w:rPr>
            </w:pPr>
            <w:r>
              <w:rPr>
                <w:rFonts w:ascii="Arial" w:cs="Arial" w:eastAsia="Arial" w:hAnsi="Arial"/>
                <w:sz w:val="18"/>
                <w:szCs w:val="18"/>
                <w:b w:val="1"/>
                <w:bCs w:val="1"/>
                <w:color w:val="auto"/>
                <w:w w:val="91"/>
              </w:rPr>
              <w:t>68179</w:t>
            </w:r>
          </w:p>
        </w:tc>
      </w:tr>
      <w:tr>
        <w:trPr>
          <w:trHeight w:val="186"/>
        </w:trPr>
        <w:tc>
          <w:tcPr>
            <w:tcW w:w="3980" w:type="dxa"/>
            <w:vAlign w:val="bottom"/>
          </w:tcPr>
          <w:p>
            <w:pPr>
              <w:jc w:val="center"/>
              <w:ind w:left="14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380" w:type="dxa"/>
            <w:vAlign w:val="bottom"/>
          </w:tcPr>
          <w:p>
            <w:pPr>
              <w:jc w:val="center"/>
              <w:ind w:right="928"/>
              <w:spacing w:after="0"/>
              <w:rPr>
                <w:sz w:val="20"/>
                <w:szCs w:val="20"/>
                <w:color w:val="auto"/>
              </w:rPr>
            </w:pPr>
            <w:r>
              <w:rPr>
                <w:rFonts w:ascii="Arial" w:cs="Arial" w:eastAsia="Arial" w:hAnsi="Arial"/>
                <w:sz w:val="14"/>
                <w:szCs w:val="14"/>
                <w:b w:val="1"/>
                <w:bCs w:val="1"/>
                <w:color w:val="auto"/>
                <w:w w:val="92"/>
              </w:rPr>
              <w:t>(Zip code)</w:t>
            </w:r>
          </w:p>
        </w:tc>
      </w:tr>
      <w:tr>
        <w:trPr>
          <w:trHeight w:val="336"/>
        </w:trPr>
        <w:tc>
          <w:tcPr>
            <w:tcW w:w="3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380" w:type="dxa"/>
            <w:vAlign w:val="bottom"/>
          </w:tcPr>
          <w:p>
            <w:pPr>
              <w:spacing w:after="0"/>
              <w:rPr>
                <w:sz w:val="24"/>
                <w:szCs w:val="24"/>
                <w:color w:val="auto"/>
              </w:rPr>
            </w:pPr>
          </w:p>
        </w:tc>
      </w:tr>
      <w:tr>
        <w:trPr>
          <w:trHeight w:val="403"/>
        </w:trPr>
        <w:tc>
          <w:tcPr>
            <w:tcW w:w="3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80" w:type="dxa"/>
            <w:vAlign w:val="bottom"/>
            <w:gridSpan w:val="2"/>
          </w:tcPr>
          <w:p>
            <w:pPr>
              <w:jc w:val="center"/>
              <w:ind w:right="4308"/>
              <w:spacing w:after="0"/>
              <w:rPr>
                <w:sz w:val="20"/>
                <w:szCs w:val="20"/>
                <w:color w:val="auto"/>
              </w:rPr>
            </w:pPr>
            <w:r>
              <w:rPr>
                <w:rFonts w:ascii="Arial" w:cs="Arial" w:eastAsia="Arial" w:hAnsi="Arial"/>
                <w:sz w:val="18"/>
                <w:szCs w:val="18"/>
                <w:b w:val="1"/>
                <w:bCs w:val="1"/>
                <w:color w:val="auto"/>
                <w:w w:val="89"/>
              </w:rPr>
              <w:t>3.839% Notes due 2060</w:t>
            </w:r>
          </w:p>
        </w:tc>
      </w:tr>
      <w:tr>
        <w:trPr>
          <w:trHeight w:val="186"/>
        </w:trPr>
        <w:tc>
          <w:tcPr>
            <w:tcW w:w="3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80" w:type="dxa"/>
            <w:vAlign w:val="bottom"/>
            <w:gridSpan w:val="2"/>
          </w:tcPr>
          <w:p>
            <w:pPr>
              <w:jc w:val="center"/>
              <w:ind w:right="4308"/>
              <w:spacing w:after="0"/>
              <w:rPr>
                <w:sz w:val="20"/>
                <w:szCs w:val="20"/>
                <w:color w:val="auto"/>
              </w:rPr>
            </w:pPr>
            <w:r>
              <w:rPr>
                <w:rFonts w:ascii="Arial" w:cs="Arial" w:eastAsia="Arial" w:hAnsi="Arial"/>
                <w:sz w:val="14"/>
                <w:szCs w:val="14"/>
                <w:b w:val="1"/>
                <w:bCs w:val="1"/>
                <w:color w:val="auto"/>
                <w:w w:val="93"/>
              </w:rPr>
              <w:t>(Title of the indenture securities)</w:t>
            </w:r>
          </w:p>
        </w:tc>
      </w:tr>
      <w:tr>
        <w:trPr>
          <w:trHeight w:val="215"/>
        </w:trPr>
        <w:tc>
          <w:tcPr>
            <w:tcW w:w="39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r>
      <w:tr>
        <w:trPr>
          <w:trHeight w:val="48"/>
        </w:trPr>
        <w:tc>
          <w:tcPr>
            <w:tcW w:w="39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4380" w:type="dxa"/>
            <w:vAlign w:val="bottom"/>
            <w:tcBorders>
              <w:bottom w:val="single" w:sz="8" w:color="auto"/>
            </w:tcBorders>
          </w:tcPr>
          <w:p>
            <w:pPr>
              <w:spacing w:after="0"/>
              <w:rPr>
                <w:sz w:val="4"/>
                <w:szCs w:val="4"/>
                <w:color w:val="auto"/>
              </w:rPr>
            </w:pPr>
          </w:p>
        </w:tc>
      </w:tr>
    </w:tbl>
    <w:p>
      <w:pPr>
        <w:sectPr>
          <w:pgSz w:w="11900" w:h="16838" w:orient="portrait"/>
          <w:cols w:equalWidth="0" w:num="1">
            <w:col w:w="11040"/>
          </w:cols>
          <w:pgMar w:left="440" w:top="121" w:right="419" w:bottom="1440" w:gutter="0" w:footer="0" w:header="0"/>
        </w:sectPr>
      </w:pPr>
    </w:p>
    <w:bookmarkStart w:id="51" w:name="page52"/>
    <w:bookmarkEnd w:id="51"/>
    <w:p>
      <w:pPr>
        <w:ind w:left="436" w:hanging="436"/>
        <w:spacing w:after="0"/>
        <w:tabs>
          <w:tab w:leader="none" w:pos="436"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information. Furnish the following information as to the trustee:</w:t>
      </w:r>
    </w:p>
    <w:p>
      <w:pPr>
        <w:spacing w:after="0" w:line="130" w:lineRule="exact"/>
        <w:rPr>
          <w:rFonts w:ascii="Arial" w:cs="Arial" w:eastAsia="Arial" w:hAnsi="Arial"/>
          <w:sz w:val="18"/>
          <w:szCs w:val="18"/>
          <w:b w:val="1"/>
          <w:bCs w:val="1"/>
          <w:color w:val="auto"/>
        </w:rPr>
      </w:pPr>
    </w:p>
    <w:p>
      <w:pPr>
        <w:ind w:left="976" w:hanging="544"/>
        <w:spacing w:after="0"/>
        <w:tabs>
          <w:tab w:leader="none" w:pos="976" w:val="left"/>
        </w:tabs>
        <w:numPr>
          <w:ilvl w:val="1"/>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Name and address of each examining or supervising authority to which it is subject.</w:t>
      </w:r>
    </w:p>
    <w:p>
      <w:pPr>
        <w:spacing w:after="0" w:line="248" w:lineRule="exact"/>
        <w:rPr>
          <w:sz w:val="20"/>
          <w:szCs w:val="20"/>
          <w:color w:val="auto"/>
        </w:rPr>
      </w:pPr>
    </w:p>
    <w:tbl>
      <w:tblPr>
        <w:tblLayout w:type="fixed"/>
        <w:tblInd w:w="436"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76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6"/>
                <w:szCs w:val="16"/>
                <w:color w:val="auto"/>
              </w:rPr>
            </w:pPr>
          </w:p>
        </w:tc>
        <w:tc>
          <w:tcPr>
            <w:tcW w:w="4740" w:type="dxa"/>
            <w:vAlign w:val="bottom"/>
            <w:tcBorders>
              <w:bottom w:val="single" w:sz="8" w:color="auto"/>
            </w:tcBorders>
          </w:tcPr>
          <w:p>
            <w:pPr>
              <w:ind w:left="2120"/>
              <w:spacing w:after="0"/>
              <w:rPr>
                <w:sz w:val="20"/>
                <w:szCs w:val="20"/>
                <w:color w:val="auto"/>
              </w:rPr>
            </w:pPr>
            <w:r>
              <w:rPr>
                <w:rFonts w:ascii="Arial" w:cs="Arial" w:eastAsia="Arial" w:hAnsi="Arial"/>
                <w:sz w:val="14"/>
                <w:szCs w:val="14"/>
                <w:b w:val="1"/>
                <w:bCs w:val="1"/>
                <w:color w:val="auto"/>
              </w:rPr>
              <w:t>Address</w:t>
            </w:r>
          </w:p>
        </w:tc>
      </w:tr>
      <w:tr>
        <w:trPr>
          <w:trHeight w:val="195"/>
        </w:trPr>
        <w:tc>
          <w:tcPr>
            <w:tcW w:w="20" w:type="dxa"/>
            <w:vAlign w:val="bottom"/>
          </w:tcPr>
          <w:p>
            <w:pPr>
              <w:spacing w:after="0"/>
              <w:rPr>
                <w:sz w:val="16"/>
                <w:szCs w:val="16"/>
                <w:color w:val="auto"/>
              </w:rPr>
            </w:pPr>
          </w:p>
        </w:tc>
        <w:tc>
          <w:tcPr>
            <w:tcW w:w="5160" w:type="dxa"/>
            <w:vAlign w:val="bottom"/>
            <w:gridSpan w:val="2"/>
          </w:tcPr>
          <w:p>
            <w:pPr>
              <w:spacing w:after="0" w:line="195" w:lineRule="exact"/>
              <w:rPr>
                <w:sz w:val="20"/>
                <w:szCs w:val="20"/>
                <w:color w:val="auto"/>
              </w:rPr>
            </w:pPr>
            <w:r>
              <w:rPr>
                <w:rFonts w:ascii="Arial" w:cs="Arial" w:eastAsia="Arial" w:hAnsi="Arial"/>
                <w:sz w:val="18"/>
                <w:szCs w:val="18"/>
                <w:color w:val="auto"/>
              </w:rPr>
              <w:t>Comptroller of the Currency</w:t>
            </w:r>
          </w:p>
        </w:tc>
        <w:tc>
          <w:tcPr>
            <w:tcW w:w="220" w:type="dxa"/>
            <w:vAlign w:val="bottom"/>
          </w:tcPr>
          <w:p>
            <w:pPr>
              <w:spacing w:after="0"/>
              <w:rPr>
                <w:sz w:val="16"/>
                <w:szCs w:val="16"/>
                <w:color w:val="auto"/>
              </w:rPr>
            </w:pP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Washington, DC 20219</w:t>
            </w:r>
          </w:p>
        </w:tc>
      </w:tr>
      <w:tr>
        <w:trPr>
          <w:trHeight w:val="230"/>
        </w:trPr>
        <w:tc>
          <w:tcPr>
            <w:tcW w:w="5180" w:type="dxa"/>
            <w:vAlign w:val="bottom"/>
            <w:gridSpan w:val="3"/>
          </w:tcPr>
          <w:p>
            <w:pPr>
              <w:spacing w:after="0"/>
              <w:rPr>
                <w:sz w:val="20"/>
                <w:szCs w:val="20"/>
                <w:color w:val="auto"/>
              </w:rPr>
            </w:pPr>
            <w:r>
              <w:rPr>
                <w:rFonts w:ascii="Arial" w:cs="Arial" w:eastAsia="Arial" w:hAnsi="Arial"/>
                <w:sz w:val="18"/>
                <w:szCs w:val="18"/>
                <w:color w:val="auto"/>
              </w:rPr>
              <w:t>United States Department of the Treasury</w:t>
            </w:r>
          </w:p>
        </w:tc>
        <w:tc>
          <w:tcPr>
            <w:tcW w:w="2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38"/>
        </w:trPr>
        <w:tc>
          <w:tcPr>
            <w:tcW w:w="5180" w:type="dxa"/>
            <w:vAlign w:val="bottom"/>
            <w:gridSpan w:val="3"/>
          </w:tcPr>
          <w:p>
            <w:pPr>
              <w:spacing w:after="0"/>
              <w:rPr>
                <w:sz w:val="20"/>
                <w:szCs w:val="20"/>
                <w:color w:val="auto"/>
              </w:rPr>
            </w:pPr>
            <w:r>
              <w:rPr>
                <w:rFonts w:ascii="Arial" w:cs="Arial" w:eastAsia="Arial" w:hAnsi="Arial"/>
                <w:sz w:val="18"/>
                <w:szCs w:val="18"/>
                <w:color w:val="auto"/>
              </w:rPr>
              <w:t>Federal Reserve Bank</w:t>
            </w:r>
          </w:p>
        </w:tc>
        <w:tc>
          <w:tcPr>
            <w:tcW w:w="4960" w:type="dxa"/>
            <w:vAlign w:val="bottom"/>
            <w:gridSpan w:val="2"/>
          </w:tcPr>
          <w:p>
            <w:pPr>
              <w:ind w:left="200"/>
              <w:spacing w:after="0"/>
              <w:rPr>
                <w:sz w:val="20"/>
                <w:szCs w:val="20"/>
                <w:color w:val="auto"/>
              </w:rPr>
            </w:pPr>
            <w:r>
              <w:rPr>
                <w:rFonts w:ascii="Arial" w:cs="Arial" w:eastAsia="Arial" w:hAnsi="Arial"/>
                <w:sz w:val="18"/>
                <w:szCs w:val="18"/>
                <w:color w:val="auto"/>
              </w:rPr>
              <w:t>San Francisco, CA 94105</w:t>
            </w:r>
          </w:p>
        </w:tc>
      </w:tr>
      <w:tr>
        <w:trPr>
          <w:trHeight w:val="324"/>
        </w:trPr>
        <w:tc>
          <w:tcPr>
            <w:tcW w:w="5180" w:type="dxa"/>
            <w:vAlign w:val="bottom"/>
            <w:gridSpan w:val="3"/>
          </w:tcPr>
          <w:p>
            <w:pPr>
              <w:spacing w:after="0"/>
              <w:rPr>
                <w:sz w:val="20"/>
                <w:szCs w:val="20"/>
                <w:color w:val="auto"/>
              </w:rPr>
            </w:pPr>
            <w:r>
              <w:rPr>
                <w:rFonts w:ascii="Arial" w:cs="Arial" w:eastAsia="Arial" w:hAnsi="Arial"/>
                <w:sz w:val="18"/>
                <w:szCs w:val="18"/>
                <w:color w:val="auto"/>
              </w:rPr>
              <w:t>Federal Deposit Insurance Corporation</w:t>
            </w:r>
          </w:p>
        </w:tc>
        <w:tc>
          <w:tcPr>
            <w:tcW w:w="4960" w:type="dxa"/>
            <w:vAlign w:val="bottom"/>
            <w:gridSpan w:val="2"/>
          </w:tcPr>
          <w:p>
            <w:pPr>
              <w:ind w:left="200"/>
              <w:spacing w:after="0"/>
              <w:rPr>
                <w:sz w:val="20"/>
                <w:szCs w:val="20"/>
                <w:color w:val="auto"/>
              </w:rPr>
            </w:pPr>
            <w:r>
              <w:rPr>
                <w:rFonts w:ascii="Arial" w:cs="Arial" w:eastAsia="Arial" w:hAnsi="Arial"/>
                <w:sz w:val="18"/>
                <w:szCs w:val="18"/>
                <w:color w:val="auto"/>
              </w:rPr>
              <w:t>Washington, DC 20429</w:t>
            </w:r>
          </w:p>
        </w:tc>
      </w:tr>
      <w:tr>
        <w:trPr>
          <w:trHeight w:val="459"/>
        </w:trPr>
        <w:tc>
          <w:tcPr>
            <w:tcW w:w="420" w:type="dxa"/>
            <w:vAlign w:val="bottom"/>
            <w:gridSpan w:val="2"/>
          </w:tcPr>
          <w:p>
            <w:pPr>
              <w:spacing w:after="0"/>
              <w:rPr>
                <w:sz w:val="20"/>
                <w:szCs w:val="20"/>
                <w:color w:val="auto"/>
              </w:rPr>
            </w:pPr>
            <w:r>
              <w:rPr>
                <w:rFonts w:ascii="Arial" w:cs="Arial" w:eastAsia="Arial" w:hAnsi="Arial"/>
                <w:sz w:val="18"/>
                <w:szCs w:val="18"/>
                <w:b w:val="1"/>
                <w:bCs w:val="1"/>
                <w:color w:val="auto"/>
              </w:rPr>
              <w:t>(b)</w:t>
            </w:r>
          </w:p>
        </w:tc>
        <w:tc>
          <w:tcPr>
            <w:tcW w:w="4760" w:type="dxa"/>
            <w:vAlign w:val="bottom"/>
          </w:tcPr>
          <w:p>
            <w:pPr>
              <w:ind w:left="120"/>
              <w:spacing w:after="0"/>
              <w:rPr>
                <w:sz w:val="20"/>
                <w:szCs w:val="20"/>
                <w:color w:val="auto"/>
              </w:rPr>
            </w:pPr>
            <w:r>
              <w:rPr>
                <w:rFonts w:ascii="Arial" w:cs="Arial" w:eastAsia="Arial" w:hAnsi="Arial"/>
                <w:sz w:val="18"/>
                <w:szCs w:val="18"/>
                <w:b w:val="1"/>
                <w:bCs w:val="1"/>
                <w:color w:val="auto"/>
                <w:w w:val="90"/>
              </w:rPr>
              <w:t>Whether it is authorized to exercise corporate trust powers.</w:t>
            </w:r>
          </w:p>
        </w:tc>
        <w:tc>
          <w:tcPr>
            <w:tcW w:w="2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324"/>
        </w:trPr>
        <w:tc>
          <w:tcPr>
            <w:tcW w:w="420" w:type="dxa"/>
            <w:vAlign w:val="bottom"/>
            <w:gridSpan w:val="2"/>
          </w:tcPr>
          <w:p>
            <w:pPr>
              <w:spacing w:after="0"/>
              <w:rPr>
                <w:sz w:val="20"/>
                <w:szCs w:val="20"/>
                <w:color w:val="auto"/>
              </w:rPr>
            </w:pPr>
            <w:r>
              <w:rPr>
                <w:rFonts w:ascii="Arial" w:cs="Arial" w:eastAsia="Arial" w:hAnsi="Arial"/>
                <w:sz w:val="18"/>
                <w:szCs w:val="18"/>
                <w:color w:val="auto"/>
              </w:rPr>
              <w:t>Yes.</w:t>
            </w:r>
          </w:p>
        </w:tc>
        <w:tc>
          <w:tcPr>
            <w:tcW w:w="4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pacing w:after="0" w:line="225" w:lineRule="exact"/>
        <w:rPr>
          <w:sz w:val="20"/>
          <w:szCs w:val="20"/>
          <w:color w:val="auto"/>
        </w:rPr>
      </w:pPr>
    </w:p>
    <w:p>
      <w:pPr>
        <w:ind w:left="436" w:hanging="436"/>
        <w:spacing w:after="0"/>
        <w:tabs>
          <w:tab w:leader="none" w:pos="436"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Affiliations with Obligor.</w:t>
      </w:r>
    </w:p>
    <w:p>
      <w:pPr>
        <w:spacing w:after="0" w:line="117" w:lineRule="exact"/>
        <w:rPr>
          <w:rFonts w:ascii="Arial" w:cs="Arial" w:eastAsia="Arial" w:hAnsi="Arial"/>
          <w:sz w:val="18"/>
          <w:szCs w:val="18"/>
          <w:b w:val="1"/>
          <w:bCs w:val="1"/>
          <w:color w:val="auto"/>
        </w:rPr>
      </w:pPr>
    </w:p>
    <w:p>
      <w:pPr>
        <w:ind w:left="436" w:right="5060"/>
        <w:spacing w:after="0" w:line="407"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If the obligor is an affiliate of the trustee, describe each such affiliation. </w:t>
      </w:r>
      <w:r>
        <w:rPr>
          <w:rFonts w:ascii="Arial" w:cs="Arial" w:eastAsia="Arial" w:hAnsi="Arial"/>
          <w:sz w:val="18"/>
          <w:szCs w:val="18"/>
          <w:color w:val="auto"/>
        </w:rPr>
        <w:t>None.</w:t>
      </w:r>
    </w:p>
    <w:p>
      <w:pPr>
        <w:spacing w:after="0" w:line="81" w:lineRule="exact"/>
        <w:rPr>
          <w:sz w:val="20"/>
          <w:szCs w:val="20"/>
          <w:color w:val="auto"/>
        </w:rPr>
      </w:pPr>
    </w:p>
    <w:p>
      <w:pPr>
        <w:ind w:left="436" w:hanging="436"/>
        <w:spacing w:after="0"/>
        <w:tabs>
          <w:tab w:leader="none" w:pos="436"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List of Exhibits.</w:t>
      </w:r>
    </w:p>
    <w:p>
      <w:pPr>
        <w:spacing w:after="0" w:line="117" w:lineRule="exact"/>
        <w:rPr>
          <w:rFonts w:ascii="Arial" w:cs="Arial" w:eastAsia="Arial" w:hAnsi="Arial"/>
          <w:sz w:val="18"/>
          <w:szCs w:val="18"/>
          <w:b w:val="1"/>
          <w:bCs w:val="1"/>
          <w:color w:val="auto"/>
        </w:rPr>
      </w:pPr>
    </w:p>
    <w:p>
      <w:pPr>
        <w:ind w:left="436"/>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71" w:lineRule="exact"/>
        <w:rPr>
          <w:rFonts w:ascii="Arial" w:cs="Arial" w:eastAsia="Arial" w:hAnsi="Arial"/>
          <w:sz w:val="18"/>
          <w:szCs w:val="18"/>
          <w:b w:val="1"/>
          <w:bCs w:val="1"/>
          <w:color w:val="auto"/>
        </w:rPr>
      </w:pPr>
    </w:p>
    <w:p>
      <w:pPr>
        <w:ind w:left="976" w:right="140" w:hanging="544"/>
        <w:spacing w:after="0" w:line="264" w:lineRule="auto"/>
        <w:tabs>
          <w:tab w:leader="none" w:pos="976"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copy of the articles of association of The Bank of New York Mellon Trust Company, N.A., formerly known as The Bank of New York Trust Company, N.A. (Exhibit 1 to Form T-1 filed with Registration Statement No. 333-121948 and Exhibit 1 to Form T-1 filed with Registration Statement No. 333-152875).</w:t>
      </w:r>
    </w:p>
    <w:p>
      <w:pPr>
        <w:spacing w:after="0" w:line="86" w:lineRule="exact"/>
        <w:rPr>
          <w:rFonts w:ascii="Arial" w:cs="Arial" w:eastAsia="Arial" w:hAnsi="Arial"/>
          <w:sz w:val="18"/>
          <w:szCs w:val="18"/>
          <w:color w:val="auto"/>
        </w:rPr>
      </w:pPr>
    </w:p>
    <w:p>
      <w:pPr>
        <w:ind w:left="976" w:right="800" w:hanging="544"/>
        <w:spacing w:after="0" w:line="277" w:lineRule="auto"/>
        <w:tabs>
          <w:tab w:leader="none" w:pos="976"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copy of certificate of authority of the trustee to commence business. (Exhibit 2 to Form T-1 filed with Registration Statement No.333-121948).</w:t>
      </w:r>
    </w:p>
    <w:p>
      <w:pPr>
        <w:spacing w:after="0" w:line="75" w:lineRule="exact"/>
        <w:rPr>
          <w:rFonts w:ascii="Arial" w:cs="Arial" w:eastAsia="Arial" w:hAnsi="Arial"/>
          <w:sz w:val="18"/>
          <w:szCs w:val="18"/>
          <w:color w:val="auto"/>
        </w:rPr>
      </w:pPr>
    </w:p>
    <w:p>
      <w:pPr>
        <w:ind w:left="976" w:right="440" w:hanging="544"/>
        <w:spacing w:after="0" w:line="277" w:lineRule="auto"/>
        <w:tabs>
          <w:tab w:leader="none" w:pos="976"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copy of the authorization of the trustee to exercise corporate trust powers (Exhibit 3 to Form T-1 filed with Registration Statement No.333-152875).</w:t>
      </w:r>
    </w:p>
    <w:p>
      <w:pPr>
        <w:spacing w:after="0" w:line="102" w:lineRule="exact"/>
        <w:rPr>
          <w:rFonts w:ascii="Arial" w:cs="Arial" w:eastAsia="Arial" w:hAnsi="Arial"/>
          <w:sz w:val="18"/>
          <w:szCs w:val="18"/>
          <w:color w:val="auto"/>
        </w:rPr>
      </w:pPr>
    </w:p>
    <w:p>
      <w:pPr>
        <w:ind w:left="5456" w:hanging="96"/>
        <w:spacing w:after="0"/>
        <w:tabs>
          <w:tab w:leader="none" w:pos="5456" w:val="left"/>
        </w:tabs>
        <w:numPr>
          <w:ilvl w:val="2"/>
          <w:numId w:val="37"/>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56"/>
          </w:cols>
          <w:pgMar w:left="444" w:top="270" w:right="499" w:bottom="1440" w:gutter="0" w:footer="0" w:header="0"/>
        </w:sectPr>
      </w:pPr>
    </w:p>
    <w:bookmarkStart w:id="52" w:name="page53"/>
    <w:bookmarkEnd w:id="52"/>
    <w:p>
      <w:pPr>
        <w:ind w:left="544" w:hanging="544"/>
        <w:spacing w:after="0"/>
        <w:tabs>
          <w:tab w:leader="none" w:pos="544"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copy of the existing by-laws of the trustee (Exhibit 4 to Form T-1 filed with Registration Statement No. 333-229762).</w:t>
      </w:r>
    </w:p>
    <w:p>
      <w:pPr>
        <w:spacing w:after="0" w:line="131" w:lineRule="exact"/>
        <w:rPr>
          <w:sz w:val="20"/>
          <w:szCs w:val="20"/>
          <w:color w:val="auto"/>
        </w:rPr>
      </w:pPr>
    </w:p>
    <w:p>
      <w:pPr>
        <w:ind w:left="544" w:hanging="544"/>
        <w:spacing w:after="0"/>
        <w:tabs>
          <w:tab w:leader="none" w:pos="544"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consent of the trustee required by Section 321(b) of the Act (Exhibit 6 to Form T-1 filed with Registration Statement No. 333-152875).</w:t>
      </w:r>
    </w:p>
    <w:p>
      <w:pPr>
        <w:spacing w:after="0" w:line="153" w:lineRule="exact"/>
        <w:rPr>
          <w:rFonts w:ascii="Arial" w:cs="Arial" w:eastAsia="Arial" w:hAnsi="Arial"/>
          <w:sz w:val="16"/>
          <w:szCs w:val="16"/>
          <w:color w:val="auto"/>
        </w:rPr>
      </w:pPr>
    </w:p>
    <w:p>
      <w:pPr>
        <w:ind w:left="544" w:right="380" w:hanging="544"/>
        <w:spacing w:after="0" w:line="277" w:lineRule="auto"/>
        <w:tabs>
          <w:tab w:leader="none" w:pos="5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copy of the latest report of condition of the Trustee published pursuant to law or to the requirements of its supervising or examining authority.</w:t>
      </w:r>
    </w:p>
    <w:p>
      <w:pPr>
        <w:spacing w:after="0" w:line="102" w:lineRule="exact"/>
        <w:rPr>
          <w:rFonts w:ascii="Arial" w:cs="Arial" w:eastAsia="Arial" w:hAnsi="Arial"/>
          <w:sz w:val="18"/>
          <w:szCs w:val="18"/>
          <w:color w:val="auto"/>
        </w:rPr>
      </w:pPr>
    </w:p>
    <w:p>
      <w:pPr>
        <w:ind w:left="5024" w:hanging="96"/>
        <w:spacing w:after="0"/>
        <w:tabs>
          <w:tab w:leader="none" w:pos="5024" w:val="left"/>
        </w:tabs>
        <w:numPr>
          <w:ilvl w:val="1"/>
          <w:numId w:val="39"/>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584"/>
          </w:cols>
          <w:pgMar w:left="876" w:top="274" w:right="439" w:bottom="1440" w:gutter="0" w:footer="0" w:header="0"/>
        </w:sectPr>
      </w:pPr>
    </w:p>
    <w:bookmarkStart w:id="53" w:name="page54"/>
    <w:bookmarkEnd w:id="53"/>
    <w:p>
      <w:pPr>
        <w:jc w:val="center"/>
        <w:ind w:right="-2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Chicago, and State of Illinois, on the 20th day of February, 2020.</w:t>
      </w:r>
    </w:p>
    <w:p>
      <w:pPr>
        <w:spacing w:after="0" w:line="20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THE BANK OF NEW YORK MELLON TRUST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COMPANY, N.A.</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Lawrence M. Kusch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730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Lawrence M. Kusch</w:t>
      </w:r>
    </w:p>
    <w:p>
      <w:pPr>
        <w:spacing w:after="0" w:line="23" w:lineRule="exact"/>
        <w:rPr>
          <w:sz w:val="20"/>
          <w:szCs w:val="20"/>
          <w:color w:val="auto"/>
        </w:rPr>
      </w:pPr>
    </w:p>
    <w:p>
      <w:pPr>
        <w:ind w:left="6980"/>
        <w:spacing w:after="0"/>
        <w:tabs>
          <w:tab w:leader="none" w:pos="754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780"/>
          </w:cols>
          <w:pgMar w:left="440" w:top="274" w:right="679" w:bottom="1440" w:gutter="0" w:footer="0" w:header="0"/>
        </w:sectPr>
      </w:pPr>
    </w:p>
    <w:bookmarkStart w:id="54" w:name="page55"/>
    <w:bookmarkEnd w:id="54"/>
    <w:p>
      <w:pPr>
        <w:ind w:left="10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7</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Report of Condition of</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BANK OF NEW YORK MELLON TRUST COMPANY, N.A.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of 400 South Hope Street, Suite 500, Los Angeles, CA 90071</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the close of business December 31, 2019, published in accordance with Federal regulatory authority instructions.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3180" w:type="dxa"/>
            <w:vAlign w:val="bottom"/>
            <w:gridSpan w:val="3"/>
          </w:tcPr>
          <w:p>
            <w:pPr>
              <w:jc w:val="center"/>
              <w:ind w:left="1991"/>
              <w:spacing w:after="0"/>
              <w:rPr>
                <w:sz w:val="20"/>
                <w:szCs w:val="20"/>
                <w:color w:val="auto"/>
              </w:rPr>
            </w:pPr>
            <w:r>
              <w:rPr>
                <w:rFonts w:ascii="Arial" w:cs="Arial" w:eastAsia="Arial" w:hAnsi="Arial"/>
                <w:sz w:val="14"/>
                <w:szCs w:val="14"/>
                <w:b w:val="1"/>
                <w:bCs w:val="1"/>
                <w:color w:val="auto"/>
                <w:w w:val="92"/>
              </w:rPr>
              <w:t>Dollar amounts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6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7200" w:type="dxa"/>
            <w:vAlign w:val="bottom"/>
            <w:tcBorders>
              <w:top w:val="single" w:sz="8" w:color="CCEEFF"/>
              <w:bottom w:val="single" w:sz="8" w:color="CCEEFF"/>
            </w:tcBorders>
            <w:shd w:val="clear" w:color="auto" w:fill="CCEEFF"/>
          </w:tcPr>
          <w:p>
            <w:pPr>
              <w:spacing w:after="0"/>
              <w:rPr>
                <w:sz w:val="15"/>
                <w:szCs w:val="15"/>
                <w:color w:val="auto"/>
              </w:rPr>
            </w:pPr>
          </w:p>
        </w:tc>
        <w:tc>
          <w:tcPr>
            <w:tcW w:w="216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Cash and balances due from depository institutions:</w:t>
            </w: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Noninterest-bearing balances and currency and coin</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0" w:type="dxa"/>
            <w:vAlign w:val="bottom"/>
          </w:tcPr>
          <w:p>
            <w:pPr>
              <w:ind w:left="60"/>
              <w:spacing w:after="0"/>
              <w:rPr>
                <w:sz w:val="20"/>
                <w:szCs w:val="20"/>
                <w:color w:val="auto"/>
              </w:rPr>
            </w:pPr>
            <w:r>
              <w:rPr>
                <w:rFonts w:ascii="Arial" w:cs="Arial" w:eastAsia="Arial" w:hAnsi="Arial"/>
                <w:sz w:val="18"/>
                <w:szCs w:val="18"/>
                <w:color w:val="auto"/>
              </w:rPr>
              <w:t>Interest-bearing balances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236,971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w:t>
            </w:r>
          </w:p>
        </w:tc>
        <w:tc>
          <w:tcPr>
            <w:tcW w:w="2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0" w:type="dxa"/>
            <w:vAlign w:val="bottom"/>
          </w:tcPr>
          <w:p>
            <w:pPr>
              <w:ind w:left="60"/>
              <w:spacing w:after="0"/>
              <w:rPr>
                <w:sz w:val="20"/>
                <w:szCs w:val="20"/>
                <w:color w:val="auto"/>
              </w:rPr>
            </w:pPr>
            <w:r>
              <w:rPr>
                <w:rFonts w:ascii="Arial" w:cs="Arial" w:eastAsia="Arial" w:hAnsi="Arial"/>
                <w:sz w:val="18"/>
                <w:szCs w:val="18"/>
                <w:color w:val="auto"/>
              </w:rPr>
              <w:t>Held-to-maturity securities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Available-for-sale securities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171,155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0" w:type="dxa"/>
            <w:vAlign w:val="bottom"/>
          </w:tcPr>
          <w:p>
            <w:pPr>
              <w:ind w:left="60"/>
              <w:spacing w:after="0"/>
              <w:rPr>
                <w:sz w:val="20"/>
                <w:szCs w:val="20"/>
                <w:color w:val="auto"/>
              </w:rPr>
            </w:pPr>
            <w:r>
              <w:rPr>
                <w:rFonts w:ascii="Arial" w:cs="Arial" w:eastAsia="Arial" w:hAnsi="Arial"/>
                <w:sz w:val="18"/>
                <w:szCs w:val="18"/>
                <w:color w:val="auto"/>
              </w:rPr>
              <w:t>Equity securities with readily determinable fair values not held for trading</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2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0" w:type="dxa"/>
            <w:vAlign w:val="bottom"/>
          </w:tcPr>
          <w:p>
            <w:pPr>
              <w:ind w:left="60"/>
              <w:spacing w:after="0"/>
              <w:rPr>
                <w:sz w:val="20"/>
                <w:szCs w:val="20"/>
                <w:color w:val="auto"/>
              </w:rPr>
            </w:pPr>
            <w:r>
              <w:rPr>
                <w:rFonts w:ascii="Arial" w:cs="Arial" w:eastAsia="Arial" w:hAnsi="Arial"/>
                <w:sz w:val="18"/>
                <w:szCs w:val="18"/>
                <w:color w:val="auto"/>
              </w:rPr>
              <w:t>Federal funds sold</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Securities purchased under agreements to resell</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Loans and lease financing receivables:</w:t>
            </w:r>
          </w:p>
        </w:tc>
        <w:tc>
          <w:tcPr>
            <w:tcW w:w="2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Loans and leases held for sale</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0" w:type="dxa"/>
            <w:vAlign w:val="bottom"/>
          </w:tcPr>
          <w:p>
            <w:pPr>
              <w:ind w:left="60"/>
              <w:spacing w:after="0"/>
              <w:rPr>
                <w:sz w:val="20"/>
                <w:szCs w:val="20"/>
                <w:color w:val="auto"/>
              </w:rPr>
            </w:pPr>
            <w:r>
              <w:rPr>
                <w:rFonts w:ascii="Arial" w:cs="Arial" w:eastAsia="Arial" w:hAnsi="Arial"/>
                <w:sz w:val="18"/>
                <w:szCs w:val="18"/>
                <w:color w:val="auto"/>
              </w:rPr>
              <w:t>Loans and leases, held for investment</w:t>
            </w:r>
          </w:p>
        </w:tc>
        <w:tc>
          <w:tcPr>
            <w:tcW w:w="2160" w:type="dxa"/>
            <w:vAlign w:val="bottom"/>
          </w:tcPr>
          <w:p>
            <w:pPr>
              <w:jc w:val="right"/>
              <w:ind w:right="191"/>
              <w:spacing w:after="0"/>
              <w:rPr>
                <w:sz w:val="20"/>
                <w:szCs w:val="20"/>
                <w:color w:val="auto"/>
              </w:rPr>
            </w:pPr>
            <w:r>
              <w:rPr>
                <w:rFonts w:ascii="Arial" w:cs="Arial" w:eastAsia="Arial" w:hAnsi="Arial"/>
                <w:sz w:val="18"/>
                <w:szCs w:val="18"/>
                <w:color w:val="auto"/>
              </w:rPr>
              <w:t>0</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LESS: Allowance for loan and lease losses</w:t>
            </w:r>
          </w:p>
        </w:tc>
        <w:tc>
          <w:tcPr>
            <w:tcW w:w="21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0" w:type="dxa"/>
            <w:vAlign w:val="bottom"/>
          </w:tcPr>
          <w:p>
            <w:pPr>
              <w:ind w:left="60"/>
              <w:spacing w:after="0"/>
              <w:rPr>
                <w:sz w:val="20"/>
                <w:szCs w:val="20"/>
                <w:color w:val="auto"/>
              </w:rPr>
            </w:pPr>
            <w:r>
              <w:rPr>
                <w:rFonts w:ascii="Arial" w:cs="Arial" w:eastAsia="Arial" w:hAnsi="Arial"/>
                <w:sz w:val="18"/>
                <w:szCs w:val="18"/>
                <w:color w:val="auto"/>
              </w:rPr>
              <w:t>Loans and leases held for investment, net of allowance</w:t>
            </w:r>
          </w:p>
        </w:tc>
        <w:tc>
          <w:tcPr>
            <w:tcW w:w="2160" w:type="dxa"/>
            <w:vAlign w:val="bottom"/>
          </w:tcPr>
          <w:p>
            <w:pPr>
              <w:jc w:val="right"/>
              <w:ind w:right="191"/>
              <w:spacing w:after="0"/>
              <w:rPr>
                <w:sz w:val="20"/>
                <w:szCs w:val="20"/>
                <w:color w:val="auto"/>
              </w:rPr>
            </w:pPr>
            <w:r>
              <w:rPr>
                <w:rFonts w:ascii="Arial" w:cs="Arial" w:eastAsia="Arial" w:hAnsi="Arial"/>
                <w:sz w:val="18"/>
                <w:szCs w:val="18"/>
                <w:color w:val="auto"/>
              </w:rPr>
              <w:t>0</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assets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23,484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real estate owned</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856,313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6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1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1,393,647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gridSpan w:val="3"/>
            <w:vMerge w:val="restart"/>
          </w:tcPr>
          <w:p>
            <w:pPr>
              <w:jc w:val="right"/>
              <w:ind w:right="2110"/>
              <w:spacing w:after="0"/>
              <w:rPr>
                <w:sz w:val="20"/>
                <w:szCs w:val="20"/>
                <w:color w:val="auto"/>
              </w:rPr>
            </w:pPr>
            <w:r>
              <w:rPr>
                <w:rFonts w:ascii="Arial" w:cs="Arial" w:eastAsia="Arial" w:hAnsi="Arial"/>
                <w:sz w:val="18"/>
                <w:szCs w:val="18"/>
                <w:color w:val="auto"/>
              </w:rPr>
              <w:t>- 5 -</w:t>
            </w:r>
          </w:p>
        </w:tc>
        <w:tc>
          <w:tcPr>
            <w:tcW w:w="2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60" w:type="dxa"/>
            <w:vAlign w:val="bottom"/>
            <w:gridSpan w:val="3"/>
            <w:vMerge w:val="continue"/>
          </w:tcPr>
          <w:p>
            <w:pPr>
              <w:spacing w:after="0"/>
              <w:rPr>
                <w:sz w:val="24"/>
                <w:szCs w:val="24"/>
                <w:color w:val="auto"/>
              </w:rPr>
            </w:pPr>
          </w:p>
        </w:tc>
        <w:tc>
          <w:tcPr>
            <w:tcW w:w="2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55" w:name="page56"/>
    <w:bookmarkEnd w:id="5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7"/>
        </w:trPr>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7320" w:type="dxa"/>
            <w:vAlign w:val="bottom"/>
            <w:tcBorders>
              <w:bottom w:val="single" w:sz="8" w:color="CCEEFF"/>
            </w:tcBorders>
            <w:gridSpan w:val="2"/>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spacing w:after="0"/>
              <w:rPr>
                <w:sz w:val="20"/>
                <w:szCs w:val="20"/>
                <w:color w:val="auto"/>
              </w:rPr>
            </w:pPr>
            <w:r>
              <w:rPr>
                <w:rFonts w:ascii="Arial" w:cs="Arial" w:eastAsia="Arial" w:hAnsi="Arial"/>
                <w:sz w:val="18"/>
                <w:szCs w:val="18"/>
                <w:color w:val="auto"/>
              </w:rPr>
              <w:t>Deposits:</w:t>
            </w:r>
          </w:p>
        </w:tc>
        <w:tc>
          <w:tcPr>
            <w:tcW w:w="1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 domestic offices</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ind w:left="700"/>
              <w:spacing w:after="0"/>
              <w:rPr>
                <w:sz w:val="20"/>
                <w:szCs w:val="20"/>
                <w:color w:val="auto"/>
              </w:rPr>
            </w:pPr>
            <w:r>
              <w:rPr>
                <w:rFonts w:ascii="Arial" w:cs="Arial" w:eastAsia="Arial" w:hAnsi="Arial"/>
                <w:sz w:val="18"/>
                <w:szCs w:val="18"/>
                <w:color w:val="auto"/>
              </w:rPr>
              <w:t>Noninterest-bearing</w:t>
            </w: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3,658</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Interest-bearing</w:t>
            </w:r>
          </w:p>
        </w:tc>
        <w:tc>
          <w:tcPr>
            <w:tcW w:w="1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ind w:left="340"/>
              <w:spacing w:after="0"/>
              <w:rPr>
                <w:sz w:val="20"/>
                <w:szCs w:val="20"/>
                <w:color w:val="auto"/>
              </w:rPr>
            </w:pPr>
            <w:r>
              <w:rPr>
                <w:rFonts w:ascii="Arial" w:cs="Arial" w:eastAsia="Arial" w:hAnsi="Arial"/>
                <w:sz w:val="18"/>
                <w:szCs w:val="18"/>
                <w:color w:val="auto"/>
              </w:rPr>
              <w:t>Not applicable</w:t>
            </w:r>
          </w:p>
        </w:tc>
        <w:tc>
          <w:tcPr>
            <w:tcW w:w="1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1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ind w:left="700"/>
              <w:spacing w:after="0"/>
              <w:rPr>
                <w:sz w:val="20"/>
                <w:szCs w:val="20"/>
                <w:color w:val="auto"/>
              </w:rPr>
            </w:pPr>
            <w:r>
              <w:rPr>
                <w:rFonts w:ascii="Arial" w:cs="Arial" w:eastAsia="Arial" w:hAnsi="Arial"/>
                <w:sz w:val="18"/>
                <w:szCs w:val="18"/>
                <w:color w:val="auto"/>
              </w:rPr>
              <w:t>Federal funds purchased</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Securities sold under agreements to repurchase</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spacing w:after="0"/>
              <w:rPr>
                <w:sz w:val="20"/>
                <w:szCs w:val="20"/>
                <w:color w:val="auto"/>
              </w:rPr>
            </w:pPr>
            <w:r>
              <w:rPr>
                <w:rFonts w:ascii="Arial" w:cs="Arial" w:eastAsia="Arial" w:hAnsi="Arial"/>
                <w:sz w:val="18"/>
                <w:szCs w:val="18"/>
                <w:color w:val="auto"/>
              </w:rPr>
              <w:t>Trading liabilities</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borrowed money: (includes mortgage indebtedness and obligations under capitalized leases)</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1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1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spacing w:after="0"/>
              <w:rPr>
                <w:sz w:val="20"/>
                <w:szCs w:val="20"/>
                <w:color w:val="auto"/>
              </w:rPr>
            </w:pPr>
            <w:r>
              <w:rPr>
                <w:rFonts w:ascii="Arial" w:cs="Arial" w:eastAsia="Arial" w:hAnsi="Arial"/>
                <w:sz w:val="18"/>
                <w:szCs w:val="18"/>
                <w:color w:val="auto"/>
              </w:rPr>
              <w:t>Subordinated notes and debentures</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253,822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1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8360" w:type="dxa"/>
            <w:vAlign w:val="bottom"/>
            <w:gridSpan w:val="4"/>
          </w:tcPr>
          <w:p>
            <w:pPr>
              <w:spacing w:after="0"/>
              <w:rPr>
                <w:sz w:val="20"/>
                <w:szCs w:val="20"/>
                <w:color w:val="auto"/>
              </w:rPr>
            </w:pPr>
            <w:r>
              <w:rPr>
                <w:rFonts w:ascii="Arial" w:cs="Arial" w:eastAsia="Arial" w:hAnsi="Arial"/>
                <w:sz w:val="18"/>
                <w:szCs w:val="18"/>
                <w:color w:val="auto"/>
              </w:rPr>
              <w:t>EQUITY CAPITAL</w:t>
            </w:r>
          </w:p>
        </w:tc>
        <w:tc>
          <w:tcPr>
            <w:tcW w:w="1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Perpetual preferred stock and related surplus</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spacing w:after="0"/>
              <w:rPr>
                <w:sz w:val="20"/>
                <w:szCs w:val="20"/>
                <w:color w:val="auto"/>
              </w:rPr>
            </w:pPr>
            <w:r>
              <w:rPr>
                <w:rFonts w:ascii="Arial" w:cs="Arial" w:eastAsia="Arial" w:hAnsi="Arial"/>
                <w:sz w:val="18"/>
                <w:szCs w:val="18"/>
                <w:color w:val="auto"/>
              </w:rPr>
              <w:t>Common stock</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323,946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spacing w:after="0"/>
              <w:rPr>
                <w:sz w:val="20"/>
                <w:szCs w:val="20"/>
                <w:color w:val="auto"/>
              </w:rPr>
            </w:pPr>
            <w:r>
              <w:rPr>
                <w:rFonts w:ascii="Arial" w:cs="Arial" w:eastAsia="Arial" w:hAnsi="Arial"/>
                <w:sz w:val="18"/>
                <w:szCs w:val="18"/>
                <w:color w:val="auto"/>
              </w:rPr>
              <w:t>Not available</w:t>
            </w:r>
          </w:p>
        </w:tc>
        <w:tc>
          <w:tcPr>
            <w:tcW w:w="1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814,573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306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equity capital components</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spacing w:after="0"/>
              <w:rPr>
                <w:sz w:val="20"/>
                <w:szCs w:val="20"/>
                <w:color w:val="auto"/>
              </w:rPr>
            </w:pPr>
            <w:r>
              <w:rPr>
                <w:rFonts w:ascii="Arial" w:cs="Arial" w:eastAsia="Arial" w:hAnsi="Arial"/>
                <w:sz w:val="18"/>
                <w:szCs w:val="18"/>
                <w:color w:val="auto"/>
              </w:rPr>
              <w:t>Not available</w:t>
            </w:r>
          </w:p>
        </w:tc>
        <w:tc>
          <w:tcPr>
            <w:tcW w:w="1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bank equity capital</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1,139,825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ind w:left="340"/>
              <w:spacing w:after="0"/>
              <w:rPr>
                <w:sz w:val="20"/>
                <w:szCs w:val="20"/>
                <w:color w:val="auto"/>
              </w:rPr>
            </w:pPr>
            <w:r>
              <w:rPr>
                <w:rFonts w:ascii="Arial" w:cs="Arial" w:eastAsia="Arial" w:hAnsi="Arial"/>
                <w:sz w:val="18"/>
                <w:szCs w:val="18"/>
                <w:color w:val="auto"/>
              </w:rPr>
              <w:t>Noncontrolling (minority) interests in consolidated subsidiaries</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equity capital</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1,139,825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60" w:type="dxa"/>
            <w:vAlign w:val="bottom"/>
            <w:gridSpan w:val="4"/>
          </w:tcPr>
          <w:p>
            <w:pPr>
              <w:spacing w:after="0"/>
              <w:rPr>
                <w:sz w:val="20"/>
                <w:szCs w:val="20"/>
                <w:color w:val="auto"/>
              </w:rPr>
            </w:pPr>
            <w:r>
              <w:rPr>
                <w:rFonts w:ascii="Arial" w:cs="Arial" w:eastAsia="Arial" w:hAnsi="Arial"/>
                <w:sz w:val="18"/>
                <w:szCs w:val="18"/>
                <w:color w:val="auto"/>
              </w:rPr>
              <w:t>Total liabilities and equity capital</w:t>
            </w:r>
          </w:p>
        </w:tc>
        <w:tc>
          <w:tcPr>
            <w:tcW w:w="18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1,393,647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I, Matthew J. McNulty,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208" w:lineRule="exact"/>
        <w:rPr>
          <w:sz w:val="20"/>
          <w:szCs w:val="20"/>
          <w:color w:val="auto"/>
        </w:rPr>
      </w:pPr>
    </w:p>
    <w:p>
      <w:pPr>
        <w:ind w:left="360"/>
        <w:spacing w:after="0"/>
        <w:tabs>
          <w:tab w:leader="none" w:pos="2580" w:val="left"/>
          <w:tab w:leader="none" w:pos="2880" w:val="left"/>
        </w:tabs>
        <w:rPr>
          <w:sz w:val="20"/>
          <w:szCs w:val="20"/>
          <w:color w:val="auto"/>
        </w:rPr>
      </w:pPr>
      <w:r>
        <w:rPr>
          <w:rFonts w:ascii="Arial" w:cs="Arial" w:eastAsia="Arial" w:hAnsi="Arial"/>
          <w:sz w:val="18"/>
          <w:szCs w:val="18"/>
          <w:color w:val="auto"/>
        </w:rPr>
        <w:t>Matthew J. McNulty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CFO</w:t>
      </w:r>
    </w:p>
    <w:p>
      <w:pPr>
        <w:spacing w:after="0" w:line="225" w:lineRule="exact"/>
        <w:rPr>
          <w:sz w:val="20"/>
          <w:szCs w:val="20"/>
          <w:color w:val="auto"/>
        </w:rPr>
      </w:pPr>
    </w:p>
    <w:p>
      <w:pPr>
        <w:jc w:val="both"/>
        <w:ind w:right="300" w:firstLine="441"/>
        <w:spacing w:after="0" w:line="264" w:lineRule="auto"/>
        <w:rPr>
          <w:sz w:val="20"/>
          <w:szCs w:val="20"/>
          <w:color w:val="auto"/>
        </w:rPr>
      </w:pPr>
      <w:r>
        <w:rPr>
          <w:rFonts w:ascii="Arial" w:cs="Arial" w:eastAsia="Arial" w:hAnsi="Arial"/>
          <w:sz w:val="18"/>
          <w:szCs w:val="18"/>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ectPr>
          <w:pgSz w:w="11900" w:h="16838" w:orient="portrait"/>
          <w:cols w:equalWidth="0" w:num="1">
            <w:col w:w="11040"/>
          </w:cols>
          <w:pgMar w:left="440" w:top="257" w:right="419" w:bottom="1440" w:gutter="0" w:footer="0" w:header="0"/>
        </w:sectPr>
      </w:pPr>
    </w:p>
    <w:p>
      <w:pPr>
        <w:spacing w:after="0" w:line="87" w:lineRule="exact"/>
        <w:rPr>
          <w:sz w:val="20"/>
          <w:szCs w:val="20"/>
          <w:color w:val="auto"/>
        </w:rPr>
      </w:pPr>
    </w:p>
    <w:p>
      <w:pPr>
        <w:ind w:left="360" w:hanging="9"/>
        <w:spacing w:after="0" w:line="312" w:lineRule="auto"/>
        <w:rPr>
          <w:sz w:val="20"/>
          <w:szCs w:val="20"/>
          <w:color w:val="auto"/>
        </w:rPr>
      </w:pPr>
      <w:r>
        <w:rPr>
          <w:rFonts w:ascii="Arial" w:cs="Arial" w:eastAsia="Arial" w:hAnsi="Arial"/>
          <w:sz w:val="16"/>
          <w:szCs w:val="16"/>
          <w:color w:val="auto"/>
        </w:rPr>
        <w:t>Antonio I. Portuondo, President Michael P. Scott, Managing Director Kevin P. Caffrey, Managing Director</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Directors (Trustees)</w:t>
      </w:r>
    </w:p>
    <w:p>
      <w:pPr>
        <w:spacing w:after="0" w:line="396" w:lineRule="exact"/>
        <w:rPr>
          <w:sz w:val="20"/>
          <w:szCs w:val="20"/>
          <w:color w:val="auto"/>
        </w:rPr>
      </w:pPr>
    </w:p>
    <w:p>
      <w:pPr>
        <w:sectPr>
          <w:pgSz w:w="11900" w:h="16838" w:orient="portrait"/>
          <w:cols w:equalWidth="0" w:num="3">
            <w:col w:w="3020" w:space="160"/>
            <w:col w:w="60" w:space="160"/>
            <w:col w:w="7640"/>
          </w:cols>
          <w:pgMar w:left="440" w:top="257" w:right="419" w:bottom="1440" w:gutter="0" w:footer="0" w:header="0"/>
          <w:type w:val="continuous"/>
        </w:sectPr>
      </w:pPr>
    </w:p>
    <w:p>
      <w:pPr>
        <w:jc w:val="center"/>
        <w:ind w:right="20"/>
        <w:spacing w:after="0"/>
        <w:rPr>
          <w:sz w:val="20"/>
          <w:szCs w:val="20"/>
          <w:color w:val="auto"/>
        </w:rPr>
      </w:pPr>
      <w:r>
        <w:rPr>
          <w:rFonts w:ascii="Arial" w:cs="Arial" w:eastAsia="Arial" w:hAnsi="Arial"/>
          <w:sz w:val="16"/>
          <w:szCs w:val="16"/>
          <w:color w:val="auto"/>
        </w:rPr>
        <w:t>- 6 -</w:t>
      </w:r>
    </w:p>
    <w:p>
      <w:pPr>
        <w:sectPr>
          <w:pgSz w:w="11900" w:h="16838" w:orient="portrait"/>
          <w:cols w:equalWidth="0" w:num="1">
            <w:col w:w="11040"/>
          </w:cols>
          <w:pgMar w:left="440" w:top="257" w:right="419" w:bottom="1440" w:gutter="0" w:footer="0" w:header="0"/>
          <w:type w:val="continuous"/>
        </w:sectPr>
      </w:pPr>
    </w:p>
    <w:bookmarkStart w:id="56" w:name="page57"/>
    <w:bookmarkEnd w:id="56"/>
    <w:p>
      <w:pPr>
        <w:ind w:left="10100"/>
        <w:spacing w:after="0"/>
        <w:rPr>
          <w:sz w:val="20"/>
          <w:szCs w:val="20"/>
          <w:color w:val="auto"/>
        </w:rPr>
      </w:pPr>
      <w:r>
        <w:rPr>
          <w:rFonts w:ascii="Arial" w:cs="Arial" w:eastAsia="Arial" w:hAnsi="Arial"/>
          <w:sz w:val="16"/>
          <w:szCs w:val="16"/>
          <w:b w:val="1"/>
          <w:bCs w:val="1"/>
          <w:color w:val="auto"/>
        </w:rPr>
        <w:t>Exhibit 99.1</w:t>
      </w:r>
    </w:p>
    <w:p>
      <w:pPr>
        <w:spacing w:after="0" w:line="252"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THIS DOCUMENT IS IMPORTANT AND REQUIRES YOUR IMMEDIATE ATTENTION. If you are in any doubt as to the action to be taken, you should immediately consult your broker, bank manager, lawyer, accountant, investment advisor or other professional adviser.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 OF TRANSMITTAL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Relating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Union Pacific Corporation</w:t>
      </w:r>
    </w:p>
    <w:p>
      <w:pPr>
        <w:spacing w:after="0" w:line="225"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Offer to Exchange up to $1,841,950,000 Principal Amount Outstanding of 3.839% Notes due 2060 for a Like Principal Amount of 3.839% Notes due 2060 which have been registered under the Securities Act of 1933.</w:t>
      </w:r>
    </w:p>
    <w:p>
      <w:pPr>
        <w:sectPr>
          <w:pgSz w:w="11900" w:h="16838" w:orient="portrait"/>
          <w:cols w:equalWidth="0" w:num="1">
            <w:col w:w="11020"/>
          </w:cols>
          <w:pgMar w:left="440" w:top="121" w:right="439" w:bottom="1440" w:gutter="0" w:footer="0" w:header="0"/>
        </w:sectPr>
      </w:pPr>
    </w:p>
    <w:p>
      <w:pPr>
        <w:spacing w:after="0" w:line="181" w:lineRule="exact"/>
        <w:rPr>
          <w:sz w:val="20"/>
          <w:szCs w:val="20"/>
          <w:color w:val="auto"/>
        </w:rPr>
      </w:pPr>
    </w:p>
    <w:p>
      <w:pPr>
        <w:ind w:left="3660"/>
        <w:spacing w:after="0"/>
        <w:rPr>
          <w:sz w:val="20"/>
          <w:szCs w:val="20"/>
          <w:color w:val="auto"/>
        </w:rPr>
      </w:pPr>
      <w:r>
        <w:rPr>
          <w:rFonts w:ascii="Arial" w:cs="Arial" w:eastAsia="Arial" w:hAnsi="Arial"/>
          <w:sz w:val="16"/>
          <w:szCs w:val="16"/>
          <w:color w:val="auto"/>
        </w:rPr>
        <w:t>Pursuant to the Prospectus, dated March [</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 2020</w:t>
      </w:r>
    </w:p>
    <w:p>
      <w:pPr>
        <w:spacing w:after="0" w:line="200" w:lineRule="exact"/>
        <w:rPr>
          <w:sz w:val="20"/>
          <w:szCs w:val="20"/>
          <w:color w:val="auto"/>
        </w:rPr>
      </w:pPr>
    </w:p>
    <w:p>
      <w:pPr>
        <w:sectPr>
          <w:pgSz w:w="11900" w:h="16838" w:orient="portrait"/>
          <w:cols w:equalWidth="0" w:num="2">
            <w:col w:w="6680" w:space="180"/>
            <w:col w:w="4160"/>
          </w:cols>
          <w:pgMar w:left="440" w:top="121" w:right="439" w:bottom="1440" w:gutter="0" w:footer="0" w:header="0"/>
          <w:type w:val="continuous"/>
        </w:sectPr>
      </w:pPr>
    </w:p>
    <w:p>
      <w:pPr>
        <w:spacing w:after="0" w:line="48" w:lineRule="exact"/>
        <w:rPr>
          <w:sz w:val="20"/>
          <w:szCs w:val="20"/>
          <w:color w:val="auto"/>
        </w:rPr>
      </w:pPr>
    </w:p>
    <w:p>
      <w:pPr>
        <w:spacing w:after="0"/>
        <w:tabs>
          <w:tab w:leader="none" w:pos="7580" w:val="left"/>
        </w:tabs>
        <w:rPr>
          <w:sz w:val="20"/>
          <w:szCs w:val="20"/>
          <w:color w:val="auto"/>
        </w:rPr>
      </w:pPr>
      <w:r>
        <w:rPr>
          <w:rFonts w:ascii="Arial" w:cs="Arial" w:eastAsia="Arial" w:hAnsi="Arial"/>
          <w:sz w:val="18"/>
          <w:szCs w:val="18"/>
          <w:color w:val="auto"/>
        </w:rPr>
        <w:t>EACH EXCHANGE OFFER WILL EXPIRE AT 5:00 P.M., NEW YORK CITY TIME, ON</w:t>
      </w:r>
      <w:r>
        <w:rPr>
          <w:sz w:val="20"/>
          <w:szCs w:val="20"/>
          <w:color w:val="auto"/>
        </w:rPr>
        <w:tab/>
      </w:r>
      <w:r>
        <w:rPr>
          <w:rFonts w:ascii="Arial" w:cs="Arial" w:eastAsia="Arial" w:hAnsi="Arial"/>
          <w:sz w:val="17"/>
          <w:szCs w:val="17"/>
          <w:color w:val="auto"/>
        </w:rPr>
        <w:t>, 2020 UNLESS EXTENDED (SUCH DATE</w:t>
      </w:r>
    </w:p>
    <w:p>
      <w:pPr>
        <w:sectPr>
          <w:pgSz w:w="11900" w:h="16838" w:orient="portrait"/>
          <w:cols w:equalWidth="0" w:num="1">
            <w:col w:w="11020"/>
          </w:cols>
          <w:pgMar w:left="440" w:top="121" w:right="439" w:bottom="1440" w:gutter="0" w:footer="0" w:header="0"/>
          <w:type w:val="continuous"/>
        </w:sectPr>
      </w:pPr>
    </w:p>
    <w:p>
      <w:pPr>
        <w:spacing w:after="0" w:line="2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AND TIME, AS IT MAY BE EXTENDED, THE “EXPIRATION DATE”). TENDERS MAY BE WITHDRAWN PRIOR TO 5:00 P.M., NEW YORK CITY TIME, ON THE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6997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Delivery by Hand, Overnight Delivery, Registered or Certified Mail:</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Bank of New York Mellon Trust Company, N.A., as Exchange Agent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 The Bank of New York Mellon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Trust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Reorganization Unit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111 Sanders Parkway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East Syracuse, New York 13057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Attn: Joseph Felicia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Email: CT_REORG_UNIT_INQUIRIES@BNYMELLON.COM</w:t>
      </w:r>
    </w:p>
    <w:p>
      <w:pPr>
        <w:spacing w:after="0" w:line="234"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4860" w:type="dxa"/>
            <w:vAlign w:val="bottom"/>
          </w:tcPr>
          <w:p>
            <w:pPr>
              <w:jc w:val="center"/>
              <w:ind w:right="2590"/>
              <w:spacing w:after="0"/>
              <w:rPr>
                <w:sz w:val="20"/>
                <w:szCs w:val="20"/>
                <w:color w:val="auto"/>
              </w:rPr>
            </w:pPr>
            <w:r>
              <w:rPr>
                <w:rFonts w:ascii="Arial" w:cs="Arial" w:eastAsia="Arial" w:hAnsi="Arial"/>
                <w:sz w:val="18"/>
                <w:szCs w:val="18"/>
                <w:color w:val="auto"/>
                <w:w w:val="92"/>
              </w:rPr>
              <w:t xml:space="preserve">By Facsimile: </w:t>
            </w:r>
            <w:r>
              <w:rPr>
                <w:rFonts w:ascii="Arial" w:cs="Arial" w:eastAsia="Arial" w:hAnsi="Arial"/>
                <w:sz w:val="18"/>
                <w:szCs w:val="18"/>
                <w:b w:val="1"/>
                <w:bCs w:val="1"/>
                <w:color w:val="auto"/>
                <w:w w:val="92"/>
              </w:rPr>
              <w:t>(732) 667-9408</w:t>
            </w:r>
          </w:p>
        </w:tc>
        <w:tc>
          <w:tcPr>
            <w:tcW w:w="4820" w:type="dxa"/>
            <w:vAlign w:val="bottom"/>
          </w:tcPr>
          <w:p>
            <w:pPr>
              <w:jc w:val="center"/>
              <w:ind w:left="2570"/>
              <w:spacing w:after="0"/>
              <w:rPr>
                <w:sz w:val="20"/>
                <w:szCs w:val="20"/>
                <w:color w:val="auto"/>
              </w:rPr>
            </w:pPr>
            <w:r>
              <w:rPr>
                <w:rFonts w:ascii="Arial" w:cs="Arial" w:eastAsia="Arial" w:hAnsi="Arial"/>
                <w:sz w:val="18"/>
                <w:szCs w:val="18"/>
                <w:color w:val="auto"/>
                <w:w w:val="92"/>
              </w:rPr>
              <w:t>To Confirm by Telephone:</w:t>
            </w:r>
          </w:p>
        </w:tc>
      </w:tr>
      <w:tr>
        <w:trPr>
          <w:trHeight w:val="216"/>
        </w:trPr>
        <w:tc>
          <w:tcPr>
            <w:tcW w:w="4860" w:type="dxa"/>
            <w:vAlign w:val="bottom"/>
          </w:tcPr>
          <w:p>
            <w:pPr>
              <w:jc w:val="center"/>
              <w:ind w:right="2570"/>
              <w:spacing w:after="0"/>
              <w:rPr>
                <w:sz w:val="20"/>
                <w:szCs w:val="20"/>
                <w:color w:val="auto"/>
              </w:rPr>
            </w:pPr>
            <w:r>
              <w:rPr>
                <w:rFonts w:ascii="Arial" w:cs="Arial" w:eastAsia="Arial" w:hAnsi="Arial"/>
                <w:sz w:val="18"/>
                <w:szCs w:val="18"/>
                <w:b w:val="1"/>
                <w:bCs w:val="1"/>
                <w:color w:val="auto"/>
                <w:w w:val="91"/>
              </w:rPr>
              <w:t>Corporate Trust Operations</w:t>
            </w:r>
          </w:p>
        </w:tc>
        <w:tc>
          <w:tcPr>
            <w:tcW w:w="4820" w:type="dxa"/>
            <w:vAlign w:val="bottom"/>
          </w:tcPr>
          <w:p>
            <w:pPr>
              <w:jc w:val="center"/>
              <w:ind w:left="2570"/>
              <w:spacing w:after="0"/>
              <w:rPr>
                <w:sz w:val="20"/>
                <w:szCs w:val="20"/>
                <w:color w:val="auto"/>
              </w:rPr>
            </w:pPr>
            <w:r>
              <w:rPr>
                <w:rFonts w:ascii="Arial" w:cs="Arial" w:eastAsia="Arial" w:hAnsi="Arial"/>
                <w:sz w:val="18"/>
                <w:szCs w:val="18"/>
                <w:b w:val="1"/>
                <w:bCs w:val="1"/>
                <w:color w:val="auto"/>
                <w:w w:val="90"/>
              </w:rPr>
              <w:t>(315) 414-3349</w:t>
            </w:r>
          </w:p>
        </w:tc>
      </w:tr>
      <w:tr>
        <w:trPr>
          <w:trHeight w:val="216"/>
        </w:trPr>
        <w:tc>
          <w:tcPr>
            <w:tcW w:w="4860" w:type="dxa"/>
            <w:vAlign w:val="bottom"/>
          </w:tcPr>
          <w:p>
            <w:pPr>
              <w:jc w:val="center"/>
              <w:ind w:right="2570"/>
              <w:spacing w:after="0"/>
              <w:rPr>
                <w:sz w:val="20"/>
                <w:szCs w:val="20"/>
                <w:color w:val="auto"/>
              </w:rPr>
            </w:pPr>
            <w:r>
              <w:rPr>
                <w:rFonts w:ascii="Arial" w:cs="Arial" w:eastAsia="Arial" w:hAnsi="Arial"/>
                <w:sz w:val="18"/>
                <w:szCs w:val="18"/>
                <w:b w:val="1"/>
                <w:bCs w:val="1"/>
                <w:color w:val="auto"/>
                <w:w w:val="91"/>
              </w:rPr>
              <w:t>Reorganization Unit</w:t>
            </w:r>
          </w:p>
        </w:tc>
        <w:tc>
          <w:tcPr>
            <w:tcW w:w="4820" w:type="dxa"/>
            <w:vAlign w:val="bottom"/>
          </w:tcPr>
          <w:p>
            <w:pPr>
              <w:jc w:val="center"/>
              <w:ind w:left="2570"/>
              <w:spacing w:after="0"/>
              <w:rPr>
                <w:sz w:val="20"/>
                <w:szCs w:val="20"/>
                <w:color w:val="auto"/>
              </w:rPr>
            </w:pPr>
            <w:r>
              <w:rPr>
                <w:rFonts w:ascii="Arial" w:cs="Arial" w:eastAsia="Arial" w:hAnsi="Arial"/>
                <w:sz w:val="18"/>
                <w:szCs w:val="18"/>
                <w:b w:val="1"/>
                <w:bCs w:val="1"/>
                <w:color w:val="auto"/>
                <w:w w:val="91"/>
              </w:rPr>
              <w:t>Corporate Trust Operations</w:t>
            </w:r>
          </w:p>
        </w:tc>
      </w:tr>
      <w:tr>
        <w:trPr>
          <w:trHeight w:val="234"/>
        </w:trPr>
        <w:tc>
          <w:tcPr>
            <w:tcW w:w="4860" w:type="dxa"/>
            <w:vAlign w:val="bottom"/>
          </w:tcPr>
          <w:p>
            <w:pPr>
              <w:spacing w:after="0"/>
              <w:rPr>
                <w:sz w:val="20"/>
                <w:szCs w:val="20"/>
                <w:color w:val="auto"/>
              </w:rPr>
            </w:pPr>
          </w:p>
        </w:tc>
        <w:tc>
          <w:tcPr>
            <w:tcW w:w="4820" w:type="dxa"/>
            <w:vAlign w:val="bottom"/>
          </w:tcPr>
          <w:p>
            <w:pPr>
              <w:jc w:val="center"/>
              <w:ind w:left="2570"/>
              <w:spacing w:after="0"/>
              <w:rPr>
                <w:sz w:val="20"/>
                <w:szCs w:val="20"/>
                <w:color w:val="auto"/>
              </w:rPr>
            </w:pPr>
            <w:r>
              <w:rPr>
                <w:rFonts w:ascii="Arial" w:cs="Arial" w:eastAsia="Arial" w:hAnsi="Arial"/>
                <w:sz w:val="18"/>
                <w:szCs w:val="18"/>
                <w:b w:val="1"/>
                <w:bCs w:val="1"/>
                <w:color w:val="auto"/>
                <w:w w:val="91"/>
              </w:rPr>
              <w:t>Reorganization Unit</w:t>
            </w:r>
          </w:p>
        </w:tc>
      </w:tr>
    </w:tbl>
    <w:p>
      <w:pPr>
        <w:spacing w:after="0" w:line="21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Delivery of this instrument to an address other than as set forth above, or transmission of this instrument via facsimile other than as set forth above, will not constitute a valid delivery.</w:t>
      </w:r>
    </w:p>
    <w:p>
      <w:pPr>
        <w:spacing w:after="0" w:line="1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undersigned acknowledges that he or she has received the prospectus, dated March [ ], 2020 (the “Prospectus”), of Union Pacific Corporation, a Utah corporation (the “Company” or “Union Pacific”), and this letter of transmittal (the “Letter of Transmittal”), which together constitute the Company’s offer (the “Exchange Offer”) to exchange an aggregate principal amount of up to $1,841,950,000 of registered 3.839% Notes due 2060 (the “Exchange Notes”) of the Company for an equal principal amount of the Company’s outstanding 3.839% Notes due 2060 (the “Original Notes”). Capitalized terms used but not defined herein shall have the same meaning given to them in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6997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type w:val="continuous"/>
        </w:sectPr>
      </w:pPr>
    </w:p>
    <w:bookmarkStart w:id="57" w:name="page58"/>
    <w:bookmarkEnd w:id="57"/>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each Original Note accepted for exchange, the holder of such Original Note will receive an Exchange Note having a principal amount equal to that of the surrendered Original Note. The Exchange Notes will bear interest at a rate of 3.839% per annum from the most recent date to which interest on the Original Notes has been paid or, if no interest has been paid, from November 20, 2019. Interest on the Exchange Notes will be payable semiannually on March 20 and September 20 of each year, beginning on March 20, 2020, to the holders of record on the preceding March 1 and September 1, respectively, whether or not such day is a business day. The Exchange Notes will mature on March 20, 2060. The terms of the Exchange Notes are substantially identical to the terms of the Original Notes for which they will be exchanged, except that the Exchange Notes have been registered under the Securities Act and are free of any obligation regarding registration.</w:t>
      </w:r>
    </w:p>
    <w:p>
      <w:pPr>
        <w:spacing w:after="0" w:line="17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(i) within 125 days after the date of the issuance of the Original Notes (the “Issue Date”), the Exchange Offer Registration Statement (as defined in the Registration Rights Agreement dated November 20, 2019, among the Company, Credit Suisse Securities (USA) LLC, Barclays Capital Inc. and Morgan Stanley &amp; Co. LLC, as lead dealer managers, and the other dealer managers listed on Schedule I thereto (the “Registration Rights Agreement”)) has not been filed with the Commission; (ii) within 270 days after the Issue Date, the Exchange Offer Registration Statement has not been declared effective;</w:t>
      </w:r>
    </w:p>
    <w:p>
      <w:pPr>
        <w:spacing w:after="0" w:line="2" w:lineRule="exact"/>
        <w:rPr>
          <w:sz w:val="20"/>
          <w:szCs w:val="20"/>
          <w:color w:val="auto"/>
        </w:rPr>
      </w:pPr>
    </w:p>
    <w:p>
      <w:pPr>
        <w:ind w:right="40" w:firstLine="4"/>
        <w:spacing w:after="0" w:line="268" w:lineRule="auto"/>
        <w:tabs>
          <w:tab w:leader="none" w:pos="315" w:val="left"/>
        </w:tabs>
        <w:numPr>
          <w:ilvl w:val="0"/>
          <w:numId w:val="40"/>
        </w:numPr>
        <w:rPr>
          <w:rFonts w:ascii="Arial" w:cs="Arial" w:eastAsia="Arial" w:hAnsi="Arial"/>
          <w:sz w:val="17"/>
          <w:szCs w:val="17"/>
          <w:color w:val="auto"/>
        </w:rPr>
      </w:pPr>
      <w:r>
        <w:rPr>
          <w:rFonts w:ascii="Arial" w:cs="Arial" w:eastAsia="Arial" w:hAnsi="Arial"/>
          <w:sz w:val="17"/>
          <w:szCs w:val="17"/>
          <w:color w:val="auto"/>
        </w:rPr>
        <w:t>within 315 days after the Issue Date, the Exchange Offer has not been consummated or, if required in lieu thereof, the Shelf Registration Statement (as defined in the Registration Rights Agreement) has not become effective; or (iv) after the Exchange Offer Registration Statement or the Shelf Registration Statement (if applicable) has been declared (or becomes automatically) effective, the Registration Statement thereafter ceases to be effective or usable (subject to the exceptions set forth in the Registration Rights Agreement) in connection with resales of Original Notes in accordance with and during the periods specified in Sections 1 and 2 of the Registration Rights Agreement (each such event referred to in clauses (i) through (iv), a “Registration Default”), Additional Interest, as defined in such Registration Rights Agreement, will accrue on the Original Notes from and including the date on which any such Registration Default shall occur to but excluding the date on which all such Registration Defaults have been cured. Additional Interest will accrue at a rate equal to 0.25% per annum of the aggregate principal amount of the Notes during the 90-day period immediately following the occurrence of any Registration Default and shall increase to a maximum of 0.50% per annum thereafter. Following the cure of all Registration Defaults, the accrual of Additional Interest on the Original Notes will cease.</w:t>
      </w:r>
    </w:p>
    <w:p>
      <w:pPr>
        <w:spacing w:after="0" w:line="1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has agreed that, for a period starting on the Expiration Date and ending on the close of business on the 180th day thereafter, it will make the Prospectus available to any broker-dealer for use in connection with any resales of the Exchange Notes.</w:t>
      </w:r>
    </w:p>
    <w:p>
      <w:pPr>
        <w:spacing w:after="0" w:line="170"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Each holder of Original Notes wishing to participate in the Exchange Offer, except holders of Original Notes executing their tenders through the Automated Tender Offer Program (“ATOP”) procedures of The Depository Trust Company (“DTC”), should complete, sign and submit this Letter of Transmittal to the Exchange Agent, The Bank of New York Mellon Trust Company, N.A., on or prior to the Expiration Date.</w:t>
      </w:r>
    </w:p>
    <w:p>
      <w:pPr>
        <w:spacing w:after="0" w:line="16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This Letter of Transmittal may be used to participate in the Exchange Offer if certificates representing Original Notes are to be physically delivered to the Exchange Agent or if Original Notes are to be tendered by effecting a book-entry transfer into the Exchange Agent’s account at DTC and instructions are not being transmitted through ATOP, for which the Exchange Offer is eligible. Unless you intend to tender your Original Notes through ATOP, you should complete, execute and deliver this Letter of Transmittal, along with any physical certificates for the Original Notes specified herein, to indicate the action you desire to take with respect to the Exchange Offer.</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Holders of Original Notes tendering by book-entry transfer to the Exchange Agent’s account at DTC may execute tenders through ATOP, for which the Exchange Offer is eligible. Financial institutions that are DTC participants may execute tenders through ATOP by transmitting acceptance of the Exchange Offer to DTC on or prior to the Expiration Date. DTC will verify acceptance of the Exchange Offer, execute a book-entry transfer of the tendered Original Notes into the account of the Exchange Agent at DTC and send to the Exchange Agent a “book-entry confirmation”, which shall include an agent’s message. An “agent’s message” is a message,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58" w:name="page59"/>
    <w:bookmarkEnd w:id="5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transmitted by DTC to, and received by, the Exchange Agent and forming part of a book-entry confirmation, which states that DTC has received an express acknowledgement from a DTC participant tendering Original Notes that the participant has received and agrees to be bound by the terms of this Letter of Transmittal and that the Company may enforce such agreement against the participant. Delivery of the agent’s message by DTC will satisfy the terms of the Exchange Offer as to execution and delivery of a Letter of Transmittal by the DTC participant identified in the agent’s message. Accordingly, holders who tender their Original Notes through DTC’s ATOP procedures shall be bound by, but need not complete, this Letter of Transmittal.</w:t>
      </w:r>
    </w:p>
    <w:p>
      <w:pPr>
        <w:spacing w:after="0" w:line="19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If you are a beneficial owner that holds Original Notes through Euroclear or Clearstream and wish to tender your Original Notes, you must instruct Euroclear or Clearstream, as the case may be, to block the account in respect of the tendered Original Notes in accordance with the procedures established by Euroclear or Clearstream. You are encouraged to contact Euroclear or Clearstream directly to ascertain their procedures for tendering Original Notes.</w:t>
      </w:r>
    </w:p>
    <w:p>
      <w:pPr>
        <w:spacing w:after="0" w:line="187"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Tendering holders of Original Notes must tender Original Notes in minimum denominations of $1,000 and integral multiples of $1,000 in excess thereof. Exchange Notes will be issued in minimum denominations of $1,000 and integral multiples of $1,000 in excess thereof.</w:t>
      </w:r>
    </w:p>
    <w:p>
      <w:pPr>
        <w:spacing w:after="0" w:line="147"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Any holder that is a bank, broker, or other custodial entity holding Original Notes of on behalf of more than one beneficial owner may submit to the Exchange Agent a list of the aggregate principal amount of Original Notes owned by each such beneficial owner, and the Exchange Agent, in determining the aggregate principal amount of Exchange Notes to be issued to such holder, will treat each such beneficial owner as a separate holder.</w:t>
      </w:r>
    </w:p>
    <w:p>
      <w:pPr>
        <w:spacing w:after="0" w:line="14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Holders that anticipate tendering other than through DTC are urged to contact promptly a bank, broker or other intermediary (that has the capability to hold securities custodially through DTC) to arrange for receipt of Exchange Notes to be delivered pursuant to the Exchange Offer and to obtain the information necessary to provide the required DTC participant with account information in this Letter of Transmittal.</w:t>
      </w:r>
    </w:p>
    <w:p>
      <w:pPr>
        <w:spacing w:after="0" w:line="16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Union Pacific reserves the right, in its sole discretion, to amend, at any time, the terms and conditions of the Exchange Offer. Union Pacific will give you notice of any amendments if required by applicable law. The term “Expiration Date” shall mean the latest time and date to which the Exchange Offer is extended.</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undersigned has completed the appropriate boxes below and signed this Letter of Transmittal to indicate the action the undersigned desires to take with respect to the Exchange Offer.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TENDER OF ORIGINAL NOTES</w:t>
      </w:r>
    </w:p>
    <w:p>
      <w:pPr>
        <w:spacing w:after="0" w:line="2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To effect a valid tender of Original Notes through the completion, execution and delivery of this Letter of Transmittal, the undersigned must complete the tables below entitled “Method of Delivery” and “Description of Original Notes Tendered” and sign this Letter of Transmittal where indicated.</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Exchange Notes will be delivered in book-entry form through DTC and only to the DTC account of the undersigned or the undersigned’s custodian, as specified in the table below entitled “Method of Delivery”.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not provided guaranteed delivery procedures in conjunction with the Exchange Offer or under any of the Prospectus or other materials provided therewith.</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Failure to provide the information necessary to effect delivery of Exchange Notes will render such holder’s tender defective, and Union Pacific will have the right, which it may waive, to reject such tender without notice.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METHOD OF DELIVERY</w:t>
      </w:r>
    </w:p>
    <w:p>
      <w:pPr>
        <w:spacing w:after="0" w:line="252" w:lineRule="exact"/>
        <w:rPr>
          <w:sz w:val="20"/>
          <w:szCs w:val="20"/>
          <w:color w:val="auto"/>
        </w:rPr>
      </w:pPr>
    </w:p>
    <w:p>
      <w:pPr>
        <w:ind w:left="340" w:hanging="336"/>
        <w:spacing w:after="0"/>
        <w:tabs>
          <w:tab w:leader="none" w:pos="34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CHECK HERE IF PHYSICAL CERTIFICATES FOR TENDERED ORIGINAL NOTES ARE BEING DELIVERED HEREWITH.</w:t>
      </w:r>
    </w:p>
    <w:p>
      <w:pPr>
        <w:spacing w:after="0" w:line="225" w:lineRule="exact"/>
        <w:rPr>
          <w:rFonts w:ascii="MS PGothic" w:cs="MS PGothic" w:eastAsia="MS PGothic" w:hAnsi="MS PGothic"/>
          <w:sz w:val="18"/>
          <w:szCs w:val="18"/>
          <w:color w:val="auto"/>
        </w:rPr>
      </w:pPr>
    </w:p>
    <w:p>
      <w:pPr>
        <w:ind w:left="360" w:right="120" w:hanging="356"/>
        <w:spacing w:after="0" w:line="277" w:lineRule="auto"/>
        <w:tabs>
          <w:tab w:leader="none" w:pos="342"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CHECK HERE IF TENDERED ORIGINAL NOTES ARE BEING DELIVERED BY BOOK-ENTRY TRANSFER MADE TO THE ACCOUNT MAINTAINED BY THE EXCHANGE AGENT WITH DTC.</w:t>
      </w:r>
    </w:p>
    <w:p>
      <w:pPr>
        <w:spacing w:after="0" w:line="170" w:lineRule="exact"/>
        <w:rPr>
          <w:sz w:val="20"/>
          <w:szCs w:val="20"/>
          <w:color w:val="auto"/>
        </w:rPr>
      </w:pPr>
    </w:p>
    <w:p>
      <w:pPr>
        <w:ind w:left="360" w:right="200"/>
        <w:spacing w:after="0" w:line="277" w:lineRule="auto"/>
        <w:rPr>
          <w:sz w:val="20"/>
          <w:szCs w:val="20"/>
          <w:color w:val="auto"/>
        </w:rPr>
      </w:pPr>
      <w:r>
        <w:rPr>
          <w:rFonts w:ascii="Arial" w:cs="Arial" w:eastAsia="Arial" w:hAnsi="Arial"/>
          <w:sz w:val="18"/>
          <w:szCs w:val="18"/>
          <w:color w:val="auto"/>
        </w:rPr>
        <w:t>PROVIDE BELOW THE NAME OF THE DTC PARTICIPANT AND PARTICIPANT’S ACCOUNT NUMBER IN WHICH THE TENDERED ORIGINAL NOTES ARE HELD AND/OR THE CORRESPONDING EXCHANGE NOTES ARE TO BE DELIVERED.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Tendering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6997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DTC Participant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1246505</wp:posOffset>
            </wp:positionH>
            <wp:positionV relativeFrom="paragraph">
              <wp:posOffset>-10160</wp:posOffset>
            </wp:positionV>
            <wp:extent cx="13430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13430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881380</wp:posOffset>
            </wp:positionH>
            <wp:positionV relativeFrom="paragraph">
              <wp:posOffset>-10160</wp:posOffset>
            </wp:positionV>
            <wp:extent cx="1714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6997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-10160</wp:posOffset>
            </wp:positionV>
            <wp:extent cx="12858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right="160" w:hanging="356"/>
        <w:spacing w:after="0" w:line="277" w:lineRule="auto"/>
        <w:tabs>
          <w:tab w:leader="none" w:pos="387" w:val="left"/>
        </w:tabs>
        <w:numPr>
          <w:ilvl w:val="0"/>
          <w:numId w:val="42"/>
        </w:numPr>
        <w:rPr>
          <w:rFonts w:ascii="MS PGothic" w:cs="MS PGothic" w:eastAsia="MS PGothic" w:hAnsi="MS PGothic"/>
          <w:sz w:val="18"/>
          <w:szCs w:val="18"/>
          <w:color w:val="auto"/>
        </w:rPr>
      </w:pPr>
      <w:r>
        <w:rPr>
          <w:rFonts w:ascii="Arial" w:cs="Arial" w:eastAsia="Arial" w:hAnsi="Arial"/>
          <w:sz w:val="18"/>
          <w:szCs w:val="18"/>
          <w:color w:val="auto"/>
        </w:rPr>
        <w:t>CHECK HERE IF YOU ARE A BROKER-DEALER AND WISH TO RECEIVE 10 ADDITIONAL COPIES OF THE PROSPECTUS AND 10 COPIES OF ANY AMENDMENTS OR SUPPLEMENTS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-10160</wp:posOffset>
            </wp:positionV>
            <wp:extent cx="22574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-10160</wp:posOffset>
            </wp:positionV>
            <wp:extent cx="21431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2143125" cy="8890"/>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263525</wp:posOffset>
            </wp:positionV>
            <wp:extent cx="21431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60" w:name="page61"/>
    <w:bookmarkEnd w:id="6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List below the Original Notes to which this Letter of Transmittal relates. If the space provided below is inadequate, the numbers and principal amount at maturity of Original Notes should be listed on a separate signed schedule affixed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006590" cy="18440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006590" cy="1844040"/>
                    </a:xfrm>
                    <a:prstGeom prst="rect">
                      <a:avLst/>
                    </a:prstGeom>
                    <a:noFill/>
                  </pic:spPr>
                </pic:pic>
              </a:graphicData>
            </a:graphic>
          </wp:anchor>
        </w:drawing>
      </w:r>
    </w:p>
    <w:p>
      <w:pPr>
        <w:spacing w:after="0" w:line="20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ORIGINAL NOTES TENDERED</w:t>
      </w:r>
    </w:p>
    <w:p>
      <w:pPr>
        <w:spacing w:after="0" w:line="29"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4060" w:type="dxa"/>
            <w:vAlign w:val="bottom"/>
          </w:tcPr>
          <w:p>
            <w:pPr>
              <w:jc w:val="center"/>
              <w:ind w:right="988"/>
              <w:spacing w:after="0"/>
              <w:rPr>
                <w:sz w:val="20"/>
                <w:szCs w:val="20"/>
                <w:color w:val="auto"/>
              </w:rPr>
            </w:pPr>
            <w:r>
              <w:rPr>
                <w:rFonts w:ascii="Arial" w:cs="Arial" w:eastAsia="Arial" w:hAnsi="Arial"/>
                <w:sz w:val="14"/>
                <w:szCs w:val="14"/>
                <w:b w:val="1"/>
                <w:bCs w:val="1"/>
                <w:color w:val="auto"/>
                <w:w w:val="91"/>
              </w:rPr>
              <w:t>Name(s) and Address(es) of Registered Holder(s)</w:t>
            </w:r>
          </w:p>
        </w:tc>
        <w:tc>
          <w:tcPr>
            <w:tcW w:w="2440" w:type="dxa"/>
            <w:vAlign w:val="bottom"/>
          </w:tcPr>
          <w:p>
            <w:pPr>
              <w:jc w:val="center"/>
              <w:ind w:left="388"/>
              <w:spacing w:after="0"/>
              <w:rPr>
                <w:sz w:val="20"/>
                <w:szCs w:val="20"/>
                <w:color w:val="auto"/>
              </w:rPr>
            </w:pPr>
            <w:r>
              <w:rPr>
                <w:rFonts w:ascii="Arial" w:cs="Arial" w:eastAsia="Arial" w:hAnsi="Arial"/>
                <w:sz w:val="14"/>
                <w:szCs w:val="14"/>
                <w:b w:val="1"/>
                <w:bCs w:val="1"/>
                <w:color w:val="auto"/>
                <w:w w:val="96"/>
              </w:rPr>
              <w:t>Certificate</w:t>
            </w:r>
          </w:p>
        </w:tc>
        <w:tc>
          <w:tcPr>
            <w:tcW w:w="2420" w:type="dxa"/>
            <w:vAlign w:val="bottom"/>
          </w:tcPr>
          <w:p>
            <w:pPr>
              <w:jc w:val="center"/>
              <w:ind w:left="548"/>
              <w:spacing w:after="0"/>
              <w:rPr>
                <w:sz w:val="20"/>
                <w:szCs w:val="20"/>
                <w:color w:val="auto"/>
              </w:rPr>
            </w:pPr>
            <w:r>
              <w:rPr>
                <w:rFonts w:ascii="Arial" w:cs="Arial" w:eastAsia="Arial" w:hAnsi="Arial"/>
                <w:sz w:val="14"/>
                <w:szCs w:val="14"/>
                <w:b w:val="1"/>
                <w:bCs w:val="1"/>
                <w:color w:val="auto"/>
                <w:w w:val="93"/>
              </w:rPr>
              <w:t>Aggregate Principal Amount</w:t>
            </w:r>
          </w:p>
        </w:tc>
      </w:tr>
      <w:tr>
        <w:trPr>
          <w:trHeight w:val="191"/>
        </w:trPr>
        <w:tc>
          <w:tcPr>
            <w:tcW w:w="4060" w:type="dxa"/>
            <w:vAlign w:val="bottom"/>
          </w:tcPr>
          <w:p>
            <w:pPr>
              <w:jc w:val="center"/>
              <w:ind w:right="988"/>
              <w:spacing w:after="0"/>
              <w:rPr>
                <w:sz w:val="20"/>
                <w:szCs w:val="20"/>
                <w:color w:val="auto"/>
              </w:rPr>
            </w:pPr>
            <w:r>
              <w:rPr>
                <w:rFonts w:ascii="Arial" w:cs="Arial" w:eastAsia="Arial" w:hAnsi="Arial"/>
                <w:sz w:val="14"/>
                <w:szCs w:val="14"/>
                <w:b w:val="1"/>
                <w:bCs w:val="1"/>
                <w:color w:val="auto"/>
                <w:w w:val="95"/>
              </w:rPr>
              <w:t>(Please fill in, if blank)</w:t>
            </w:r>
          </w:p>
        </w:tc>
        <w:tc>
          <w:tcPr>
            <w:tcW w:w="2440" w:type="dxa"/>
            <w:vAlign w:val="bottom"/>
          </w:tcPr>
          <w:p>
            <w:pPr>
              <w:jc w:val="center"/>
              <w:ind w:left="388"/>
              <w:spacing w:after="0"/>
              <w:rPr>
                <w:sz w:val="20"/>
                <w:szCs w:val="20"/>
                <w:color w:val="auto"/>
              </w:rPr>
            </w:pPr>
            <w:r>
              <w:rPr>
                <w:rFonts w:ascii="Arial" w:cs="Arial" w:eastAsia="Arial" w:hAnsi="Arial"/>
                <w:sz w:val="14"/>
                <w:szCs w:val="14"/>
                <w:b w:val="1"/>
                <w:bCs w:val="1"/>
                <w:color w:val="auto"/>
                <w:w w:val="98"/>
              </w:rPr>
              <w:t>Number(s)*</w:t>
            </w:r>
          </w:p>
        </w:tc>
        <w:tc>
          <w:tcPr>
            <w:tcW w:w="2420" w:type="dxa"/>
            <w:vAlign w:val="bottom"/>
          </w:tcPr>
          <w:p>
            <w:pPr>
              <w:jc w:val="center"/>
              <w:ind w:left="548"/>
              <w:spacing w:after="0"/>
              <w:rPr>
                <w:sz w:val="20"/>
                <w:szCs w:val="20"/>
                <w:color w:val="auto"/>
              </w:rPr>
            </w:pPr>
            <w:r>
              <w:rPr>
                <w:rFonts w:ascii="Arial" w:cs="Arial" w:eastAsia="Arial" w:hAnsi="Arial"/>
                <w:sz w:val="14"/>
                <w:szCs w:val="14"/>
                <w:b w:val="1"/>
                <w:bCs w:val="1"/>
                <w:color w:val="auto"/>
                <w:w w:val="94"/>
              </w:rPr>
              <w:t>of Original Notes Tendered**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Total</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Need not be completed if Original Notes are being tendered by book-entry transfer.</w:t>
      </w:r>
    </w:p>
    <w:p>
      <w:pPr>
        <w:spacing w:after="0" w:line="23" w:lineRule="exact"/>
        <w:rPr>
          <w:sz w:val="20"/>
          <w:szCs w:val="20"/>
          <w:color w:val="auto"/>
        </w:rPr>
      </w:pPr>
    </w:p>
    <w:p>
      <w:pPr>
        <w:ind w:left="640" w:right="380" w:hanging="263"/>
        <w:spacing w:after="0" w:line="261" w:lineRule="auto"/>
        <w:tabs>
          <w:tab w:leader="none" w:pos="61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principal amount of Original Notes tendered hereby must be in minimum denominations of $1,000 and integral multiples of $1,000 in excess thereof. See Instruction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6997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 Signatures must be provided below.</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Please read the accompanying instructions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97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READ THE ACCOMPANYING INSTRUCTIONS CAREFULLY.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Upon the terms and subject to the conditions of the Exchange Offer, the undersigned hereby tenders to the Company the aggregate principal amount of the Original Notes indicated above. Subject to, and effective upon, the acceptance for exchange of the Original Notes tendered hereby, the undersigned hereby sells, assigns and transfers to, or upon the order of, the Company all right, title and interest in and to such Original Notes as are being tendered hereby.</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undersigned hereby represents and warrants that the undersigned has full power and authority to tender, sell, assign and transfer the Original Notes tendered hereby and that the Company will acquire good and unencumbered title thereto, free and clear of all liens, restrictions, charges and encumbrances and not subject to any adverse claim when the same are accepted by the Company. The undersigned hereby further represents that it is not an “affiliate”, as defined in Rule 405 under the Securities Act of 1933, as amended (the “Securities Act”), of the Company, that any Exchange Notes to be received by it will be acquired in the ordinary course of business and that at the time of commencement of the Exchange Offer it had no arrangement with any person to participate in a distribution of the Exchange Notes.</w:t>
      </w:r>
    </w:p>
    <w:p>
      <w:pPr>
        <w:spacing w:after="0" w:line="17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addition, if the undersigned is not a broker-dealer, the undersigned represents that it is not engaged in, and does not intend to engage in, a distribution of the Exchange Notes. If the undersigned is a broker-dealer that will receive Exchange Notes for its own account in exchange for Original Notes, it represents that the Original Notes to be exchanged for Exchange Notes were acquired by it as a result of market-making activities or other trading activities and acknowledges that it will deliver a prospectus in connection with any resale of such Exchange Notes; however, by so acknowledging and by delivering a prospectus, the undersigned will not be deemed to admit that it is an “underwriter” within the meaning of the Securities Act.</w:t>
      </w:r>
    </w:p>
    <w:p>
      <w:pPr>
        <w:spacing w:after="0" w:line="15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undersigned also acknowledges that the Exchange Offer is being made by the Company based upon the Company’s understanding of an interpretation by the staff of the Securities and Exchange Commission (the “Commission”) as set forth in no-action letters issued to third parties, that the Exchange Notes issued in exchange for the Original Notes pursuant to the Exchange Offer may be offered for resale, resold and otherwise transferred by holders thereof, without compliance with the registration and prospectus delivery provisions of the Securities Act, provided that: (1) such holders are not affiliates of the Company within the meaning of Rule 405 under the Securities Act; (2) such Exchange Notes are acquired in the ordinary course of such holders’ business; and (3) such holders are not engaged in, and do not intend to engage in, a distribution of such Exchange Notes and have no arrangement or understanding with any person to participate in the distribution of such Exchange Notes. However, the staff of the Commission has not considered the Exchange Offer in the context of a no-action letter, and there can be no assurance that the staff of the Commission would make a similar determination with respect to the Exchange Offer as in other circumstances. If a holder of Original Notes is an affiliate of the Company, acquires Exchange Notes other than in the ordinary course of such holder’s business or is engaged in or intends to engage in a distribution of the Exchange Notes or has any arrangement or understanding with respect to the distribution of the Exchange Notes to be acquired pursuant to the Exchange Offer, such holder could not rely on the applicable interpretations of the staff of the Commission and must comply with the registration and prospectus delivery requirements of the Securities Act in connection with any secondary resale transaction.</w:t>
      </w:r>
    </w:p>
    <w:p>
      <w:pPr>
        <w:spacing w:after="0" w:line="17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undersigned will, upon request, execute and deliver any additional documents deemed by the Company to be necessary or desirable to complete the sale, assignment and transfer of the Original Notes tendered hereby. All authority conferred or agreed to be conferred in this Letter of Transmittal and every obligation of the undersigned hereunder shall be binding upon the successors, assigns, heirs, executors, administrators, trustees in bankruptcy and legal representatives of the undersigned and shall not be affected by, and shall survive, the death or incapacity of the undersigned. This tender may be withdrawn only in accordance with the procedures set forth in “The Exchange Offer-Withdrawal of Tenders” section of the Prospectus.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62" w:name="page63"/>
    <w:bookmarkEnd w:id="62"/>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otherwise indicated in the box entitled “Special Issuance Instructions” below, please deliver the Exchange Notes in the name of the undersigned or, in the case of a book-entry delivery of Original Notes, please credit the account indicated above maintained at DTC. Similarly, unless otherwise indicated under the box entitled “Special Delivery Instructions” below, please send the Exchange Notes to the undersigned at the address shown above in the box entitled “Description of Original Notes Tendered”.</w:t>
      </w:r>
    </w:p>
    <w:p>
      <w:pPr>
        <w:spacing w:after="0" w:line="200" w:lineRule="exact"/>
        <w:rPr>
          <w:sz w:val="20"/>
          <w:szCs w:val="20"/>
          <w:color w:val="auto"/>
        </w:rPr>
      </w:pPr>
    </w:p>
    <w:p>
      <w:pPr>
        <w:spacing w:after="0" w:line="20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UNDERSIGNED, BY COMPLETING THE BOX ENTITLED “DESCRIPTION OF ORIGINAL NOTES TENDERED” ABOVE AND SIGNING THIS LETTER OF TRANSMITTAL, WILL BE DEEMED TO HAVE TENDERED THE ORIGINAL NOTES AS SET FORTH IN SUCH BOX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173355</wp:posOffset>
            </wp:positionV>
            <wp:extent cx="6993255" cy="4592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6993255" cy="459232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p>
      <w:pPr>
        <w:spacing w:after="0" w:line="312" w:lineRule="exact"/>
        <w:rPr>
          <w:sz w:val="20"/>
          <w:szCs w:val="20"/>
          <w:color w:val="auto"/>
        </w:rPr>
      </w:pPr>
    </w:p>
    <w:p>
      <w:pPr>
        <w:jc w:val="center"/>
        <w:ind w:left="160"/>
        <w:spacing w:after="0"/>
        <w:rPr>
          <w:sz w:val="20"/>
          <w:szCs w:val="20"/>
          <w:color w:val="auto"/>
        </w:rPr>
      </w:pPr>
      <w:r>
        <w:rPr>
          <w:rFonts w:ascii="Arial" w:cs="Arial" w:eastAsia="Arial" w:hAnsi="Arial"/>
          <w:sz w:val="18"/>
          <w:szCs w:val="18"/>
          <w:b w:val="1"/>
          <w:bCs w:val="1"/>
          <w:color w:val="auto"/>
        </w:rPr>
        <w:t>SPECIAL ISSUANCE INSTRUCTIONS</w:t>
      </w:r>
    </w:p>
    <w:p>
      <w:pPr>
        <w:spacing w:after="0" w:line="27" w:lineRule="exact"/>
        <w:rPr>
          <w:sz w:val="20"/>
          <w:szCs w:val="20"/>
          <w:color w:val="auto"/>
        </w:rPr>
      </w:pPr>
    </w:p>
    <w:p>
      <w:pPr>
        <w:jc w:val="center"/>
        <w:ind w:left="160"/>
        <w:spacing w:after="0"/>
        <w:rPr>
          <w:sz w:val="20"/>
          <w:szCs w:val="20"/>
          <w:color w:val="auto"/>
        </w:rPr>
      </w:pPr>
      <w:r>
        <w:rPr>
          <w:rFonts w:ascii="Arial" w:cs="Arial" w:eastAsia="Arial" w:hAnsi="Arial"/>
          <w:sz w:val="18"/>
          <w:szCs w:val="18"/>
          <w:b w:val="1"/>
          <w:bCs w:val="1"/>
          <w:color w:val="auto"/>
        </w:rPr>
        <w:t>(See Instructions 3 and 4)</w:t>
      </w:r>
    </w:p>
    <w:p>
      <w:pPr>
        <w:spacing w:after="0" w:line="224" w:lineRule="exact"/>
        <w:rPr>
          <w:sz w:val="20"/>
          <w:szCs w:val="20"/>
          <w:color w:val="auto"/>
        </w:rPr>
      </w:pPr>
    </w:p>
    <w:p>
      <w:pPr>
        <w:ind w:left="240" w:right="260"/>
        <w:spacing w:after="0" w:line="276" w:lineRule="auto"/>
        <w:rPr>
          <w:sz w:val="20"/>
          <w:szCs w:val="20"/>
          <w:color w:val="auto"/>
        </w:rPr>
      </w:pPr>
      <w:r>
        <w:rPr>
          <w:rFonts w:ascii="Arial" w:cs="Arial" w:eastAsia="Arial" w:hAnsi="Arial"/>
          <w:sz w:val="17"/>
          <w:szCs w:val="17"/>
          <w:color w:val="auto"/>
        </w:rPr>
        <w:t>To be completed ONLY if certificates for Original Notes in a principal amount not tendered or not accepted are to be issued in the name of someone other than the undersigned, or if Original Notes are to be returned by credit to an account maintained by DTC other than the account designated above.</w:t>
      </w:r>
    </w:p>
    <w:p>
      <w:pPr>
        <w:spacing w:after="0" w:line="78" w:lineRule="exact"/>
        <w:rPr>
          <w:sz w:val="20"/>
          <w:szCs w:val="20"/>
          <w:color w:val="auto"/>
        </w:rPr>
      </w:pPr>
    </w:p>
    <w:p>
      <w:pPr>
        <w:ind w:left="240" w:right="260"/>
        <w:spacing w:after="0" w:line="277" w:lineRule="auto"/>
        <w:rPr>
          <w:sz w:val="20"/>
          <w:szCs w:val="20"/>
          <w:color w:val="auto"/>
        </w:rPr>
      </w:pPr>
      <w:r>
        <w:rPr>
          <w:rFonts w:ascii="Arial" w:cs="Arial" w:eastAsia="Arial" w:hAnsi="Arial"/>
          <w:sz w:val="18"/>
          <w:szCs w:val="18"/>
          <w:color w:val="auto"/>
        </w:rPr>
        <w:t>Issue certificates for Original Notes not tendered or not accepted to:</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Name(s):</w:t>
      </w:r>
    </w:p>
    <w:p>
      <w:pPr>
        <w:spacing w:after="0" w:line="23" w:lineRule="exact"/>
        <w:rPr>
          <w:sz w:val="20"/>
          <w:szCs w:val="20"/>
          <w:color w:val="auto"/>
        </w:rPr>
      </w:pPr>
    </w:p>
    <w:p>
      <w:pPr>
        <w:ind w:left="2420"/>
        <w:spacing w:after="0"/>
        <w:rPr>
          <w:sz w:val="20"/>
          <w:szCs w:val="20"/>
          <w:color w:val="auto"/>
        </w:rPr>
      </w:pPr>
      <w:r>
        <w:rPr>
          <w:rFonts w:ascii="Arial" w:cs="Arial" w:eastAsia="Arial" w:hAnsi="Arial"/>
          <w:sz w:val="14"/>
          <w:szCs w:val="14"/>
          <w:b w:val="1"/>
          <w:bCs w:val="1"/>
          <w:color w:val="auto"/>
        </w:rPr>
        <w:t>(Please Type or Print)</w:t>
      </w:r>
    </w:p>
    <w:p>
      <w:pPr>
        <w:spacing w:after="0" w:line="208" w:lineRule="exact"/>
        <w:rPr>
          <w:sz w:val="20"/>
          <w:szCs w:val="20"/>
          <w:color w:val="auto"/>
        </w:rPr>
      </w:pPr>
    </w:p>
    <w:p>
      <w:pPr>
        <w:ind w:left="2420"/>
        <w:spacing w:after="0"/>
        <w:rPr>
          <w:sz w:val="20"/>
          <w:szCs w:val="20"/>
          <w:color w:val="auto"/>
        </w:rPr>
      </w:pPr>
      <w:r>
        <w:rPr>
          <w:rFonts w:ascii="Arial" w:cs="Arial" w:eastAsia="Arial" w:hAnsi="Arial"/>
          <w:sz w:val="14"/>
          <w:szCs w:val="14"/>
          <w:b w:val="1"/>
          <w:bCs w:val="1"/>
          <w:color w:val="auto"/>
        </w:rPr>
        <w:t>(Please Type or Print)</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440"/>
        <w:spacing w:after="0"/>
        <w:rPr>
          <w:sz w:val="20"/>
          <w:szCs w:val="20"/>
          <w:color w:val="auto"/>
        </w:rPr>
      </w:pPr>
      <w:r>
        <w:rPr>
          <w:rFonts w:ascii="Arial" w:cs="Arial" w:eastAsia="Arial" w:hAnsi="Arial"/>
          <w:sz w:val="14"/>
          <w:szCs w:val="14"/>
          <w:b w:val="1"/>
          <w:bCs w:val="1"/>
          <w:color w:val="auto"/>
        </w:rPr>
        <w:t>(Including Zip Code)</w:t>
      </w:r>
    </w:p>
    <w:p>
      <w:pPr>
        <w:spacing w:after="0" w:line="200" w:lineRule="exact"/>
        <w:rPr>
          <w:sz w:val="20"/>
          <w:szCs w:val="20"/>
          <w:color w:val="auto"/>
        </w:rPr>
      </w:pPr>
    </w:p>
    <w:p>
      <w:pPr>
        <w:spacing w:after="0" w:line="274" w:lineRule="exact"/>
        <w:rPr>
          <w:sz w:val="20"/>
          <w:szCs w:val="20"/>
          <w:color w:val="auto"/>
        </w:rPr>
      </w:pPr>
    </w:p>
    <w:p>
      <w:pPr>
        <w:ind w:left="2240"/>
        <w:spacing w:after="0"/>
        <w:rPr>
          <w:sz w:val="20"/>
          <w:szCs w:val="20"/>
          <w:color w:val="auto"/>
        </w:rPr>
      </w:pPr>
      <w:r>
        <w:rPr>
          <w:rFonts w:ascii="Arial" w:cs="Arial" w:eastAsia="Arial" w:hAnsi="Arial"/>
          <w:sz w:val="14"/>
          <w:szCs w:val="14"/>
          <w:b w:val="1"/>
          <w:bCs w:val="1"/>
          <w:color w:val="auto"/>
        </w:rPr>
        <w:t>Taxpayer Identification Number</w:t>
      </w:r>
    </w:p>
    <w:p>
      <w:pPr>
        <w:spacing w:after="0" w:line="63" w:lineRule="exact"/>
        <w:rPr>
          <w:sz w:val="20"/>
          <w:szCs w:val="20"/>
          <w:color w:val="auto"/>
        </w:rPr>
      </w:pPr>
    </w:p>
    <w:p>
      <w:pPr>
        <w:jc w:val="center"/>
        <w:ind w:left="240" w:right="80"/>
        <w:spacing w:after="0" w:line="264" w:lineRule="auto"/>
        <w:rPr>
          <w:sz w:val="20"/>
          <w:szCs w:val="20"/>
          <w:color w:val="auto"/>
        </w:rPr>
      </w:pPr>
      <w:r>
        <w:rPr>
          <w:rFonts w:ascii="Arial" w:cs="Arial" w:eastAsia="Arial" w:hAnsi="Arial"/>
          <w:sz w:val="18"/>
          <w:szCs w:val="18"/>
          <w:color w:val="auto"/>
        </w:rPr>
        <w:t>(Such person(s) must also complete the Substitute Form W-9, a Form W-8BEN, a Form W-8ECI or a Form W-8IMY, as applicable)</w:t>
      </w:r>
    </w:p>
    <w:p>
      <w:pPr>
        <w:spacing w:after="0" w:line="87" w:lineRule="exact"/>
        <w:rPr>
          <w:sz w:val="20"/>
          <w:szCs w:val="20"/>
          <w:color w:val="auto"/>
        </w:rPr>
      </w:pPr>
    </w:p>
    <w:p>
      <w:pPr>
        <w:jc w:val="center"/>
        <w:ind w:left="240" w:right="80"/>
        <w:spacing w:after="0" w:line="277" w:lineRule="auto"/>
        <w:rPr>
          <w:sz w:val="20"/>
          <w:szCs w:val="20"/>
          <w:color w:val="auto"/>
        </w:rPr>
      </w:pPr>
      <w:r>
        <w:rPr>
          <w:rFonts w:ascii="Arial" w:cs="Arial" w:eastAsia="Arial" w:hAnsi="Arial"/>
          <w:sz w:val="18"/>
          <w:szCs w:val="18"/>
          <w:color w:val="auto"/>
        </w:rPr>
        <w:t>Credit unaccepted Original Notes tendered by book-entry transfer to:</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SPECIAL DELIVERY INSTRUCTIONS</w:t>
      </w:r>
    </w:p>
    <w:p>
      <w:pPr>
        <w:spacing w:after="0" w:line="27"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(See Instructions 3 and 4)</w:t>
      </w:r>
    </w:p>
    <w:p>
      <w:pPr>
        <w:spacing w:after="0" w:line="224"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To be completed ONLY if certificates for Original Notes in a principal amount not tendered or not accepted are to be sent to someone other than the undersigned at an address other than that shown above.</w:t>
      </w:r>
    </w:p>
    <w:p>
      <w:pPr>
        <w:spacing w:after="0" w:line="9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Deliver certificates for Original Notes not tendered or not accepted to:</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Name(s):</w:t>
      </w:r>
    </w:p>
    <w:p>
      <w:pPr>
        <w:spacing w:after="0" w:line="23" w:lineRule="exact"/>
        <w:rPr>
          <w:sz w:val="20"/>
          <w:szCs w:val="20"/>
          <w:color w:val="auto"/>
        </w:rPr>
      </w:pPr>
    </w:p>
    <w:p>
      <w:pPr>
        <w:ind w:left="2420"/>
        <w:spacing w:after="0"/>
        <w:rPr>
          <w:sz w:val="20"/>
          <w:szCs w:val="20"/>
          <w:color w:val="auto"/>
        </w:rPr>
      </w:pPr>
      <w:r>
        <w:rPr>
          <w:rFonts w:ascii="Arial" w:cs="Arial" w:eastAsia="Arial" w:hAnsi="Arial"/>
          <w:sz w:val="14"/>
          <w:szCs w:val="14"/>
          <w:b w:val="1"/>
          <w:bCs w:val="1"/>
          <w:color w:val="auto"/>
        </w:rPr>
        <w:t>(Please Type or Print)</w:t>
      </w:r>
    </w:p>
    <w:p>
      <w:pPr>
        <w:spacing w:after="0" w:line="208"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(Please Type or Print)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(Including Zip Code)</w:t>
      </w:r>
    </w:p>
    <w:p>
      <w:pPr>
        <w:spacing w:after="0" w:line="200" w:lineRule="exact"/>
        <w:rPr>
          <w:sz w:val="20"/>
          <w:szCs w:val="20"/>
          <w:color w:val="auto"/>
        </w:rPr>
      </w:pPr>
    </w:p>
    <w:p>
      <w:pPr>
        <w:spacing w:after="0" w:line="274" w:lineRule="exact"/>
        <w:rPr>
          <w:sz w:val="20"/>
          <w:szCs w:val="20"/>
          <w:color w:val="auto"/>
        </w:rPr>
      </w:pPr>
    </w:p>
    <w:p>
      <w:pPr>
        <w:ind w:left="2080"/>
        <w:spacing w:after="0"/>
        <w:rPr>
          <w:sz w:val="20"/>
          <w:szCs w:val="20"/>
          <w:color w:val="auto"/>
        </w:rPr>
      </w:pPr>
      <w:r>
        <w:rPr>
          <w:rFonts w:ascii="Arial" w:cs="Arial" w:eastAsia="Arial" w:hAnsi="Arial"/>
          <w:sz w:val="14"/>
          <w:szCs w:val="14"/>
          <w:b w:val="1"/>
          <w:bCs w:val="1"/>
          <w:color w:val="auto"/>
        </w:rPr>
        <w:t>Taxpayer Identification Number</w:t>
      </w:r>
    </w:p>
    <w:p>
      <w:pPr>
        <w:spacing w:after="0" w:line="239" w:lineRule="exact"/>
        <w:rPr>
          <w:sz w:val="20"/>
          <w:szCs w:val="20"/>
          <w:color w:val="auto"/>
        </w:rPr>
      </w:pPr>
    </w:p>
    <w:p>
      <w:pPr>
        <w:jc w:val="center"/>
        <w:ind w:left="-19"/>
        <w:spacing w:after="0" w:line="342" w:lineRule="auto"/>
        <w:rPr>
          <w:sz w:val="20"/>
          <w:szCs w:val="20"/>
          <w:color w:val="auto"/>
        </w:rPr>
      </w:pPr>
      <w:r>
        <w:rPr>
          <w:rFonts w:ascii="Arial" w:cs="Arial" w:eastAsia="Arial" w:hAnsi="Arial"/>
          <w:sz w:val="16"/>
          <w:szCs w:val="16"/>
          <w:color w:val="auto"/>
        </w:rPr>
        <w:t>(Such person(s) must also complete the Substitute Form W-9, a Form W-8BEN, a Form W-8ECI or a Form W-8IMY, as applicable)</w:t>
      </w:r>
    </w:p>
    <w:p>
      <w:pPr>
        <w:spacing w:after="0" w:line="518" w:lineRule="exact"/>
        <w:rPr>
          <w:sz w:val="20"/>
          <w:szCs w:val="20"/>
          <w:color w:val="auto"/>
        </w:rPr>
      </w:pPr>
    </w:p>
    <w:p>
      <w:pPr>
        <w:sectPr>
          <w:pgSz w:w="11900" w:h="16838" w:orient="portrait"/>
          <w:cols w:equalWidth="0" w:num="2">
            <w:col w:w="5140" w:space="720"/>
            <w:col w:w="5160"/>
          </w:cols>
          <w:pgMar w:left="440" w:top="274" w:right="439" w:bottom="1440" w:gutter="0" w:footer="0" w:header="0"/>
          <w:type w:val="continuous"/>
        </w:sectPr>
      </w:pPr>
    </w:p>
    <w:p>
      <w:pPr>
        <w:spacing w:after="0" w:line="246"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auto"/>
        </w:rPr>
        <w:t>(DTC Account Number)</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IMPORTANT: This Letter of Transmittal or a facsimile hereof or an agent’s message in lieu thereof (together with the certificates for Original Notes or a book-entry confirmation and all other required documents) must be received by the Exchange Agent at or prior to 5:00 p.m., New York City time, on the Expiration 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READ THIS ENTIRE LETTER OF TRANSMITTAL CAREFULLY BEFORE COMPLETING ANY BOX ABOVE.</w:t>
      </w:r>
    </w:p>
    <w:p>
      <w:pPr>
        <w:spacing w:after="0" w:line="225" w:lineRule="exact"/>
        <w:rPr>
          <w:sz w:val="20"/>
          <w:szCs w:val="20"/>
          <w:color w:val="auto"/>
        </w:rPr>
      </w:pPr>
    </w:p>
    <w:p>
      <w:pPr>
        <w:jc w:val="center"/>
        <w:ind w:left="460" w:right="60"/>
        <w:spacing w:after="0" w:line="277" w:lineRule="auto"/>
        <w:rPr>
          <w:sz w:val="20"/>
          <w:szCs w:val="20"/>
          <w:color w:val="auto"/>
        </w:rPr>
      </w:pPr>
      <w:r>
        <w:rPr>
          <w:rFonts w:ascii="Arial" w:cs="Arial" w:eastAsia="Arial" w:hAnsi="Arial"/>
          <w:sz w:val="18"/>
          <w:szCs w:val="18"/>
          <w:color w:val="auto"/>
        </w:rPr>
        <w:t>IN ORDER TO VALIDLY TENDER ORIGINAL NOTES FOR EXCHANGE, HOLDERS OF ORIGINAL NOTES MUST COMPLETE, EXECUTE, AND DELIVER THE LETTER OF TRANSMITTAL OR A PROPERLY TRANSMITTED AGENT’S MESSAGE.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type w:val="continuous"/>
        </w:sectPr>
      </w:pPr>
    </w:p>
    <w:bookmarkStart w:id="63" w:name="page64"/>
    <w:bookmarkEnd w:id="6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 HERE</w:t>
      </w:r>
    </w:p>
    <w:p>
      <w:pPr>
        <w:spacing w:after="0" w:line="229"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(To be completed by all tendering holders of Original Notes regardless of whether Original Notes are being physically delivered herewith, other than holders effecting delivery through ATOP)</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By completing, executing and delivering this Letter of Transmittal, the undersigned hereby tenders to Union Pacific the principal amount of the Original Notes listed in the table on page 5 entitled “Description of Original Notes Tendered”.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gridSpan w:val="3"/>
          </w:tcPr>
          <w:p>
            <w:pPr>
              <w:spacing w:after="0"/>
              <w:rPr>
                <w:sz w:val="20"/>
                <w:szCs w:val="20"/>
                <w:color w:val="auto"/>
              </w:rPr>
            </w:pPr>
            <w:r>
              <w:rPr>
                <w:rFonts w:ascii="Arial" w:cs="Arial" w:eastAsia="Arial" w:hAnsi="Arial"/>
                <w:sz w:val="18"/>
                <w:szCs w:val="18"/>
                <w:color w:val="auto"/>
              </w:rPr>
              <w:t>Signature of Registered Holder(s) or Authorized</w:t>
            </w:r>
          </w:p>
        </w:tc>
        <w:tc>
          <w:tcPr>
            <w:tcW w:w="3860" w:type="dxa"/>
            <w:vAlign w:val="bottom"/>
          </w:tcPr>
          <w:p>
            <w:pPr>
              <w:spacing w:after="0"/>
              <w:rPr>
                <w:sz w:val="20"/>
                <w:szCs w:val="20"/>
                <w:color w:val="auto"/>
              </w:rPr>
            </w:pPr>
            <w:r>
              <w:rPr>
                <w:rFonts w:ascii="Arial" w:cs="Arial" w:eastAsia="Arial" w:hAnsi="Arial"/>
                <w:sz w:val="18"/>
                <w:szCs w:val="18"/>
                <w:color w:val="auto"/>
              </w:rPr>
              <w:t>Area Code and Telephone</w:t>
            </w:r>
          </w:p>
        </w:tc>
        <w:tc>
          <w:tcPr>
            <w:tcW w:w="1640" w:type="dxa"/>
            <w:vAlign w:val="bottom"/>
            <w:gridSpan w:val="2"/>
          </w:tcPr>
          <w:p>
            <w:pPr>
              <w:ind w:left="420"/>
              <w:spacing w:after="0"/>
              <w:rPr>
                <w:sz w:val="20"/>
                <w:szCs w:val="20"/>
                <w:color w:val="auto"/>
              </w:rPr>
            </w:pPr>
            <w:r>
              <w:rPr>
                <w:rFonts w:ascii="Arial" w:cs="Arial" w:eastAsia="Arial" w:hAnsi="Arial"/>
                <w:sz w:val="18"/>
                <w:szCs w:val="18"/>
                <w:color w:val="auto"/>
              </w:rPr>
              <w:t>Date</w:t>
            </w: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color w:val="auto"/>
              </w:rPr>
              <w:t>Signatory (see guarantee requirement below)</w:t>
            </w:r>
          </w:p>
        </w:tc>
        <w:tc>
          <w:tcPr>
            <w:tcW w:w="3860" w:type="dxa"/>
            <w:vAlign w:val="bottom"/>
          </w:tcPr>
          <w:p>
            <w:pPr>
              <w:spacing w:after="0"/>
              <w:rPr>
                <w:sz w:val="20"/>
                <w:szCs w:val="20"/>
                <w:color w:val="auto"/>
              </w:rPr>
            </w:pPr>
            <w:r>
              <w:rPr>
                <w:rFonts w:ascii="Arial" w:cs="Arial" w:eastAsia="Arial" w:hAnsi="Arial"/>
                <w:sz w:val="18"/>
                <w:szCs w:val="18"/>
                <w:color w:val="auto"/>
              </w:rPr>
              <w:t>Number</w:t>
            </w: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r>
      <w:tr>
        <w:trPr>
          <w:trHeight w:val="277"/>
        </w:trPr>
        <w:tc>
          <w:tcPr>
            <w:tcW w:w="5540" w:type="dxa"/>
            <w:vAlign w:val="bottom"/>
            <w:gridSpan w:val="3"/>
          </w:tcPr>
          <w:p>
            <w:pPr>
              <w:spacing w:after="0"/>
              <w:rPr>
                <w:sz w:val="20"/>
                <w:szCs w:val="20"/>
                <w:color w:val="auto"/>
              </w:rPr>
            </w:pPr>
            <w:r>
              <w:rPr>
                <w:rFonts w:ascii="Arial" w:cs="Arial" w:eastAsia="Arial" w:hAnsi="Arial"/>
                <w:sz w:val="18"/>
                <w:szCs w:val="18"/>
                <w:color w:val="auto"/>
              </w:rPr>
              <w:t>Signature of Registered Holder(s) or Authorized</w:t>
            </w:r>
          </w:p>
        </w:tc>
        <w:tc>
          <w:tcPr>
            <w:tcW w:w="3860" w:type="dxa"/>
            <w:vAlign w:val="bottom"/>
          </w:tcPr>
          <w:p>
            <w:pPr>
              <w:spacing w:after="0"/>
              <w:rPr>
                <w:sz w:val="20"/>
                <w:szCs w:val="20"/>
                <w:color w:val="auto"/>
              </w:rPr>
            </w:pPr>
            <w:r>
              <w:rPr>
                <w:rFonts w:ascii="Arial" w:cs="Arial" w:eastAsia="Arial" w:hAnsi="Arial"/>
                <w:sz w:val="18"/>
                <w:szCs w:val="18"/>
                <w:color w:val="auto"/>
              </w:rPr>
              <w:t>Area Code and Telephone</w:t>
            </w:r>
          </w:p>
        </w:tc>
        <w:tc>
          <w:tcPr>
            <w:tcW w:w="1640" w:type="dxa"/>
            <w:vAlign w:val="bottom"/>
            <w:gridSpan w:val="2"/>
          </w:tcPr>
          <w:p>
            <w:pPr>
              <w:ind w:left="420"/>
              <w:spacing w:after="0"/>
              <w:rPr>
                <w:sz w:val="20"/>
                <w:szCs w:val="20"/>
                <w:color w:val="auto"/>
              </w:rPr>
            </w:pPr>
            <w:r>
              <w:rPr>
                <w:rFonts w:ascii="Arial" w:cs="Arial" w:eastAsia="Arial" w:hAnsi="Arial"/>
                <w:sz w:val="18"/>
                <w:szCs w:val="18"/>
                <w:color w:val="auto"/>
              </w:rPr>
              <w:t>Date</w:t>
            </w: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color w:val="auto"/>
              </w:rPr>
              <w:t>Signatory (see guarantee requirement below)</w:t>
            </w:r>
          </w:p>
        </w:tc>
        <w:tc>
          <w:tcPr>
            <w:tcW w:w="3860" w:type="dxa"/>
            <w:vAlign w:val="bottom"/>
          </w:tcPr>
          <w:p>
            <w:pPr>
              <w:spacing w:after="0"/>
              <w:rPr>
                <w:sz w:val="20"/>
                <w:szCs w:val="20"/>
                <w:color w:val="auto"/>
              </w:rPr>
            </w:pPr>
            <w:r>
              <w:rPr>
                <w:rFonts w:ascii="Arial" w:cs="Arial" w:eastAsia="Arial" w:hAnsi="Arial"/>
                <w:sz w:val="18"/>
                <w:szCs w:val="18"/>
                <w:color w:val="auto"/>
              </w:rPr>
              <w:t>Number</w:t>
            </w: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r>
      <w:tr>
        <w:trPr>
          <w:trHeight w:val="277"/>
        </w:trPr>
        <w:tc>
          <w:tcPr>
            <w:tcW w:w="5540" w:type="dxa"/>
            <w:vAlign w:val="bottom"/>
            <w:gridSpan w:val="3"/>
          </w:tcPr>
          <w:p>
            <w:pPr>
              <w:spacing w:after="0"/>
              <w:rPr>
                <w:sz w:val="20"/>
                <w:szCs w:val="20"/>
                <w:color w:val="auto"/>
              </w:rPr>
            </w:pPr>
            <w:r>
              <w:rPr>
                <w:rFonts w:ascii="Arial" w:cs="Arial" w:eastAsia="Arial" w:hAnsi="Arial"/>
                <w:sz w:val="18"/>
                <w:szCs w:val="18"/>
                <w:color w:val="auto"/>
              </w:rPr>
              <w:t>Signature of Registered Holder(s) or Authorized</w:t>
            </w:r>
          </w:p>
        </w:tc>
        <w:tc>
          <w:tcPr>
            <w:tcW w:w="3860" w:type="dxa"/>
            <w:vAlign w:val="bottom"/>
          </w:tcPr>
          <w:p>
            <w:pPr>
              <w:spacing w:after="0"/>
              <w:rPr>
                <w:sz w:val="20"/>
                <w:szCs w:val="20"/>
                <w:color w:val="auto"/>
              </w:rPr>
            </w:pPr>
            <w:r>
              <w:rPr>
                <w:rFonts w:ascii="Arial" w:cs="Arial" w:eastAsia="Arial" w:hAnsi="Arial"/>
                <w:sz w:val="18"/>
                <w:szCs w:val="18"/>
                <w:color w:val="auto"/>
              </w:rPr>
              <w:t>Area Code and Telephone</w:t>
            </w:r>
          </w:p>
        </w:tc>
        <w:tc>
          <w:tcPr>
            <w:tcW w:w="1640" w:type="dxa"/>
            <w:vAlign w:val="bottom"/>
            <w:gridSpan w:val="2"/>
          </w:tcPr>
          <w:p>
            <w:pPr>
              <w:ind w:left="420"/>
              <w:spacing w:after="0"/>
              <w:rPr>
                <w:sz w:val="20"/>
                <w:szCs w:val="20"/>
                <w:color w:val="auto"/>
              </w:rPr>
            </w:pPr>
            <w:r>
              <w:rPr>
                <w:rFonts w:ascii="Arial" w:cs="Arial" w:eastAsia="Arial" w:hAnsi="Arial"/>
                <w:sz w:val="18"/>
                <w:szCs w:val="18"/>
                <w:color w:val="auto"/>
              </w:rPr>
              <w:t>Date</w:t>
            </w: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color w:val="auto"/>
              </w:rPr>
              <w:t>Signatory (see guarantee requirement below)</w:t>
            </w:r>
          </w:p>
        </w:tc>
        <w:tc>
          <w:tcPr>
            <w:tcW w:w="3860" w:type="dxa"/>
            <w:vAlign w:val="bottom"/>
          </w:tcPr>
          <w:p>
            <w:pPr>
              <w:spacing w:after="0"/>
              <w:rPr>
                <w:sz w:val="20"/>
                <w:szCs w:val="20"/>
                <w:color w:val="auto"/>
              </w:rPr>
            </w:pPr>
            <w:r>
              <w:rPr>
                <w:rFonts w:ascii="Arial" w:cs="Arial" w:eastAsia="Arial" w:hAnsi="Arial"/>
                <w:sz w:val="18"/>
                <w:szCs w:val="18"/>
                <w:color w:val="auto"/>
              </w:rPr>
              <w:t>Number</w:t>
            </w: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r>
      <w:tr>
        <w:trPr>
          <w:trHeight w:val="277"/>
        </w:trPr>
        <w:tc>
          <w:tcPr>
            <w:tcW w:w="5540" w:type="dxa"/>
            <w:vAlign w:val="bottom"/>
            <w:gridSpan w:val="3"/>
          </w:tcPr>
          <w:p>
            <w:pPr>
              <w:spacing w:after="0"/>
              <w:rPr>
                <w:sz w:val="20"/>
                <w:szCs w:val="20"/>
                <w:color w:val="auto"/>
              </w:rPr>
            </w:pPr>
            <w:r>
              <w:rPr>
                <w:rFonts w:ascii="Arial" w:cs="Arial" w:eastAsia="Arial" w:hAnsi="Arial"/>
                <w:sz w:val="18"/>
                <w:szCs w:val="18"/>
                <w:color w:val="auto"/>
              </w:rPr>
              <w:t>Signature of Registered Holder(s) or Authorized</w:t>
            </w:r>
          </w:p>
        </w:tc>
        <w:tc>
          <w:tcPr>
            <w:tcW w:w="3860" w:type="dxa"/>
            <w:vAlign w:val="bottom"/>
          </w:tcPr>
          <w:p>
            <w:pPr>
              <w:spacing w:after="0"/>
              <w:rPr>
                <w:sz w:val="20"/>
                <w:szCs w:val="20"/>
                <w:color w:val="auto"/>
              </w:rPr>
            </w:pPr>
            <w:r>
              <w:rPr>
                <w:rFonts w:ascii="Arial" w:cs="Arial" w:eastAsia="Arial" w:hAnsi="Arial"/>
                <w:sz w:val="18"/>
                <w:szCs w:val="18"/>
                <w:color w:val="auto"/>
              </w:rPr>
              <w:t>Area Code and Telephone</w:t>
            </w:r>
          </w:p>
        </w:tc>
        <w:tc>
          <w:tcPr>
            <w:tcW w:w="1640" w:type="dxa"/>
            <w:vAlign w:val="bottom"/>
            <w:gridSpan w:val="2"/>
          </w:tcPr>
          <w:p>
            <w:pPr>
              <w:ind w:left="420"/>
              <w:spacing w:after="0"/>
              <w:rPr>
                <w:sz w:val="20"/>
                <w:szCs w:val="20"/>
                <w:color w:val="auto"/>
              </w:rPr>
            </w:pPr>
            <w:r>
              <w:rPr>
                <w:rFonts w:ascii="Arial" w:cs="Arial" w:eastAsia="Arial" w:hAnsi="Arial"/>
                <w:sz w:val="18"/>
                <w:szCs w:val="18"/>
                <w:color w:val="auto"/>
              </w:rPr>
              <w:t>Date</w:t>
            </w: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color w:val="auto"/>
              </w:rPr>
              <w:t>Signatory (see guarantee requirement below)</w:t>
            </w:r>
          </w:p>
        </w:tc>
        <w:tc>
          <w:tcPr>
            <w:tcW w:w="3860" w:type="dxa"/>
            <w:vAlign w:val="bottom"/>
          </w:tcPr>
          <w:p>
            <w:pPr>
              <w:spacing w:after="0"/>
              <w:rPr>
                <w:sz w:val="20"/>
                <w:szCs w:val="20"/>
                <w:color w:val="auto"/>
              </w:rPr>
            </w:pPr>
            <w:r>
              <w:rPr>
                <w:rFonts w:ascii="Arial" w:cs="Arial" w:eastAsia="Arial" w:hAnsi="Arial"/>
                <w:sz w:val="18"/>
                <w:szCs w:val="18"/>
                <w:color w:val="auto"/>
              </w:rPr>
              <w:t>Number</w:t>
            </w: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2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a holder is tendering any Original Notes, this Letter of Transmittal must be signed by the registered holder(s) as the name(s) appear(s) on the certificate(s) for the Original Notes or on a DTC security position listing or by any person(s) authorized to become registered holder(s) by endorsements and documents transmitted herewith. If signature is by a trustee, executor, administrator, guardian, attorney-in-fact, officer or other person acting in a fiduciary or representative capacity, please set forth full title. See Instruction 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641350</wp:posOffset>
            </wp:positionH>
            <wp:positionV relativeFrom="paragraph">
              <wp:posOffset>14605</wp:posOffset>
            </wp:positionV>
            <wp:extent cx="63633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636333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(Please Type or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6997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Capacity (full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1344295</wp:posOffset>
            </wp:positionH>
            <wp:positionV relativeFrom="paragraph">
              <wp:posOffset>14605</wp:posOffset>
            </wp:positionV>
            <wp:extent cx="56597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5659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(Including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641350</wp:posOffset>
            </wp:positionH>
            <wp:positionV relativeFrom="paragraph">
              <wp:posOffset>-101600</wp:posOffset>
            </wp:positionV>
            <wp:extent cx="63633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6363335" cy="8890"/>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 Eligible Institution:</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1687830</wp:posOffset>
            </wp:positionH>
            <wp:positionV relativeFrom="paragraph">
              <wp:posOffset>-97155</wp:posOffset>
            </wp:positionV>
            <wp:extent cx="53168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5316855" cy="8890"/>
                    </a:xfrm>
                    <a:prstGeom prst="rect">
                      <a:avLst/>
                    </a:prstGeom>
                    <a:noFill/>
                  </pic:spPr>
                </pic:pic>
              </a:graphicData>
            </a:graphic>
          </wp:anchor>
        </w:drawing>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6997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(Name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6997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6997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440" w:top="270" w:right="41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INSTRUCTIONS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FORMING PART OF THE TERMS AND CONDITIONS OF THE EXCHANGE OFFER</w:t>
      </w:r>
    </w:p>
    <w:p>
      <w:pPr>
        <w:spacing w:after="0" w:line="238" w:lineRule="exact"/>
        <w:rPr>
          <w:sz w:val="20"/>
          <w:szCs w:val="20"/>
          <w:color w:val="auto"/>
        </w:rPr>
      </w:pPr>
    </w:p>
    <w:p>
      <w:pPr>
        <w:ind w:left="440" w:hanging="436"/>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Delivery of Letter of Transmittal.</w:t>
      </w:r>
    </w:p>
    <w:p>
      <w:pPr>
        <w:spacing w:after="0" w:line="11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This Letter of Transmittal is to be completed by or received with respect to holders of Original Notes either if certificates are to be forwarded herewith or if tenders are to be made pursuant to the procedures for delivery by book-entry transfer set forth in “The Exchange Offer-Procedures for Tendering” section of the Prospectus and an agent’s message is not being transmitted. Certificates for all physically tendered Original Notes (or book-entry confirmation), as well as a properly completed and duly executed Letter of Transmittal (or facsimile thereof) and any other documents required by this Letter of Transmittal (or, in lieu thereof, an agent’s message), must be received by the Exchange Agent at the address set forth herein on or prior to the Expiration Date. Original Notes tendered hereby must be in denominations of $1,000 and any integral multiple of $1,000 in excess thereof.</w:t>
      </w:r>
    </w:p>
    <w:p>
      <w:pPr>
        <w:spacing w:after="0" w:line="16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method of delivery of this Letter of Transmittal, the Original Notes and all other required documents is at the election and risk of the tendering holders. Instead of delivery by mail, it is recommended that holders use an overnight or hand delivery service. In all cases, sufficient time should be allowed to assure delivery to the Exchange Agent before the Expiration Date. No Letter of Transmittal or Original Notes should be sent to the Company. Holders may request their respective brokers, dealers, commercial banks, trust companies or nominees to effect the tenders for such holders.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“The Exchange Offer” section of the Prospectus.</w:t>
      </w:r>
    </w:p>
    <w:p>
      <w:pPr>
        <w:spacing w:after="0" w:line="374" w:lineRule="exact"/>
        <w:rPr>
          <w:sz w:val="20"/>
          <w:szCs w:val="20"/>
          <w:color w:val="auto"/>
        </w:rPr>
      </w:pPr>
    </w:p>
    <w:p>
      <w:pPr>
        <w:ind w:left="440" w:hanging="436"/>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Partial Tenders (not applicable to holders of Original Notes who tender by book-entry transfer); Withdrawals.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less than all of the Original Notes evidenced by a submitted certificate are to be tendered, the tendering holder(s) should fill in the aggregate principal amount of Original Notes to be tendered in the box above entitled “Description of Original Notes Tendered”. A newly reissued certificate for the Original Notes submitted but not tendered will be sent to such holder as soon as practicable after the Expiration Date. All of the Original Notes delivered to the Exchange Agent will be deemed to have been tendered unless otherwise clearly indicated.</w:t>
      </w:r>
    </w:p>
    <w:p>
      <w:pPr>
        <w:spacing w:after="0" w:line="18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If not yet accepted, a tender pursuant to the Exchange Offer may be withdrawn at any time prior to the Expiration Date. To be effective with respect to the tender of Original Notes, a written or facsimile transmission notice of withdrawal must: (i) be received by the Exchange Agent prior to the Expiration Date; (ii) specify the name of the person who deposited the Original Notes to be withdrawn; (iii) identify the Original Notes to be withdrawn (including the certificate number(s), if any, and principal amount of such Original Notes); (iv) be signed by the depositor in the same manner as the original signature on this Letter of Transmittal by which such Original Notes were tendered (including any required signature guarantees) or be accompanied by documents of transfer sufficient to have the trustee register the transfer of such Original Notes into the name of the person withdrawing the tender; and (v) specify the name in which any such Original Notes are to be registered, if different from that of the depositor. The Exchange Agent will return the properly withdrawn Original Notes promptly following receipt of notice of withdrawal. If Original Notes have been tendered pursuant to the procedure for book-entry transfer, any notice of withdrawal must specify the name and number of the account at DTC to be credited with the withdrawn Original Notes or otherwise comply with DTC’s procedures. All questions as to the validity of notices of withdrawal, including time of receipt, will be determined by the Company, and such determination will be final and binding on all parties.</w:t>
      </w:r>
    </w:p>
    <w:p>
      <w:pPr>
        <w:spacing w:after="0" w:line="332" w:lineRule="exact"/>
        <w:rPr>
          <w:sz w:val="20"/>
          <w:szCs w:val="20"/>
          <w:color w:val="auto"/>
        </w:rPr>
      </w:pPr>
    </w:p>
    <w:p>
      <w:pPr>
        <w:ind w:left="440" w:hanging="436"/>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Signatures on this Letter of Transmittal, Bond Powers and Endorsements; Guarantee of Signatures.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this Letter of Transmittal is signed by the registered holder(s) of the Original Notes tendered hereby, the signature must correspond exactly with the name as written on the face of the certificates without alteration, enlargement or any change whatsoever.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0" w:right="4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any tendered Original Notes are owned of record by two or more joint owners, all such owners must sign this Letter of Transmittal.</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If any tendered Original Notes are registered in different names on several certificates, it will be necessary to complete, sign and submit as many separate copies of this Letter of Transmittal as there are different registrations of certificates.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When this Letter of Transmittal is signed by the registered holder(s) (which term, for the purposes described herein, shall include persons whose names appear on a DTC security position listing as the owner of the Original Notes) of the Original Notes specified herein and tendered hereby, no endorsements of certificates or separate bond powers are required. If, however, the Exchange Notes are to be issued to a person other than the registered holder(s), then endorsements of any certificates transmitted hereby or separate bond powers are required. Signatures on such certificates must be guaranteed by an Eligible Institution (as defined below).</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this Letter of Transmittal is signed by a person other than the registered holder(s) of any Original Notes specified therein, such certificate(s) must be endorsed by such registered holder(s) or accompanied by separate written instruments of transfer or endorsed in blank by such registered holder(s) in form satisfactory to the Company and duly executed by the registered holder, in either case signed exactly as such registered holder’s or holders’ name(s) appear(s) on the Original Notes.</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this Letter of Transmittal or any certificates of Original Notes or separate written instruments of transfer or exchange are signed or endorsed by trustees, executors, administrators, guardians, attorneys-in-fact, officers of corporations or others acting in a fiduciary or representative capacity, such persons should so indicate when signing and, unless waived by the Company, evidence satisfactory to the Company of their authority to so act must be submitted with this Letter of Transmittal.</w:t>
      </w:r>
    </w:p>
    <w:p>
      <w:pPr>
        <w:spacing w:after="0" w:line="187"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Signatures on a Letter of Transmittal or a notice of withdrawal, as the case may be, must be guaranteed by an Eligible Institution unless the Original Notes tendered pursuant thereto are tendered (i) by a registered holder who has not completed the box entitled “Special Issuance Instructions” or “Special Delivery Instructions” on the Letter of Transmittal or (ii) for the account of an Eligible Institution. In the event that signatures on a Letter of Transmittal or a notice of withdrawal, as the case may be, are required to be guaranteed, such guarantee must be by a member firm of a registered national securities exchange or of the Financial Industry Regulatory Authority, Inc., a commercial bank or trust company having an office or correspondent in the United States or an “eligible guarantor institution” within the meaning of Rule 17Ad-15 under the Securities Exchange Act of 1934, as amended (an “Eligible Institution”).</w:t>
      </w:r>
    </w:p>
    <w:p>
      <w:pPr>
        <w:spacing w:after="0" w:line="326" w:lineRule="exact"/>
        <w:rPr>
          <w:sz w:val="20"/>
          <w:szCs w:val="20"/>
          <w:color w:val="auto"/>
        </w:rPr>
      </w:pPr>
    </w:p>
    <w:p>
      <w:pPr>
        <w:ind w:left="440" w:hanging="436"/>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Special Issuance and Delivery Instructions.</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Tendering Holders of Original Notes should indicate in the applicable box the name and address to which substitute certificates representing Original Notes for any Original Notes not exchanged are to be issued or sent or, in the case of a book-entry delivery of Original Notes, the appropriate DTC participant name and number, if different from the name or address or the DTC participant name and number, as the case may be, of the person signing this Letter of Transmittal. In the case of issuance in a different name, the employer identification or social security number of the person named also must be indicated. Holders tendering Original Notes by book-entry transfer may request that Original Notes not exchanged be credited to such account maintained at DTC as such note holder may designate hereon. If no such instructions are given, such Original Notes not exchanged will be returned to the name and address or the account maintained at DTC, as the case may be, of the person signing this Letter of Transmittal.</w:t>
      </w:r>
    </w:p>
    <w:p>
      <w:pPr>
        <w:spacing w:after="0" w:line="316" w:lineRule="exact"/>
        <w:rPr>
          <w:sz w:val="20"/>
          <w:szCs w:val="20"/>
          <w:color w:val="auto"/>
        </w:rPr>
      </w:pPr>
    </w:p>
    <w:p>
      <w:pPr>
        <w:ind w:left="440" w:hanging="436"/>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Taxpayer Identification Number and Backup Withholding.</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An exchange of Original Notes for Exchange Notes will not be treated as a taxable exchange or other taxable event for U.S. Federal income tax purposes. In particular, no backup withholding or information reporting is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4" w:right="499" w:bottom="1440" w:gutter="0" w:footer="0" w:header="0"/>
        </w:sectPr>
      </w:pPr>
    </w:p>
    <w:bookmarkStart w:id="66" w:name="page67"/>
    <w:bookmarkEnd w:id="66"/>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required in connection with such an exchange. However, U.S. Federal income tax law generally requires that payments of principal and interest on a note to a holder be subject to backup withholding unless such holder provides the payor with such holder’s correct Taxpayer Identification Number (“TIN”) on the Substitute Form W-9 below or otherwise establishes a basis for exemption. If such holder is an individual, the TIN is his or her social security number. If the payor is not provided with the correct TIN or an adequate basis for an exemption, such tendering holder may be subject to a $50 penalty imposed by the Internal Revenue Service (“IRS”). In addition, such holder may be subject to backup withholding in an amount that is currently 24% of all reportable payments of principal and interest.</w:t>
      </w:r>
    </w:p>
    <w:p>
      <w:pPr>
        <w:spacing w:after="0" w:line="19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Certain holders (including, among others, all corporations) are not subject to these backup withholdings and reporting requirements. Such holders that are U.S. persons should nevertheless complete the attached Substitute Form W-9 below, and check the box marked “Exempt Payees” in Part II, to avoid possible erroneous backup withholding. If the tendering holder of Original Notes is a nonresident alien or foreign entity not subject to the backup withholding, such holder must give the Company a complete Form W-8BEN Certificate of Foreign Status of Beneficial Owner for United States Tax Withholding, Form W-8BEN-E Certificate of Entities Status of Beneficial Owner for United States Tax Withholding, or other appropriate Form W-8. These forms may be obtained from the Exchange Agent or from the IRS’s website, www.irs.gov. See the enclosed Guidelines for Certification of Taxpayer Identification Number on Substitute Form W-9 (the “W-9 Guidelines”) and IRS Form W-9 instructions (which will be available upon request and on the IRS website at https://www.irs.gov/pub/irs-pdf/fw9.pdf) for additional instructions.</w:t>
      </w:r>
    </w:p>
    <w:p>
      <w:pPr>
        <w:spacing w:after="0" w:line="17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 prevent backup withholding on reportable payments of principal and interest, each tendering holder of Original Notes must provide its correct TIN by completing the Substitute Form W-9 set forth below, certifying that the TIN provided is correct (or that such holder is awaiting a TIN) and that (a) (i) the holder is exempt from backup withholding, (ii) the holder has not been notified by the IRS that such holder is subject to backup withholding as a result of a failure to report all interest or dividends or (iii) the IRS has notified the holder that such holder is no longer subject to backup withholding; (b) the holder is a U.S. person; and (c) the FATCA codes entered (if any) are correct. If the Original Notes are in more than one name or are not in the name of the actual owner, such holder should consult the W-9 Guidelines for information on which TIN to report. If the Exchange Agent is provided with an incorrect TIN, or if a holder makes false statements resulting in no backup withholding, such holder may be subject to penalties imposed by the IRS.</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the holder does not have a TIN, such holder should consult the enclosed Guidelines for Certification of Taxpayer Identification Number on Substitute Form W-9 for instructions on applying for a TIN, write “Applied For” in the space for the TIN in Part I of the Substitute Form W-9 and sign and date the Substitute Form W-9 and the Certificate of Awaiting Taxpayer Identification Number set forth herein. If such holder does not provide such holder’s TIN to the Exchange Agent within 60 days, backup withholding will begin and continue until such holder furnishes such holder’s TIN to the Exchange Agent. NOTE: WRITING “APPLIED FOR” ON THE FORM MEANS THAT THE HOLDER HAS ALREADY APPLIED FOR A TIN OR THAT SUCH HOLDER INTENDS TO APPLY FOR ONE IN THE NEAR FUTURE.</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If backup withholding applies, the payor will withhold the appropriate percentage (currently 24%) from payments to the payee. Backup withholding is not an additional Federal income tax. Rather, the Federal income tax liability of persons subject to backup withholding will be reduced by the amount of tax withheld. If withholding results in overpayment of taxes, a refund may be obtained from the IRS.</w:t>
      </w:r>
    </w:p>
    <w:p>
      <w:pPr>
        <w:spacing w:after="0" w:line="330" w:lineRule="exact"/>
        <w:rPr>
          <w:sz w:val="20"/>
          <w:szCs w:val="20"/>
          <w:color w:val="auto"/>
        </w:rPr>
      </w:pPr>
    </w:p>
    <w:p>
      <w:pPr>
        <w:ind w:left="440" w:hanging="436"/>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Transfer Taxes.</w:t>
      </w:r>
    </w:p>
    <w:p>
      <w:pPr>
        <w:spacing w:after="0" w:line="117"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Holders who tender their Original Notes for exchange will not be obligated to pay any transfer taxes in connection therewith. If, however, Exchange Notes are to be delivered to, or are to be issued in the name of, any person other than the registered holder of the Original Notes tendered hereby, or if tendered Original Notes are registered in the name of any person other than the person signing this Letter of Transmittal, or if a transfer tax is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67" w:name="page68"/>
    <w:bookmarkEnd w:id="67"/>
    <w:p>
      <w:pPr>
        <w:ind w:right="3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imposed for any reason other than the exchange of Original Notes in connection with the Exchange Offer, the amount of any such transfer taxes (whether imposed on the registered holder or any other persons) will be payable by the tendering holder. If satisfactory evidence of payment of such taxes or exemption therefrom is not submitted herewith, the amount of such transfer taxes will be billed directly to such tendering holder.</w:t>
      </w:r>
    </w:p>
    <w:p>
      <w:pPr>
        <w:spacing w:after="0" w:line="1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Except as provided in this Instruction 6, it will not be necessary for transfer tax stamps to be affixed to the Original Notes specified in this Letter of Transmittal.</w:t>
      </w:r>
    </w:p>
    <w:p>
      <w:pPr>
        <w:spacing w:after="0" w:line="319" w:lineRule="exact"/>
        <w:rPr>
          <w:sz w:val="20"/>
          <w:szCs w:val="20"/>
          <w:color w:val="auto"/>
        </w:rPr>
      </w:pPr>
    </w:p>
    <w:p>
      <w:pPr>
        <w:ind w:left="440" w:hanging="436"/>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Waiver of Conditions.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reserves the right to waive satisfaction of any or all conditions enumerated in the Prospectus at any time and from time to time prior to the Expiration Date.</w:t>
      </w:r>
    </w:p>
    <w:p>
      <w:pPr>
        <w:spacing w:after="0" w:line="319" w:lineRule="exact"/>
        <w:rPr>
          <w:sz w:val="20"/>
          <w:szCs w:val="20"/>
          <w:color w:val="auto"/>
        </w:rPr>
      </w:pPr>
    </w:p>
    <w:p>
      <w:pPr>
        <w:ind w:left="440" w:hanging="436"/>
        <w:spacing w:after="0"/>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Conditional Tenders.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No alternative, conditional, irregular or contingent tenders will be accepted. All tendering holders of Original Notes, by execution of this Letter of Transmittal or, in lieu thereof, by transmission of an agent’s message, shall waive any right to receive notice of the acceptance of their Original Notes for exchange.</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None of the Company, the Exchange Agent or any other person is obligated to give notice of any defect or irregularity with respect to any tender of Original Notes nor shall any of them incur any liability for failure to give any such notice.</w:t>
      </w:r>
    </w:p>
    <w:p>
      <w:pPr>
        <w:spacing w:after="0" w:line="319" w:lineRule="exact"/>
        <w:rPr>
          <w:sz w:val="20"/>
          <w:szCs w:val="20"/>
          <w:color w:val="auto"/>
        </w:rPr>
      </w:pPr>
    </w:p>
    <w:p>
      <w:pPr>
        <w:ind w:left="440" w:hanging="436"/>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Mutilated, Lost, Stolen or Destroyed Original Notes.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Any holder whose Original Notes have been mutilated, lost, stolen or destroyed should contact the Exchange Agent at the address indicated above for further instructions.</w:t>
      </w:r>
    </w:p>
    <w:p>
      <w:pPr>
        <w:spacing w:after="0" w:line="319" w:lineRule="exact"/>
        <w:rPr>
          <w:sz w:val="20"/>
          <w:szCs w:val="20"/>
          <w:color w:val="auto"/>
        </w:rPr>
      </w:pPr>
    </w:p>
    <w:p>
      <w:pPr>
        <w:ind w:left="440" w:hanging="436"/>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Requests for Assistance or Additional Copies.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Questions relating to the procedure for tendering, as well as requests for additional copies of the Prospectus and this Letter of Transmittal, may be directed to the Exchange Agent, at the address and telephone number indicated above.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17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SUBSTITUTE</w:t>
            </w:r>
          </w:p>
        </w:tc>
        <w:tc>
          <w:tcPr>
            <w:tcW w:w="4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Borders>
              <w:right w:val="single" w:sz="8" w:color="auto"/>
            </w:tcBorders>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3"/>
                <w:szCs w:val="13"/>
                <w:b w:val="1"/>
                <w:bCs w:val="1"/>
                <w:color w:val="auto"/>
                <w:w w:val="96"/>
              </w:rPr>
              <w:t>Form W-9</w:t>
            </w:r>
          </w:p>
        </w:tc>
        <w:tc>
          <w:tcPr>
            <w:tcW w:w="1060" w:type="dxa"/>
            <w:vAlign w:val="bottom"/>
            <w:tcBorders>
              <w:righ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920" w:type="dxa"/>
            <w:vAlign w:val="bottom"/>
            <w:vMerge w:val="restart"/>
          </w:tcPr>
          <w:p>
            <w:pPr>
              <w:jc w:val="center"/>
              <w:ind w:right="357"/>
              <w:spacing w:after="0"/>
              <w:rPr>
                <w:sz w:val="20"/>
                <w:szCs w:val="20"/>
                <w:color w:val="auto"/>
              </w:rPr>
            </w:pPr>
            <w:r>
              <w:rPr>
                <w:rFonts w:ascii="Arial" w:cs="Arial" w:eastAsia="Arial" w:hAnsi="Arial"/>
                <w:sz w:val="25"/>
                <w:szCs w:val="25"/>
                <w:b w:val="1"/>
                <w:bCs w:val="1"/>
                <w:color w:val="auto"/>
                <w:w w:val="91"/>
              </w:rPr>
              <w:t>Request for Taxpayer</w:t>
            </w: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220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Give form to the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9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22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40" w:type="dxa"/>
            <w:vAlign w:val="bottom"/>
            <w:gridSpan w:val="5"/>
          </w:tcPr>
          <w:p>
            <w:pPr>
              <w:jc w:val="center"/>
              <w:ind w:right="600"/>
              <w:spacing w:after="0" w:line="21" w:lineRule="exact"/>
              <w:rPr>
                <w:sz w:val="20"/>
                <w:szCs w:val="20"/>
                <w:color w:val="auto"/>
              </w:rPr>
            </w:pPr>
            <w:r>
              <w:rPr>
                <w:rFonts w:ascii="Arial" w:cs="Arial" w:eastAsia="Arial" w:hAnsi="Arial"/>
                <w:sz w:val="2"/>
                <w:szCs w:val="2"/>
                <w:b w:val="1"/>
                <w:bCs w:val="1"/>
                <w:color w:val="auto"/>
              </w:rPr>
              <w:t>Identification Number and Certification</w:t>
            </w:r>
          </w:p>
        </w:tc>
        <w:tc>
          <w:tcPr>
            <w:tcW w:w="360" w:type="dxa"/>
            <w:vAlign w:val="bottom"/>
            <w:tcBorders>
              <w:right w:val="single" w:sz="8" w:color="auto"/>
            </w:tcBorders>
          </w:tcPr>
          <w:p>
            <w:pPr>
              <w:spacing w:after="0" w:line="20" w:lineRule="exact"/>
              <w:rPr>
                <w:sz w:val="1"/>
                <w:szCs w:val="1"/>
                <w:color w:val="auto"/>
              </w:rPr>
            </w:pPr>
          </w:p>
        </w:tc>
        <w:tc>
          <w:tcPr>
            <w:tcW w:w="2200" w:type="dxa"/>
            <w:vAlign w:val="bottom"/>
            <w:gridSpan w:val="4"/>
          </w:tcPr>
          <w:p>
            <w:pPr>
              <w:ind w:left="200"/>
              <w:spacing w:after="0" w:line="21" w:lineRule="exact"/>
              <w:rPr>
                <w:sz w:val="20"/>
                <w:szCs w:val="20"/>
                <w:color w:val="auto"/>
              </w:rPr>
            </w:pPr>
            <w:r>
              <w:rPr>
                <w:rFonts w:ascii="Arial" w:cs="Arial" w:eastAsia="Arial" w:hAnsi="Arial"/>
                <w:sz w:val="2"/>
                <w:szCs w:val="2"/>
                <w:b w:val="1"/>
                <w:bCs w:val="1"/>
                <w:color w:val="auto"/>
              </w:rPr>
              <w:t>send to the IRS.</w:t>
            </w: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2200" w:type="dxa"/>
            <w:vAlign w:val="bottom"/>
            <w:gridSpan w:val="4"/>
          </w:tcPr>
          <w:p>
            <w:pPr>
              <w:ind w:left="200"/>
              <w:spacing w:after="0"/>
              <w:rPr>
                <w:sz w:val="20"/>
                <w:szCs w:val="20"/>
                <w:color w:val="auto"/>
              </w:rPr>
            </w:pPr>
            <w:r>
              <w:rPr>
                <w:rFonts w:ascii="Arial" w:cs="Arial" w:eastAsia="Arial" w:hAnsi="Arial"/>
                <w:sz w:val="14"/>
                <w:szCs w:val="14"/>
                <w:b w:val="1"/>
                <w:bCs w:val="1"/>
                <w:color w:val="auto"/>
              </w:rPr>
              <w:t>requester. Do not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2300" w:type="dxa"/>
            <w:vAlign w:val="bottom"/>
            <w:tcBorders>
              <w:bottom w:val="single" w:sz="8" w:color="auto"/>
            </w:tcBorders>
            <w:gridSpan w:val="3"/>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360" w:type="dxa"/>
            <w:vAlign w:val="bottom"/>
            <w:gridSpan w:val="4"/>
          </w:tcPr>
          <w:p>
            <w:pPr>
              <w:ind w:left="20"/>
              <w:spacing w:after="0"/>
              <w:rPr>
                <w:sz w:val="20"/>
                <w:szCs w:val="20"/>
                <w:color w:val="auto"/>
              </w:rPr>
            </w:pPr>
            <w:r>
              <w:rPr>
                <w:rFonts w:ascii="Arial" w:cs="Arial" w:eastAsia="Arial" w:hAnsi="Arial"/>
                <w:sz w:val="13"/>
                <w:szCs w:val="13"/>
                <w:color w:val="auto"/>
              </w:rPr>
              <w:t>Name (as shown on your income tax return)</w:t>
            </w:r>
          </w:p>
        </w:tc>
        <w:tc>
          <w:tcPr>
            <w:tcW w:w="2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360" w:type="dxa"/>
            <w:vAlign w:val="bottom"/>
            <w:gridSpan w:val="4"/>
          </w:tcPr>
          <w:p>
            <w:pPr>
              <w:ind w:left="20"/>
              <w:spacing w:after="0"/>
              <w:rPr>
                <w:sz w:val="20"/>
                <w:szCs w:val="20"/>
                <w:color w:val="auto"/>
              </w:rPr>
            </w:pPr>
            <w:r>
              <w:rPr>
                <w:rFonts w:ascii="Arial" w:cs="Arial" w:eastAsia="Arial" w:hAnsi="Arial"/>
                <w:sz w:val="13"/>
                <w:szCs w:val="13"/>
                <w:color w:val="auto"/>
                <w:w w:val="90"/>
              </w:rPr>
              <w:t>Business name/disregarded entity name, if different from above</w:t>
            </w:r>
          </w:p>
        </w:tc>
        <w:tc>
          <w:tcPr>
            <w:tcW w:w="2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Print or</w:t>
            </w: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vMerge w:val="restart"/>
          </w:tcPr>
          <w:p>
            <w:pPr>
              <w:ind w:left="260"/>
              <w:spacing w:after="0" w:line="251" w:lineRule="exact"/>
              <w:rPr>
                <w:sz w:val="20"/>
                <w:szCs w:val="20"/>
                <w:color w:val="auto"/>
              </w:rPr>
            </w:pPr>
            <w:r>
              <w:rPr>
                <w:rFonts w:ascii="MS PGothic" w:cs="MS PGothic" w:eastAsia="MS PGothic" w:hAnsi="MS PGothic"/>
                <w:sz w:val="25"/>
                <w:szCs w:val="25"/>
                <w:color w:val="auto"/>
              </w:rPr>
              <w:t>☐</w:t>
            </w:r>
          </w:p>
        </w:tc>
        <w:tc>
          <w:tcPr>
            <w:tcW w:w="1260" w:type="dxa"/>
            <w:vAlign w:val="bottom"/>
          </w:tcPr>
          <w:p>
            <w:pPr>
              <w:ind w:left="120"/>
              <w:spacing w:after="0" w:line="128" w:lineRule="exact"/>
              <w:rPr>
                <w:sz w:val="20"/>
                <w:szCs w:val="20"/>
                <w:color w:val="auto"/>
              </w:rPr>
            </w:pPr>
            <w:r>
              <w:rPr>
                <w:rFonts w:ascii="Arial" w:cs="Arial" w:eastAsia="Arial" w:hAnsi="Arial"/>
                <w:sz w:val="13"/>
                <w:szCs w:val="13"/>
                <w:color w:val="auto"/>
              </w:rPr>
              <w:t>Individual/</w:t>
            </w:r>
          </w:p>
        </w:tc>
        <w:tc>
          <w:tcPr>
            <w:tcW w:w="2920" w:type="dxa"/>
            <w:vAlign w:val="bottom"/>
            <w:vMerge w:val="restart"/>
          </w:tcPr>
          <w:p>
            <w:pPr>
              <w:ind w:left="220"/>
              <w:spacing w:after="0" w:line="288" w:lineRule="exact"/>
              <w:rPr>
                <w:sz w:val="20"/>
                <w:szCs w:val="20"/>
                <w:color w:val="auto"/>
              </w:rPr>
            </w:pPr>
            <w:r>
              <w:rPr>
                <w:rFonts w:ascii="MS PGothic" w:cs="MS PGothic" w:eastAsia="MS PGothic" w:hAnsi="MS PGothic"/>
                <w:sz w:val="25"/>
                <w:szCs w:val="25"/>
                <w:color w:val="auto"/>
              </w:rPr>
              <w:t>☐</w:t>
            </w:r>
            <w:r>
              <w:rPr>
                <w:rFonts w:ascii="Arial" w:cs="Arial" w:eastAsia="Arial" w:hAnsi="Arial"/>
                <w:sz w:val="13"/>
                <w:szCs w:val="13"/>
                <w:color w:val="auto"/>
              </w:rPr>
              <w:t>Corporation</w:t>
            </w:r>
            <w:r>
              <w:rPr>
                <w:rFonts w:ascii="MS PGothic" w:cs="MS PGothic" w:eastAsia="MS PGothic" w:hAnsi="MS PGothic"/>
                <w:sz w:val="25"/>
                <w:szCs w:val="25"/>
                <w:color w:val="auto"/>
              </w:rPr>
              <w:t xml:space="preserve">☐  </w:t>
            </w:r>
            <w:r>
              <w:rPr>
                <w:rFonts w:ascii="Arial" w:cs="Arial" w:eastAsia="Arial" w:hAnsi="Arial"/>
                <w:sz w:val="12"/>
                <w:szCs w:val="12"/>
                <w:color w:val="auto"/>
              </w:rPr>
              <w:t>S Corporation</w:t>
            </w:r>
          </w:p>
        </w:tc>
        <w:tc>
          <w:tcPr>
            <w:tcW w:w="1460" w:type="dxa"/>
            <w:vAlign w:val="bottom"/>
            <w:gridSpan w:val="3"/>
            <w:vMerge w:val="restart"/>
          </w:tcPr>
          <w:p>
            <w:pPr>
              <w:ind w:left="120"/>
              <w:spacing w:after="0" w:line="288" w:lineRule="exact"/>
              <w:rPr>
                <w:sz w:val="20"/>
                <w:szCs w:val="20"/>
                <w:color w:val="auto"/>
              </w:rPr>
            </w:pPr>
            <w:r>
              <w:rPr>
                <w:rFonts w:ascii="MS PGothic" w:cs="MS PGothic" w:eastAsia="MS PGothic" w:hAnsi="MS PGothic"/>
                <w:sz w:val="25"/>
                <w:szCs w:val="25"/>
                <w:color w:val="auto"/>
              </w:rPr>
              <w:t>☐</w:t>
            </w:r>
            <w:r>
              <w:rPr>
                <w:rFonts w:ascii="Arial" w:cs="Arial" w:eastAsia="Arial" w:hAnsi="Arial"/>
                <w:sz w:val="13"/>
                <w:szCs w:val="13"/>
                <w:color w:val="auto"/>
              </w:rPr>
              <w:t xml:space="preserve"> Partnership  </w:t>
            </w:r>
            <w:r>
              <w:rPr>
                <w:rFonts w:ascii="MS PGothic" w:cs="MS PGothic" w:eastAsia="MS PGothic" w:hAnsi="MS PGothic"/>
                <w:sz w:val="25"/>
                <w:szCs w:val="25"/>
                <w:color w:val="auto"/>
              </w:rPr>
              <w:t>☐</w:t>
            </w:r>
          </w:p>
        </w:tc>
        <w:tc>
          <w:tcPr>
            <w:tcW w:w="36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gridSpan w:val="2"/>
          </w:tcPr>
          <w:p>
            <w:pPr>
              <w:spacing w:after="0" w:line="128" w:lineRule="exact"/>
              <w:rPr>
                <w:sz w:val="20"/>
                <w:szCs w:val="20"/>
                <w:color w:val="auto"/>
              </w:rPr>
            </w:pPr>
            <w:r>
              <w:rPr>
                <w:rFonts w:ascii="Arial" w:cs="Arial" w:eastAsia="Arial" w:hAnsi="Arial"/>
                <w:sz w:val="13"/>
                <w:szCs w:val="13"/>
                <w:color w:val="auto"/>
              </w:rPr>
              <w:t>Exemptions (codes apply</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260" w:type="dxa"/>
            <w:vAlign w:val="bottom"/>
          </w:tcPr>
          <w:p>
            <w:pPr>
              <w:ind w:left="120"/>
              <w:spacing w:after="0" w:line="127" w:lineRule="exact"/>
              <w:rPr>
                <w:sz w:val="20"/>
                <w:szCs w:val="20"/>
                <w:color w:val="auto"/>
              </w:rPr>
            </w:pPr>
            <w:r>
              <w:rPr>
                <w:rFonts w:ascii="Arial" w:cs="Arial" w:eastAsia="Arial" w:hAnsi="Arial"/>
                <w:sz w:val="13"/>
                <w:szCs w:val="13"/>
                <w:color w:val="auto"/>
              </w:rPr>
              <w:t>Sole Proprietor or</w:t>
            </w:r>
          </w:p>
        </w:tc>
        <w:tc>
          <w:tcPr>
            <w:tcW w:w="2920" w:type="dxa"/>
            <w:vAlign w:val="bottom"/>
            <w:vMerge w:val="continue"/>
          </w:tcPr>
          <w:p>
            <w:pPr>
              <w:spacing w:after="0"/>
              <w:rPr>
                <w:sz w:val="11"/>
                <w:szCs w:val="11"/>
                <w:color w:val="auto"/>
              </w:rPr>
            </w:pPr>
          </w:p>
        </w:tc>
        <w:tc>
          <w:tcPr>
            <w:tcW w:w="1460" w:type="dxa"/>
            <w:vAlign w:val="bottom"/>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gridSpan w:val="2"/>
          </w:tcPr>
          <w:p>
            <w:pPr>
              <w:spacing w:after="0" w:line="127" w:lineRule="exact"/>
              <w:rPr>
                <w:sz w:val="20"/>
                <w:szCs w:val="20"/>
                <w:color w:val="auto"/>
              </w:rPr>
            </w:pPr>
            <w:r>
              <w:rPr>
                <w:rFonts w:ascii="Arial" w:cs="Arial" w:eastAsia="Arial" w:hAnsi="Arial"/>
                <w:sz w:val="13"/>
                <w:szCs w:val="13"/>
                <w:color w:val="auto"/>
                <w:w w:val="97"/>
              </w:rPr>
              <w:t>only to certain entities, not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type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Check appropriate box:</w:t>
            </w:r>
          </w:p>
        </w:tc>
        <w:tc>
          <w:tcPr>
            <w:tcW w:w="620" w:type="dxa"/>
            <w:vAlign w:val="bottom"/>
            <w:vMerge w:val="continue"/>
          </w:tcPr>
          <w:p>
            <w:pPr>
              <w:spacing w:after="0"/>
              <w:rPr>
                <w:sz w:val="16"/>
                <w:szCs w:val="16"/>
                <w:color w:val="auto"/>
              </w:rPr>
            </w:pPr>
          </w:p>
        </w:tc>
        <w:tc>
          <w:tcPr>
            <w:tcW w:w="1260" w:type="dxa"/>
            <w:vAlign w:val="bottom"/>
          </w:tcPr>
          <w:p>
            <w:pPr>
              <w:ind w:left="120"/>
              <w:spacing w:after="0"/>
              <w:rPr>
                <w:sz w:val="20"/>
                <w:szCs w:val="20"/>
                <w:color w:val="auto"/>
              </w:rPr>
            </w:pPr>
            <w:r>
              <w:rPr>
                <w:rFonts w:ascii="Arial" w:cs="Arial" w:eastAsia="Arial" w:hAnsi="Arial"/>
                <w:sz w:val="13"/>
                <w:szCs w:val="13"/>
                <w:color w:val="auto"/>
                <w:w w:val="96"/>
              </w:rPr>
              <w:t>Single-Member LLC</w:t>
            </w:r>
          </w:p>
        </w:tc>
        <w:tc>
          <w:tcPr>
            <w:tcW w:w="2920" w:type="dxa"/>
            <w:vAlign w:val="bottom"/>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00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Trust/estate</w:t>
            </w:r>
          </w:p>
        </w:tc>
        <w:tc>
          <w:tcPr>
            <w:tcW w:w="60" w:type="dxa"/>
            <w:vAlign w:val="bottom"/>
          </w:tcPr>
          <w:p>
            <w:pPr>
              <w:spacing w:after="0"/>
              <w:rPr>
                <w:sz w:val="16"/>
                <w:szCs w:val="16"/>
                <w:color w:val="auto"/>
              </w:rPr>
            </w:pPr>
          </w:p>
        </w:tc>
        <w:tc>
          <w:tcPr>
            <w:tcW w:w="1500" w:type="dxa"/>
            <w:vAlign w:val="bottom"/>
            <w:gridSpan w:val="2"/>
          </w:tcPr>
          <w:p>
            <w:pPr>
              <w:spacing w:after="0"/>
              <w:rPr>
                <w:sz w:val="20"/>
                <w:szCs w:val="20"/>
                <w:color w:val="auto"/>
              </w:rPr>
            </w:pPr>
            <w:r>
              <w:rPr>
                <w:rFonts w:ascii="Arial" w:cs="Arial" w:eastAsia="Arial" w:hAnsi="Arial"/>
                <w:sz w:val="13"/>
                <w:szCs w:val="13"/>
                <w:color w:val="auto"/>
              </w:rPr>
              <w:t>individuals):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88"/>
              </w:rPr>
              <w:t>See</w:t>
            </w:r>
          </w:p>
        </w:tc>
        <w:tc>
          <w:tcPr>
            <w:tcW w:w="6280" w:type="dxa"/>
            <w:vAlign w:val="bottom"/>
            <w:gridSpan w:val="5"/>
            <w:vMerge w:val="restart"/>
          </w:tcPr>
          <w:p>
            <w:pPr>
              <w:ind w:left="20"/>
              <w:spacing w:after="0" w:line="288" w:lineRule="exact"/>
              <w:rPr>
                <w:sz w:val="20"/>
                <w:szCs w:val="20"/>
                <w:color w:val="auto"/>
              </w:rPr>
            </w:pPr>
            <w:r>
              <w:rPr>
                <w:rFonts w:ascii="MS PGothic" w:cs="MS PGothic" w:eastAsia="MS PGothic" w:hAnsi="MS PGothic"/>
                <w:sz w:val="25"/>
                <w:szCs w:val="25"/>
                <w:color w:val="auto"/>
                <w:w w:val="98"/>
              </w:rPr>
              <w:t>☐</w:t>
            </w:r>
            <w:r>
              <w:rPr>
                <w:rFonts w:ascii="Arial" w:cs="Arial" w:eastAsia="Arial" w:hAnsi="Arial"/>
                <w:sz w:val="13"/>
                <w:szCs w:val="13"/>
                <w:color w:val="auto"/>
                <w:w w:val="98"/>
              </w:rPr>
              <w:t xml:space="preserve"> Limited liability company. Enter the tax classification (C=C Corporation, S=S Corporation, P=Partnership)</w:t>
            </w: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2"/>
          </w:tcPr>
          <w:p>
            <w:pPr>
              <w:spacing w:after="0"/>
              <w:rPr>
                <w:sz w:val="20"/>
                <w:szCs w:val="20"/>
                <w:color w:val="auto"/>
              </w:rPr>
            </w:pPr>
            <w:r>
              <w:rPr>
                <w:rFonts w:ascii="Arial" w:cs="Arial" w:eastAsia="Arial" w:hAnsi="Arial"/>
                <w:sz w:val="13"/>
                <w:szCs w:val="13"/>
                <w:color w:val="auto"/>
                <w:w w:val="93"/>
              </w:rPr>
              <w:t>Exempt payee code (if any)</w:t>
            </w:r>
          </w:p>
        </w:tc>
        <w:tc>
          <w:tcPr>
            <w:tcW w:w="0" w:type="dxa"/>
            <w:vAlign w:val="bottom"/>
          </w:tcPr>
          <w:p>
            <w:pPr>
              <w:spacing w:after="0"/>
              <w:rPr>
                <w:sz w:val="1"/>
                <w:szCs w:val="1"/>
                <w:color w:val="auto"/>
              </w:rPr>
            </w:pPr>
          </w:p>
        </w:tc>
      </w:tr>
      <w:tr>
        <w:trPr>
          <w:trHeight w:val="116"/>
        </w:trPr>
        <w:tc>
          <w:tcPr>
            <w:tcW w:w="740" w:type="dxa"/>
            <w:vAlign w:val="bottom"/>
            <w:gridSpan w:val="3"/>
          </w:tcPr>
          <w:p>
            <w:pPr>
              <w:jc w:val="center"/>
              <w:ind w:right="60"/>
              <w:spacing w:after="0" w:line="116" w:lineRule="exact"/>
              <w:rPr>
                <w:sz w:val="20"/>
                <w:szCs w:val="20"/>
                <w:color w:val="auto"/>
              </w:rPr>
            </w:pPr>
            <w:r>
              <w:rPr>
                <w:rFonts w:ascii="Arial" w:cs="Arial" w:eastAsia="Arial" w:hAnsi="Arial"/>
                <w:sz w:val="13"/>
                <w:szCs w:val="13"/>
                <w:color w:val="auto"/>
              </w:rPr>
              <w:t>Instructions</w:t>
            </w:r>
          </w:p>
        </w:tc>
        <w:tc>
          <w:tcPr>
            <w:tcW w:w="6280" w:type="dxa"/>
            <w:vAlign w:val="bottom"/>
            <w:gridSpan w:val="5"/>
            <w:vMerge w:val="continue"/>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jc w:val="center"/>
              <w:ind w:right="60"/>
              <w:spacing w:after="0" w:line="129" w:lineRule="exact"/>
              <w:rPr>
                <w:sz w:val="20"/>
                <w:szCs w:val="20"/>
                <w:color w:val="auto"/>
              </w:rPr>
            </w:pPr>
            <w:r>
              <w:rPr>
                <w:rFonts w:ascii="Arial" w:cs="Arial" w:eastAsia="Arial" w:hAnsi="Arial"/>
                <w:sz w:val="14"/>
                <w:szCs w:val="14"/>
                <w:color w:val="auto"/>
                <w:w w:val="90"/>
              </w:rPr>
              <w:t>below and</w:t>
            </w:r>
          </w:p>
        </w:tc>
        <w:tc>
          <w:tcPr>
            <w:tcW w:w="6280" w:type="dxa"/>
            <w:vAlign w:val="bottom"/>
            <w:gridSpan w:val="5"/>
            <w:vMerge w:val="continue"/>
          </w:tcPr>
          <w:p>
            <w:pPr>
              <w:spacing w:after="0"/>
              <w:rPr>
                <w:sz w:val="11"/>
                <w:szCs w:val="11"/>
                <w:color w:val="auto"/>
              </w:rPr>
            </w:pPr>
          </w:p>
        </w:tc>
        <w:tc>
          <w:tcPr>
            <w:tcW w:w="660" w:type="dxa"/>
            <w:vAlign w:val="bottom"/>
            <w:vMerge w:val="restart"/>
          </w:tcPr>
          <w:p>
            <w:pPr>
              <w:ind w:left="520"/>
              <w:spacing w:after="0"/>
              <w:rPr>
                <w:sz w:val="20"/>
                <w:szCs w:val="20"/>
                <w:color w:val="auto"/>
              </w:rPr>
            </w:pPr>
            <w:r>
              <w:rPr>
                <w:rFonts w:ascii="Arial" w:cs="Arial" w:eastAsia="Arial" w:hAnsi="Arial"/>
                <w:sz w:val="13"/>
                <w:szCs w:val="13"/>
                <w:color w:val="auto"/>
              </w:rPr>
              <w:t>u</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gridSpan w:val="2"/>
            <w:vMerge w:val="restart"/>
          </w:tcPr>
          <w:p>
            <w:pPr>
              <w:jc w:val="center"/>
              <w:ind w:right="60"/>
              <w:spacing w:after="0" w:line="154" w:lineRule="exact"/>
              <w:rPr>
                <w:sz w:val="20"/>
                <w:szCs w:val="20"/>
                <w:color w:val="auto"/>
              </w:rPr>
            </w:pPr>
            <w:r>
              <w:rPr>
                <w:rFonts w:ascii="Arial" w:cs="Arial" w:eastAsia="Arial" w:hAnsi="Arial"/>
                <w:sz w:val="14"/>
                <w:szCs w:val="14"/>
                <w:color w:val="auto"/>
                <w:w w:val="96"/>
              </w:rPr>
              <w:t>IRS Form</w:t>
            </w:r>
          </w:p>
        </w:tc>
        <w:tc>
          <w:tcPr>
            <w:tcW w:w="3360" w:type="dxa"/>
            <w:vAlign w:val="bottom"/>
            <w:gridSpan w:val="4"/>
            <w:vMerge w:val="restart"/>
          </w:tcPr>
          <w:p>
            <w:pPr>
              <w:ind w:left="20"/>
              <w:spacing w:after="0" w:line="288" w:lineRule="exact"/>
              <w:rPr>
                <w:sz w:val="20"/>
                <w:szCs w:val="20"/>
                <w:color w:val="auto"/>
              </w:rPr>
            </w:pPr>
            <w:r>
              <w:rPr>
                <w:rFonts w:ascii="MS PGothic" w:cs="MS PGothic" w:eastAsia="MS PGothic" w:hAnsi="MS PGothic"/>
                <w:sz w:val="25"/>
                <w:szCs w:val="25"/>
                <w:color w:val="auto"/>
              </w:rPr>
              <w:t>☐</w:t>
            </w:r>
            <w:r>
              <w:rPr>
                <w:rFonts w:ascii="Arial" w:cs="Arial" w:eastAsia="Arial" w:hAnsi="Arial"/>
                <w:sz w:val="13"/>
                <w:szCs w:val="13"/>
                <w:color w:val="auto"/>
              </w:rPr>
              <w:t xml:space="preserve"> Other (see IRS Form W-9 instructions) u</w:t>
            </w:r>
          </w:p>
        </w:tc>
        <w:tc>
          <w:tcPr>
            <w:tcW w:w="29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500" w:type="dxa"/>
            <w:vAlign w:val="bottom"/>
            <w:gridSpan w:val="2"/>
            <w:vMerge w:val="restart"/>
          </w:tcPr>
          <w:p>
            <w:pPr>
              <w:spacing w:after="0"/>
              <w:rPr>
                <w:sz w:val="20"/>
                <w:szCs w:val="20"/>
                <w:color w:val="auto"/>
              </w:rPr>
            </w:pPr>
            <w:r>
              <w:rPr>
                <w:rFonts w:ascii="Arial" w:cs="Arial" w:eastAsia="Arial" w:hAnsi="Arial"/>
                <w:sz w:val="13"/>
                <w:szCs w:val="13"/>
                <w:color w:val="auto"/>
              </w:rPr>
              <w:t>Exemption from FATCA</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3360" w:type="dxa"/>
            <w:vAlign w:val="bottom"/>
            <w:gridSpan w:val="4"/>
            <w:vMerge w:val="continue"/>
          </w:tcPr>
          <w:p>
            <w:pPr>
              <w:spacing w:after="0"/>
              <w:rPr>
                <w:sz w:val="2"/>
                <w:szCs w:val="2"/>
                <w:color w:val="auto"/>
              </w:rPr>
            </w:pPr>
          </w:p>
        </w:tc>
        <w:tc>
          <w:tcPr>
            <w:tcW w:w="29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gridSpan w:val="2"/>
          </w:tcPr>
          <w:p>
            <w:pPr>
              <w:jc w:val="center"/>
              <w:ind w:right="60"/>
              <w:spacing w:after="0" w:line="143" w:lineRule="exact"/>
              <w:rPr>
                <w:sz w:val="20"/>
                <w:szCs w:val="20"/>
                <w:color w:val="auto"/>
              </w:rPr>
            </w:pPr>
            <w:r>
              <w:rPr>
                <w:rFonts w:ascii="Arial" w:cs="Arial" w:eastAsia="Arial" w:hAnsi="Arial"/>
                <w:sz w:val="14"/>
                <w:szCs w:val="14"/>
                <w:color w:val="auto"/>
              </w:rPr>
              <w:t>W-9</w:t>
            </w:r>
          </w:p>
        </w:tc>
        <w:tc>
          <w:tcPr>
            <w:tcW w:w="3360" w:type="dxa"/>
            <w:vAlign w:val="bottom"/>
            <w:gridSpan w:val="4"/>
            <w:vMerge w:val="continue"/>
          </w:tcPr>
          <w:p>
            <w:pPr>
              <w:spacing w:after="0"/>
              <w:rPr>
                <w:sz w:val="12"/>
                <w:szCs w:val="12"/>
                <w:color w:val="auto"/>
              </w:rPr>
            </w:pPr>
          </w:p>
        </w:tc>
        <w:tc>
          <w:tcPr>
            <w:tcW w:w="2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2"/>
          </w:tcPr>
          <w:p>
            <w:pPr>
              <w:spacing w:after="0" w:line="144" w:lineRule="exact"/>
              <w:rPr>
                <w:sz w:val="20"/>
                <w:szCs w:val="20"/>
                <w:color w:val="auto"/>
              </w:rPr>
            </w:pPr>
            <w:r>
              <w:rPr>
                <w:rFonts w:ascii="Arial" w:cs="Arial" w:eastAsia="Arial" w:hAnsi="Arial"/>
                <w:sz w:val="13"/>
                <w:szCs w:val="13"/>
                <w:color w:val="auto"/>
              </w:rPr>
              <w:t>reporting code (if any)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3"/>
              </w:rPr>
              <w:t>instructions</w:t>
            </w:r>
          </w:p>
        </w:tc>
        <w:tc>
          <w:tcPr>
            <w:tcW w:w="3360" w:type="dxa"/>
            <w:vAlign w:val="bottom"/>
            <w:gridSpan w:val="4"/>
            <w:vMerge w:val="continue"/>
          </w:tcPr>
          <w:p>
            <w:pPr>
              <w:spacing w:after="0"/>
              <w:rPr>
                <w:sz w:val="12"/>
                <w:szCs w:val="12"/>
                <w:color w:val="auto"/>
              </w:rPr>
            </w:pPr>
          </w:p>
        </w:tc>
        <w:tc>
          <w:tcPr>
            <w:tcW w:w="2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2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color w:val="auto"/>
                <w:w w:val="95"/>
              </w:rPr>
              <w:t>for more</w:t>
            </w: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9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9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500" w:type="dxa"/>
            <w:vAlign w:val="bottom"/>
            <w:gridSpan w:val="2"/>
            <w:vMerge w:val="restart"/>
          </w:tcPr>
          <w:p>
            <w:pPr>
              <w:spacing w:after="0"/>
              <w:rPr>
                <w:sz w:val="20"/>
                <w:szCs w:val="20"/>
                <w:color w:val="auto"/>
              </w:rPr>
            </w:pPr>
            <w:r>
              <w:rPr>
                <w:rFonts w:ascii="Arial" w:cs="Arial" w:eastAsia="Arial" w:hAnsi="Arial"/>
                <w:sz w:val="13"/>
                <w:szCs w:val="13"/>
                <w:i w:val="1"/>
                <w:iCs w:val="1"/>
                <w:color w:val="auto"/>
              </w:rPr>
              <w:t>(Applies to accounts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gridSpan w:val="2"/>
          </w:tcPr>
          <w:p>
            <w:pPr>
              <w:jc w:val="center"/>
              <w:ind w:right="60"/>
              <w:spacing w:after="0" w:line="141" w:lineRule="exact"/>
              <w:rPr>
                <w:sz w:val="20"/>
                <w:szCs w:val="20"/>
                <w:color w:val="auto"/>
              </w:rPr>
            </w:pPr>
            <w:r>
              <w:rPr>
                <w:rFonts w:ascii="Arial" w:cs="Arial" w:eastAsia="Arial" w:hAnsi="Arial"/>
                <w:sz w:val="14"/>
                <w:szCs w:val="14"/>
                <w:color w:val="auto"/>
                <w:w w:val="93"/>
              </w:rPr>
              <w:t>details</w:t>
            </w: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gridSpan w:val="2"/>
          </w:tcPr>
          <w:p>
            <w:pPr>
              <w:spacing w:after="0"/>
              <w:rPr>
                <w:sz w:val="20"/>
                <w:szCs w:val="20"/>
                <w:color w:val="auto"/>
              </w:rPr>
            </w:pPr>
            <w:r>
              <w:rPr>
                <w:rFonts w:ascii="Arial" w:cs="Arial" w:eastAsia="Arial" w:hAnsi="Arial"/>
                <w:sz w:val="13"/>
                <w:szCs w:val="13"/>
                <w:i w:val="1"/>
                <w:iCs w:val="1"/>
                <w:color w:val="auto"/>
                <w:w w:val="90"/>
              </w:rPr>
              <w:t>maintained outside the U.S.)</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340" w:type="dxa"/>
            <w:vAlign w:val="bottom"/>
            <w:tcBorders>
              <w:bottom w:val="single" w:sz="8" w:color="auto"/>
              <w:right w:val="single" w:sz="8" w:color="auto"/>
            </w:tcBorders>
            <w:gridSpan w:val="3"/>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460" w:type="dxa"/>
            <w:vAlign w:val="bottom"/>
            <w:gridSpan w:val="5"/>
          </w:tcPr>
          <w:p>
            <w:pPr>
              <w:ind w:left="260"/>
              <w:spacing w:after="0" w:line="111" w:lineRule="exact"/>
              <w:rPr>
                <w:sz w:val="20"/>
                <w:szCs w:val="20"/>
                <w:color w:val="auto"/>
              </w:rPr>
            </w:pPr>
            <w:r>
              <w:rPr>
                <w:rFonts w:ascii="Arial" w:cs="Arial" w:eastAsia="Arial" w:hAnsi="Arial"/>
                <w:sz w:val="12"/>
                <w:szCs w:val="12"/>
                <w:color w:val="auto"/>
                <w:w w:val="98"/>
              </w:rPr>
              <w:t>Requester’s name and address (optional)</w:t>
            </w: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426720</wp:posOffset>
            </wp:positionH>
            <wp:positionV relativeFrom="paragraph">
              <wp:posOffset>-1908810</wp:posOffset>
            </wp:positionV>
            <wp:extent cx="6586220" cy="27870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6586220" cy="2787015"/>
                    </a:xfrm>
                    <a:prstGeom prst="rect">
                      <a:avLst/>
                    </a:prstGeom>
                    <a:noFill/>
                  </pic:spPr>
                </pic:pic>
              </a:graphicData>
            </a:graphic>
          </wp:anchor>
        </w:drawing>
      </w:r>
    </w:p>
    <w:p>
      <w:pPr>
        <w:ind w:left="760"/>
        <w:spacing w:after="0"/>
        <w:rPr>
          <w:sz w:val="20"/>
          <w:szCs w:val="20"/>
          <w:color w:val="auto"/>
        </w:rPr>
      </w:pPr>
      <w:r>
        <w:rPr>
          <w:rFonts w:ascii="Arial" w:cs="Arial" w:eastAsia="Arial" w:hAnsi="Arial"/>
          <w:sz w:val="13"/>
          <w:szCs w:val="13"/>
          <w:color w:val="auto"/>
        </w:rPr>
        <w:t>Address (number, street, and apt. or suite no.)</w:t>
      </w:r>
    </w:p>
    <w:p>
      <w:pPr>
        <w:spacing w:after="0" w:line="300" w:lineRule="exact"/>
        <w:rPr>
          <w:sz w:val="20"/>
          <w:szCs w:val="20"/>
          <w:color w:val="auto"/>
        </w:rPr>
      </w:pPr>
    </w:p>
    <w:p>
      <w:pPr>
        <w:ind w:left="760"/>
        <w:spacing w:after="0"/>
        <w:rPr>
          <w:sz w:val="20"/>
          <w:szCs w:val="20"/>
          <w:color w:val="auto"/>
        </w:rPr>
      </w:pPr>
      <w:r>
        <w:rPr>
          <w:rFonts w:ascii="Arial" w:cs="Arial" w:eastAsia="Arial" w:hAnsi="Arial"/>
          <w:sz w:val="13"/>
          <w:szCs w:val="13"/>
          <w:color w:val="auto"/>
        </w:rPr>
        <w:t>City, State, and ZIP code</w:t>
      </w:r>
    </w:p>
    <w:p>
      <w:pPr>
        <w:spacing w:after="0" w:line="310" w:lineRule="exact"/>
        <w:rPr>
          <w:sz w:val="20"/>
          <w:szCs w:val="20"/>
          <w:color w:val="auto"/>
        </w:rPr>
      </w:pPr>
    </w:p>
    <w:p>
      <w:pPr>
        <w:ind w:left="760"/>
        <w:spacing w:after="0"/>
        <w:rPr>
          <w:sz w:val="20"/>
          <w:szCs w:val="20"/>
          <w:color w:val="auto"/>
        </w:rPr>
      </w:pPr>
      <w:r>
        <w:rPr>
          <w:rFonts w:ascii="Arial" w:cs="Arial" w:eastAsia="Arial" w:hAnsi="Arial"/>
          <w:sz w:val="13"/>
          <w:szCs w:val="13"/>
          <w:color w:val="auto"/>
        </w:rPr>
        <w:t>List account number(s) here (optional)</w:t>
      </w:r>
    </w:p>
    <w:p>
      <w:pPr>
        <w:spacing w:after="0" w:line="306" w:lineRule="exact"/>
        <w:rPr>
          <w:sz w:val="20"/>
          <w:szCs w:val="20"/>
          <w:color w:val="auto"/>
        </w:rPr>
      </w:pPr>
    </w:p>
    <w:p>
      <w:pPr>
        <w:ind w:left="100"/>
        <w:spacing w:after="0"/>
        <w:tabs>
          <w:tab w:leader="none" w:pos="760" w:val="left"/>
        </w:tabs>
        <w:rPr>
          <w:sz w:val="20"/>
          <w:szCs w:val="20"/>
          <w:color w:val="auto"/>
        </w:rPr>
      </w:pPr>
      <w:r>
        <w:rPr>
          <w:rFonts w:ascii="Arial" w:cs="Arial" w:eastAsia="Arial" w:hAnsi="Arial"/>
          <w:sz w:val="18"/>
          <w:szCs w:val="18"/>
          <w:b w:val="1"/>
          <w:bCs w:val="1"/>
          <w:color w:val="FFFFFF"/>
        </w:rPr>
        <w:t>Part I</w:t>
      </w:r>
      <w:r>
        <w:rPr>
          <w:sz w:val="20"/>
          <w:szCs w:val="20"/>
          <w:color w:val="auto"/>
        </w:rPr>
        <w:tab/>
      </w:r>
      <w:r>
        <w:rPr>
          <w:rFonts w:ascii="Arial" w:cs="Arial" w:eastAsia="Arial" w:hAnsi="Arial"/>
          <w:sz w:val="17"/>
          <w:szCs w:val="17"/>
          <w:b w:val="1"/>
          <w:bCs w:val="1"/>
          <w:color w:val="auto"/>
        </w:rPr>
        <w:t>Taxpayer Identification Number (“TIN”)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699770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6997700" cy="154305"/>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100" w:type="dxa"/>
            <w:vAlign w:val="bottom"/>
            <w:gridSpan w:val="3"/>
          </w:tcPr>
          <w:p>
            <w:pPr>
              <w:spacing w:after="0"/>
              <w:rPr>
                <w:sz w:val="20"/>
                <w:szCs w:val="20"/>
                <w:color w:val="auto"/>
              </w:rPr>
            </w:pPr>
            <w:r>
              <w:rPr>
                <w:rFonts w:ascii="Arial" w:cs="Arial" w:eastAsia="Arial" w:hAnsi="Arial"/>
                <w:sz w:val="14"/>
                <w:szCs w:val="14"/>
                <w:color w:val="auto"/>
              </w:rPr>
              <w:t>Enter your TIN in the appropriate box. For individuals, this is your social security number (“SSN”</w:t>
            </w:r>
            <w:r>
              <w:rPr>
                <w:rFonts w:ascii="Arial" w:cs="Arial" w:eastAsia="Arial" w:hAnsi="Arial"/>
                <w:sz w:val="14"/>
                <w:szCs w:val="14"/>
                <w:b w:val="1"/>
                <w:bCs w:val="1"/>
                <w:color w:val="auto"/>
              </w:rPr>
              <w:t>). However, for a</w:t>
            </w:r>
          </w:p>
        </w:tc>
        <w:tc>
          <w:tcPr>
            <w:tcW w:w="4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r>
      <w:tr>
        <w:trPr>
          <w:trHeight w:val="142"/>
        </w:trPr>
        <w:tc>
          <w:tcPr>
            <w:tcW w:w="7100" w:type="dxa"/>
            <w:vAlign w:val="bottom"/>
            <w:tcBorders>
              <w:right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2"/>
              </w:rPr>
              <w:t>resident alien, sole proprietor, or disregarded entity, see the Instructions below</w:t>
            </w:r>
            <w:r>
              <w:rPr>
                <w:rFonts w:ascii="Arial" w:cs="Arial" w:eastAsia="Arial" w:hAnsi="Arial"/>
                <w:sz w:val="14"/>
                <w:szCs w:val="14"/>
                <w:color w:val="auto"/>
                <w:w w:val="92"/>
              </w:rPr>
              <w:t>. For other entities, it is your employer</w:t>
            </w:r>
          </w:p>
        </w:tc>
        <w:tc>
          <w:tcPr>
            <w:tcW w:w="1800" w:type="dxa"/>
            <w:vAlign w:val="bottom"/>
            <w:gridSpan w:val="4"/>
          </w:tcPr>
          <w:p>
            <w:pPr>
              <w:ind w:left="160"/>
              <w:spacing w:after="0"/>
              <w:rPr>
                <w:sz w:val="20"/>
                <w:szCs w:val="20"/>
                <w:color w:val="auto"/>
              </w:rPr>
            </w:pPr>
            <w:r>
              <w:rPr>
                <w:rFonts w:ascii="Arial" w:cs="Arial" w:eastAsia="Arial" w:hAnsi="Arial"/>
                <w:sz w:val="11"/>
                <w:szCs w:val="11"/>
                <w:b w:val="1"/>
                <w:bCs w:val="1"/>
                <w:color w:val="auto"/>
              </w:rPr>
              <w:t>Social Security Number</w:t>
            </w: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r>
      <w:tr>
        <w:trPr>
          <w:trHeight w:val="155"/>
        </w:trPr>
        <w:tc>
          <w:tcPr>
            <w:tcW w:w="7100" w:type="dxa"/>
            <w:vAlign w:val="bottom"/>
            <w:tcBorders>
              <w:right w:val="single" w:sz="8" w:color="auto"/>
            </w:tcBorders>
            <w:gridSpan w:val="3"/>
          </w:tcPr>
          <w:p>
            <w:pPr>
              <w:spacing w:after="0" w:line="155" w:lineRule="exact"/>
              <w:rPr>
                <w:sz w:val="20"/>
                <w:szCs w:val="20"/>
                <w:color w:val="auto"/>
              </w:rPr>
            </w:pPr>
            <w:r>
              <w:rPr>
                <w:rFonts w:ascii="Arial" w:cs="Arial" w:eastAsia="Arial" w:hAnsi="Arial"/>
                <w:sz w:val="14"/>
                <w:szCs w:val="14"/>
                <w:color w:val="auto"/>
                <w:w w:val="95"/>
              </w:rPr>
              <w:t xml:space="preserve">identification number (“EIN”). See </w:t>
            </w:r>
            <w:r>
              <w:rPr>
                <w:rFonts w:ascii="Arial" w:cs="Arial" w:eastAsia="Arial" w:hAnsi="Arial"/>
                <w:sz w:val="14"/>
                <w:szCs w:val="14"/>
                <w:b w:val="1"/>
                <w:bCs w:val="1"/>
                <w:color w:val="auto"/>
                <w:w w:val="95"/>
              </w:rPr>
              <w:t>Obtaining a Number</w:t>
            </w:r>
            <w:r>
              <w:rPr>
                <w:rFonts w:ascii="Arial" w:cs="Arial" w:eastAsia="Arial" w:hAnsi="Arial"/>
                <w:sz w:val="14"/>
                <w:szCs w:val="14"/>
                <w:color w:val="auto"/>
                <w:w w:val="95"/>
              </w:rPr>
              <w:t xml:space="preserve"> in the Instructions below. If you do not have a number but have</w:t>
            </w:r>
          </w:p>
        </w:tc>
        <w:tc>
          <w:tcPr>
            <w:tcW w:w="460" w:type="dxa"/>
            <w:vAlign w:val="bottom"/>
            <w:tcBorders>
              <w:right w:val="single" w:sz="8" w:color="auto"/>
            </w:tcBorders>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gridSpan w:val="2"/>
          </w:tcPr>
          <w:p>
            <w:pPr>
              <w:ind w:left="360"/>
              <w:spacing w:after="0" w:line="156" w:lineRule="exact"/>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tcPr>
          <w:p>
            <w:pPr>
              <w:ind w:left="360"/>
              <w:spacing w:after="0" w:line="156" w:lineRule="exact"/>
              <w:rPr>
                <w:sz w:val="20"/>
                <w:szCs w:val="20"/>
                <w:color w:val="auto"/>
              </w:rPr>
            </w:pPr>
            <w:r>
              <w:rPr>
                <w:rFonts w:ascii="Arial" w:cs="Arial" w:eastAsia="Arial" w:hAnsi="Arial"/>
                <w:sz w:val="18"/>
                <w:szCs w:val="18"/>
                <w:color w:val="auto"/>
              </w:rPr>
              <w:t>–</w:t>
            </w:r>
          </w:p>
        </w:tc>
        <w:tc>
          <w:tcPr>
            <w:tcW w:w="420" w:type="dxa"/>
            <w:vAlign w:val="bottom"/>
            <w:tcBorders>
              <w:right w:val="single" w:sz="8" w:color="auto"/>
            </w:tcBorders>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r>
      <w:tr>
        <w:trPr>
          <w:trHeight w:val="101"/>
        </w:trPr>
        <w:tc>
          <w:tcPr>
            <w:tcW w:w="7100" w:type="dxa"/>
            <w:vAlign w:val="bottom"/>
            <w:tcBorders>
              <w:right w:val="single" w:sz="8" w:color="auto"/>
            </w:tcBorders>
            <w:gridSpan w:val="3"/>
          </w:tcPr>
          <w:p>
            <w:pPr>
              <w:spacing w:after="0" w:line="102" w:lineRule="exact"/>
              <w:rPr>
                <w:sz w:val="20"/>
                <w:szCs w:val="20"/>
                <w:color w:val="auto"/>
              </w:rPr>
            </w:pPr>
            <w:r>
              <w:rPr>
                <w:rFonts w:ascii="Arial" w:cs="Arial" w:eastAsia="Arial" w:hAnsi="Arial"/>
                <w:sz w:val="11"/>
                <w:szCs w:val="11"/>
                <w:color w:val="auto"/>
              </w:rPr>
              <w:t>applied for one, write “APPLIED FOR” in the box at right and certify by signing and dating the “Certificate of Awaiting</w:t>
            </w:r>
          </w:p>
        </w:tc>
        <w:tc>
          <w:tcPr>
            <w:tcW w:w="46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Borders>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Borders>
              <w:bottom w:val="single" w:sz="8" w:color="auto"/>
              <w:right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440" w:type="dxa"/>
            <w:vAlign w:val="bottom"/>
            <w:tcBorders>
              <w:bottom w:val="single" w:sz="8" w:color="auto"/>
              <w:right w:val="single" w:sz="8" w:color="auto"/>
            </w:tcBorders>
          </w:tcPr>
          <w:p>
            <w:pPr>
              <w:spacing w:after="0"/>
              <w:rPr>
                <w:sz w:val="8"/>
                <w:szCs w:val="8"/>
                <w:color w:val="auto"/>
              </w:rPr>
            </w:pPr>
          </w:p>
        </w:tc>
        <w:tc>
          <w:tcPr>
            <w:tcW w:w="440" w:type="dxa"/>
            <w:vAlign w:val="bottom"/>
            <w:tcBorders>
              <w:bottom w:val="single" w:sz="8" w:color="auto"/>
              <w:right w:val="single" w:sz="8" w:color="auto"/>
            </w:tcBorders>
          </w:tcPr>
          <w:p>
            <w:pPr>
              <w:spacing w:after="0"/>
              <w:rPr>
                <w:sz w:val="8"/>
                <w:szCs w:val="8"/>
                <w:color w:val="auto"/>
              </w:rPr>
            </w:pPr>
          </w:p>
        </w:tc>
      </w:tr>
      <w:tr>
        <w:trPr>
          <w:trHeight w:val="237"/>
        </w:trPr>
        <w:tc>
          <w:tcPr>
            <w:tcW w:w="7100" w:type="dxa"/>
            <w:vAlign w:val="bottom"/>
            <w:gridSpan w:val="3"/>
          </w:tcPr>
          <w:p>
            <w:pPr>
              <w:spacing w:after="0"/>
              <w:rPr>
                <w:sz w:val="20"/>
                <w:szCs w:val="20"/>
                <w:color w:val="auto"/>
              </w:rPr>
            </w:pPr>
            <w:r>
              <w:rPr>
                <w:rFonts w:ascii="Arial" w:cs="Arial" w:eastAsia="Arial" w:hAnsi="Arial"/>
                <w:sz w:val="14"/>
                <w:szCs w:val="14"/>
                <w:color w:val="auto"/>
              </w:rPr>
              <w:t>Taxpayer Identification Number” below.</w:t>
            </w: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or</w:t>
            </w:r>
          </w:p>
        </w:tc>
      </w:tr>
      <w:tr>
        <w:trPr>
          <w:trHeight w:val="142"/>
        </w:trPr>
        <w:tc>
          <w:tcPr>
            <w:tcW w:w="7100" w:type="dxa"/>
            <w:vAlign w:val="bottom"/>
            <w:tcBorders>
              <w:right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7"/>
              </w:rPr>
              <w:t xml:space="preserve">Note: </w:t>
            </w:r>
            <w:r>
              <w:rPr>
                <w:rFonts w:ascii="Arial" w:cs="Arial" w:eastAsia="Arial" w:hAnsi="Arial"/>
                <w:sz w:val="14"/>
                <w:szCs w:val="14"/>
                <w:i w:val="1"/>
                <w:iCs w:val="1"/>
                <w:color w:val="auto"/>
                <w:w w:val="97"/>
              </w:rPr>
              <w:t>If the account is in more than one name, see the chart in the guidelines on whose number to enter on page 16.</w:t>
            </w:r>
          </w:p>
        </w:tc>
        <w:tc>
          <w:tcPr>
            <w:tcW w:w="1800" w:type="dxa"/>
            <w:vAlign w:val="bottom"/>
            <w:gridSpan w:val="4"/>
          </w:tcPr>
          <w:p>
            <w:pPr>
              <w:ind w:left="160"/>
              <w:spacing w:after="0"/>
              <w:rPr>
                <w:sz w:val="20"/>
                <w:szCs w:val="20"/>
                <w:color w:val="auto"/>
              </w:rPr>
            </w:pPr>
            <w:r>
              <w:rPr>
                <w:rFonts w:ascii="Arial" w:cs="Arial" w:eastAsia="Arial" w:hAnsi="Arial"/>
                <w:sz w:val="11"/>
                <w:szCs w:val="11"/>
                <w:b w:val="1"/>
                <w:bCs w:val="1"/>
                <w:color w:val="auto"/>
                <w:w w:val="96"/>
              </w:rPr>
              <w:t>Employer Identification Number</w:t>
            </w: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r>
      <w:tr>
        <w:trPr>
          <w:trHeight w:val="264"/>
        </w:trPr>
        <w:tc>
          <w:tcPr>
            <w:tcW w:w="2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6420" w:type="dxa"/>
            <w:vAlign w:val="bottom"/>
            <w:tcBorders>
              <w:bottom w:val="single" w:sz="8" w:color="auto"/>
              <w:right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900" w:type="dxa"/>
            <w:vAlign w:val="bottom"/>
            <w:tcBorders>
              <w:bottom w:val="single" w:sz="8" w:color="auto"/>
              <w:right w:val="single" w:sz="8" w:color="auto"/>
            </w:tcBorders>
            <w:gridSpan w:val="2"/>
          </w:tcPr>
          <w:p>
            <w:pPr>
              <w:ind w:left="3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right w:val="single" w:sz="8" w:color="auto"/>
            </w:tcBorders>
          </w:tcPr>
          <w:p>
            <w:pPr>
              <w:spacing w:after="0"/>
              <w:rPr>
                <w:sz w:val="22"/>
                <w:szCs w:val="22"/>
                <w:color w:val="auto"/>
              </w:rPr>
            </w:pPr>
          </w:p>
        </w:tc>
        <w:tc>
          <w:tcPr>
            <w:tcW w:w="420" w:type="dxa"/>
            <w:vAlign w:val="bottom"/>
            <w:tcBorders>
              <w:bottom w:val="single" w:sz="8" w:color="auto"/>
              <w:right w:val="single" w:sz="8" w:color="auto"/>
            </w:tcBorders>
          </w:tcPr>
          <w:p>
            <w:pPr>
              <w:spacing w:after="0"/>
              <w:rPr>
                <w:sz w:val="22"/>
                <w:szCs w:val="22"/>
                <w:color w:val="auto"/>
              </w:rPr>
            </w:pPr>
          </w:p>
        </w:tc>
        <w:tc>
          <w:tcPr>
            <w:tcW w:w="440" w:type="dxa"/>
            <w:vAlign w:val="bottom"/>
            <w:tcBorders>
              <w:bottom w:val="single" w:sz="8" w:color="auto"/>
              <w:right w:val="single" w:sz="8" w:color="auto"/>
            </w:tcBorders>
          </w:tcPr>
          <w:p>
            <w:pPr>
              <w:spacing w:after="0"/>
              <w:rPr>
                <w:sz w:val="22"/>
                <w:szCs w:val="22"/>
                <w:color w:val="auto"/>
              </w:rPr>
            </w:pPr>
          </w:p>
        </w:tc>
        <w:tc>
          <w:tcPr>
            <w:tcW w:w="420" w:type="dxa"/>
            <w:vAlign w:val="bottom"/>
            <w:tcBorders>
              <w:bottom w:val="single" w:sz="8" w:color="auto"/>
              <w:right w:val="single" w:sz="8" w:color="auto"/>
            </w:tcBorders>
          </w:tcPr>
          <w:p>
            <w:pPr>
              <w:spacing w:after="0"/>
              <w:rPr>
                <w:sz w:val="22"/>
                <w:szCs w:val="22"/>
                <w:color w:val="auto"/>
              </w:rPr>
            </w:pPr>
          </w:p>
        </w:tc>
        <w:tc>
          <w:tcPr>
            <w:tcW w:w="440" w:type="dxa"/>
            <w:vAlign w:val="bottom"/>
            <w:tcBorders>
              <w:bottom w:val="single" w:sz="8" w:color="auto"/>
              <w:right w:val="single" w:sz="8" w:color="auto"/>
            </w:tcBorders>
          </w:tcPr>
          <w:p>
            <w:pPr>
              <w:spacing w:after="0"/>
              <w:rPr>
                <w:sz w:val="22"/>
                <w:szCs w:val="22"/>
                <w:color w:val="auto"/>
              </w:rPr>
            </w:pPr>
          </w:p>
        </w:tc>
        <w:tc>
          <w:tcPr>
            <w:tcW w:w="440" w:type="dxa"/>
            <w:vAlign w:val="bottom"/>
            <w:tcBorders>
              <w:bottom w:val="single" w:sz="8" w:color="auto"/>
              <w:right w:val="single" w:sz="8" w:color="auto"/>
            </w:tcBorders>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660" w:type="dxa"/>
            <w:vAlign w:val="bottom"/>
            <w:tcBorders>
              <w:bottom w:val="single" w:sz="8" w:color="auto"/>
            </w:tcBorders>
            <w:shd w:val="clear" w:color="auto" w:fill="000000"/>
          </w:tcPr>
          <w:p>
            <w:pPr>
              <w:ind w:left="60"/>
              <w:spacing w:after="0"/>
              <w:rPr>
                <w:sz w:val="20"/>
                <w:szCs w:val="20"/>
                <w:color w:val="auto"/>
              </w:rPr>
            </w:pPr>
            <w:r>
              <w:rPr>
                <w:rFonts w:ascii="Arial" w:cs="Arial" w:eastAsia="Arial" w:hAnsi="Arial"/>
                <w:sz w:val="18"/>
                <w:szCs w:val="18"/>
                <w:b w:val="1"/>
                <w:bCs w:val="1"/>
                <w:color w:val="FFFFFF"/>
              </w:rPr>
              <w:t>Part II</w:t>
            </w:r>
          </w:p>
        </w:tc>
        <w:tc>
          <w:tcPr>
            <w:tcW w:w="64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Exempt Payees</w:t>
            </w: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5074920</wp:posOffset>
            </wp:positionH>
            <wp:positionV relativeFrom="paragraph">
              <wp:posOffset>-325120</wp:posOffset>
            </wp:positionV>
            <wp:extent cx="8890" cy="1803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8890" cy="18034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-753745</wp:posOffset>
            </wp:positionV>
            <wp:extent cx="889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8890" cy="171450"/>
                    </a:xfrm>
                    <a:prstGeom prst="rect">
                      <a:avLst/>
                    </a:prstGeom>
                    <a:noFill/>
                  </pic:spPr>
                </pic:pic>
              </a:graphicData>
            </a:graphic>
          </wp:anchor>
        </w:drawing>
        <w:drawing>
          <wp:anchor simplePos="0" relativeHeight="251657728" behindDoc="1" locked="0" layoutInCell="0" allowOverlap="1">
            <wp:simplePos x="0" y="0"/>
            <wp:positionH relativeFrom="column">
              <wp:posOffset>5358130</wp:posOffset>
            </wp:positionH>
            <wp:positionV relativeFrom="paragraph">
              <wp:posOffset>-753745</wp:posOffset>
            </wp:positionV>
            <wp:extent cx="889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149" w:lineRule="exact"/>
        <w:rPr>
          <w:sz w:val="20"/>
          <w:szCs w:val="20"/>
          <w:color w:val="auto"/>
        </w:rPr>
      </w:pPr>
      <w:r>
        <w:rPr>
          <w:rFonts w:ascii="Arial" w:cs="Arial" w:eastAsia="Arial" w:hAnsi="Arial"/>
          <w:sz w:val="14"/>
          <w:szCs w:val="14"/>
          <w:color w:val="auto"/>
        </w:rPr>
        <w:t xml:space="preserve">Check this box if you are NOT subject to backup withholding </w:t>
      </w:r>
      <w:r>
        <w:rPr>
          <w:rFonts w:ascii="MS PGothic" w:cs="MS PGothic" w:eastAsia="MS PGothic" w:hAnsi="MS PGothic"/>
          <w:sz w:val="14"/>
          <w:szCs w:val="14"/>
          <w:color w:val="auto"/>
        </w:rPr>
        <w:t>☐</w:t>
      </w:r>
    </w:p>
    <w:p>
      <w:pPr>
        <w:spacing w:after="0" w:line="110" w:lineRule="exact"/>
        <w:rPr>
          <w:sz w:val="20"/>
          <w:szCs w:val="20"/>
          <w:color w:val="auto"/>
        </w:rPr>
      </w:pPr>
    </w:p>
    <w:p>
      <w:pPr>
        <w:ind w:left="40"/>
        <w:spacing w:after="0"/>
        <w:tabs>
          <w:tab w:leader="none" w:pos="880" w:val="left"/>
        </w:tabs>
        <w:rPr>
          <w:sz w:val="20"/>
          <w:szCs w:val="20"/>
          <w:color w:val="auto"/>
        </w:rPr>
      </w:pPr>
      <w:r>
        <w:rPr>
          <w:rFonts w:ascii="Arial" w:cs="Arial" w:eastAsia="Arial" w:hAnsi="Arial"/>
          <w:sz w:val="18"/>
          <w:szCs w:val="18"/>
          <w:b w:val="1"/>
          <w:bCs w:val="1"/>
          <w:color w:val="FFFFFF"/>
          <w:highlight w:val="black"/>
        </w:rPr>
        <w:t>Part III</w:t>
      </w:r>
      <w:r>
        <w:rPr>
          <w:sz w:val="20"/>
          <w:szCs w:val="20"/>
          <w:color w:val="auto"/>
        </w:rPr>
        <w:tab/>
      </w:r>
      <w:r>
        <w:rPr>
          <w:rFonts w:ascii="Arial" w:cs="Arial" w:eastAsia="Arial" w:hAnsi="Arial"/>
          <w:sz w:val="16"/>
          <w:szCs w:val="16"/>
          <w:b w:val="1"/>
          <w:bCs w:val="1"/>
          <w:color w:val="auto"/>
        </w:rPr>
        <w:t>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26035</wp:posOffset>
            </wp:positionV>
            <wp:extent cx="657796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426720</wp:posOffset>
            </wp:positionH>
            <wp:positionV relativeFrom="paragraph">
              <wp:posOffset>-119380</wp:posOffset>
            </wp:positionV>
            <wp:extent cx="657796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657796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Under penalties of perjury, I certify that:</w:t>
      </w:r>
    </w:p>
    <w:p>
      <w:pPr>
        <w:spacing w:after="0" w:line="24" w:lineRule="exact"/>
        <w:rPr>
          <w:sz w:val="20"/>
          <w:szCs w:val="20"/>
          <w:color w:val="auto"/>
        </w:rPr>
      </w:pPr>
    </w:p>
    <w:p>
      <w:pPr>
        <w:ind w:left="320" w:hanging="316"/>
        <w:spacing w:after="0"/>
        <w:tabs>
          <w:tab w:leader="none" w:pos="320" w:val="left"/>
        </w:tabs>
        <w:numPr>
          <w:ilvl w:val="0"/>
          <w:numId w:val="54"/>
        </w:numPr>
        <w:rPr>
          <w:rFonts w:ascii="Arial" w:cs="Arial" w:eastAsia="Arial" w:hAnsi="Arial"/>
          <w:sz w:val="14"/>
          <w:szCs w:val="14"/>
          <w:b w:val="1"/>
          <w:bCs w:val="1"/>
          <w:color w:val="auto"/>
        </w:rPr>
      </w:pPr>
      <w:r>
        <w:rPr>
          <w:rFonts w:ascii="Arial" w:cs="Arial" w:eastAsia="Arial" w:hAnsi="Arial"/>
          <w:sz w:val="14"/>
          <w:szCs w:val="14"/>
          <w:color w:val="auto"/>
        </w:rPr>
        <w:t xml:space="preserve">The number shown on this form is my correct taxpayer identification number, </w:t>
      </w:r>
      <w:r>
        <w:rPr>
          <w:rFonts w:ascii="Arial" w:cs="Arial" w:eastAsia="Arial" w:hAnsi="Arial"/>
          <w:sz w:val="14"/>
          <w:szCs w:val="14"/>
          <w:b w:val="1"/>
          <w:bCs w:val="1"/>
          <w:color w:val="auto"/>
        </w:rPr>
        <w:t>and</w:t>
      </w:r>
    </w:p>
    <w:p>
      <w:pPr>
        <w:spacing w:after="0" w:line="28" w:lineRule="exact"/>
        <w:rPr>
          <w:rFonts w:ascii="Arial" w:cs="Arial" w:eastAsia="Arial" w:hAnsi="Arial"/>
          <w:sz w:val="14"/>
          <w:szCs w:val="14"/>
          <w:b w:val="1"/>
          <w:bCs w:val="1"/>
          <w:color w:val="auto"/>
        </w:rPr>
      </w:pPr>
    </w:p>
    <w:p>
      <w:pPr>
        <w:ind w:left="320" w:right="160" w:hanging="316"/>
        <w:spacing w:after="0" w:line="251" w:lineRule="auto"/>
        <w:tabs>
          <w:tab w:leader="none" w:pos="320" w:val="left"/>
        </w:tabs>
        <w:numPr>
          <w:ilvl w:val="0"/>
          <w:numId w:val="54"/>
        </w:numPr>
        <w:rPr>
          <w:rFonts w:ascii="Arial" w:cs="Arial" w:eastAsia="Arial" w:hAnsi="Arial"/>
          <w:sz w:val="14"/>
          <w:szCs w:val="14"/>
          <w:b w:val="1"/>
          <w:bCs w:val="1"/>
          <w:color w:val="auto"/>
        </w:rPr>
      </w:pPr>
      <w:r>
        <w:rPr>
          <w:rFonts w:ascii="Arial" w:cs="Arial" w:eastAsia="Arial" w:hAnsi="Arial"/>
          <w:sz w:val="14"/>
          <w:szCs w:val="14"/>
          <w:color w:val="auto"/>
        </w:rPr>
        <w:t xml:space="preserve">I am not subject to backup withholding because: </w:t>
      </w:r>
      <w:r>
        <w:rPr>
          <w:rFonts w:ascii="Arial" w:cs="Arial" w:eastAsia="Arial" w:hAnsi="Arial"/>
          <w:sz w:val="14"/>
          <w:szCs w:val="14"/>
          <w:b w:val="1"/>
          <w:bCs w:val="1"/>
          <w:color w:val="auto"/>
        </w:rPr>
        <w:t>(a)</w:t>
      </w:r>
      <w:r>
        <w:rPr>
          <w:rFonts w:ascii="Arial" w:cs="Arial" w:eastAsia="Arial" w:hAnsi="Arial"/>
          <w:sz w:val="14"/>
          <w:szCs w:val="14"/>
          <w:color w:val="auto"/>
        </w:rPr>
        <w:t xml:space="preserve"> I am exempt from backup withholding, or </w:t>
      </w:r>
      <w:r>
        <w:rPr>
          <w:rFonts w:ascii="Arial" w:cs="Arial" w:eastAsia="Arial" w:hAnsi="Arial"/>
          <w:sz w:val="14"/>
          <w:szCs w:val="14"/>
          <w:b w:val="1"/>
          <w:bCs w:val="1"/>
          <w:color w:val="auto"/>
        </w:rPr>
        <w:t>(b)</w:t>
      </w:r>
      <w:r>
        <w:rPr>
          <w:rFonts w:ascii="Arial" w:cs="Arial" w:eastAsia="Arial" w:hAnsi="Arial"/>
          <w:sz w:val="14"/>
          <w:szCs w:val="14"/>
          <w:color w:val="auto"/>
        </w:rPr>
        <w:t xml:space="preserve"> I have not been notified by the Internal Revenue Service (“IRS”) that I am subject to backup withholding as a result of a failure to report all interest or dividends, or (c) the IRS has notified me that I am no longer subject to backup withholding, </w:t>
      </w:r>
      <w:r>
        <w:rPr>
          <w:rFonts w:ascii="Arial" w:cs="Arial" w:eastAsia="Arial" w:hAnsi="Arial"/>
          <w:sz w:val="14"/>
          <w:szCs w:val="14"/>
          <w:b w:val="1"/>
          <w:bCs w:val="1"/>
          <w:color w:val="auto"/>
        </w:rPr>
        <w:t>and</w:t>
      </w:r>
    </w:p>
    <w:p>
      <w:pPr>
        <w:spacing w:after="0" w:line="4" w:lineRule="exact"/>
        <w:rPr>
          <w:rFonts w:ascii="Arial" w:cs="Arial" w:eastAsia="Arial" w:hAnsi="Arial"/>
          <w:sz w:val="14"/>
          <w:szCs w:val="14"/>
          <w:b w:val="1"/>
          <w:bCs w:val="1"/>
          <w:color w:val="auto"/>
        </w:rPr>
      </w:pPr>
    </w:p>
    <w:p>
      <w:pPr>
        <w:ind w:left="320" w:hanging="316"/>
        <w:spacing w:after="0"/>
        <w:tabs>
          <w:tab w:leader="none" w:pos="320" w:val="left"/>
        </w:tabs>
        <w:numPr>
          <w:ilvl w:val="0"/>
          <w:numId w:val="54"/>
        </w:numPr>
        <w:rPr>
          <w:rFonts w:ascii="Arial" w:cs="Arial" w:eastAsia="Arial" w:hAnsi="Arial"/>
          <w:sz w:val="14"/>
          <w:szCs w:val="14"/>
          <w:b w:val="1"/>
          <w:bCs w:val="1"/>
          <w:color w:val="auto"/>
        </w:rPr>
      </w:pPr>
      <w:r>
        <w:rPr>
          <w:rFonts w:ascii="Arial" w:cs="Arial" w:eastAsia="Arial" w:hAnsi="Arial"/>
          <w:sz w:val="14"/>
          <w:szCs w:val="14"/>
          <w:color w:val="auto"/>
        </w:rPr>
        <w:t>I am a U.S. person (defined in the IRS Form W-9 instructions).</w:t>
      </w:r>
    </w:p>
    <w:p>
      <w:pPr>
        <w:spacing w:after="0" w:line="28" w:lineRule="exact"/>
        <w:rPr>
          <w:rFonts w:ascii="Arial" w:cs="Arial" w:eastAsia="Arial" w:hAnsi="Arial"/>
          <w:sz w:val="14"/>
          <w:szCs w:val="14"/>
          <w:b w:val="1"/>
          <w:bCs w:val="1"/>
          <w:color w:val="auto"/>
        </w:rPr>
      </w:pPr>
    </w:p>
    <w:p>
      <w:pPr>
        <w:ind w:left="320" w:hanging="316"/>
        <w:spacing w:after="0"/>
        <w:tabs>
          <w:tab w:leader="none" w:pos="320" w:val="left"/>
        </w:tabs>
        <w:numPr>
          <w:ilvl w:val="0"/>
          <w:numId w:val="54"/>
        </w:numPr>
        <w:rPr>
          <w:rFonts w:ascii="Arial" w:cs="Arial" w:eastAsia="Arial" w:hAnsi="Arial"/>
          <w:sz w:val="14"/>
          <w:szCs w:val="14"/>
          <w:b w:val="1"/>
          <w:bCs w:val="1"/>
          <w:color w:val="auto"/>
        </w:rPr>
      </w:pPr>
      <w:r>
        <w:rPr>
          <w:rFonts w:ascii="Arial" w:cs="Arial" w:eastAsia="Arial" w:hAnsi="Arial"/>
          <w:sz w:val="14"/>
          <w:szCs w:val="14"/>
          <w:color w:val="auto"/>
        </w:rPr>
        <w:t>The FATCA code(s) entered on this form (if any) indicating that I am exempt from FATCA reporting is correct.</w:t>
      </w:r>
    </w:p>
    <w:p>
      <w:pPr>
        <w:spacing w:after="0" w:line="24" w:lineRule="exact"/>
        <w:rPr>
          <w:sz w:val="20"/>
          <w:szCs w:val="20"/>
          <w:color w:val="auto"/>
        </w:rPr>
      </w:pPr>
    </w:p>
    <w:p>
      <w:pPr>
        <w:ind w:right="140"/>
        <w:spacing w:after="0" w:line="235" w:lineRule="auto"/>
        <w:rPr>
          <w:sz w:val="20"/>
          <w:szCs w:val="20"/>
          <w:color w:val="auto"/>
        </w:rPr>
      </w:pPr>
      <w:r>
        <w:rPr>
          <w:rFonts w:ascii="Arial" w:cs="Arial" w:eastAsia="Arial" w:hAnsi="Arial"/>
          <w:sz w:val="14"/>
          <w:szCs w:val="14"/>
          <w:b w:val="1"/>
          <w:bCs w:val="1"/>
          <w:color w:val="auto"/>
        </w:rPr>
        <w:t xml:space="preserve">Certification instructions. </w:t>
      </w:r>
      <w:r>
        <w:rPr>
          <w:rFonts w:ascii="Arial" w:cs="Arial" w:eastAsia="Arial" w:hAnsi="Arial"/>
          <w:sz w:val="14"/>
          <w:szCs w:val="14"/>
          <w:color w:val="auto"/>
        </w:rPr>
        <w:t>You must cross out item</w:t>
      </w:r>
      <w:r>
        <w:rPr>
          <w:rFonts w:ascii="Arial" w:cs="Arial" w:eastAsia="Arial" w:hAnsi="Arial"/>
          <w:sz w:val="14"/>
          <w:szCs w:val="14"/>
          <w:b w:val="1"/>
          <w:bCs w:val="1"/>
          <w:color w:val="auto"/>
        </w:rPr>
        <w:t xml:space="preserve"> 2 </w:t>
      </w:r>
      <w:r>
        <w:rPr>
          <w:rFonts w:ascii="Arial" w:cs="Arial" w:eastAsia="Arial" w:hAnsi="Arial"/>
          <w:sz w:val="14"/>
          <w:szCs w:val="14"/>
          <w:color w:val="auto"/>
        </w:rPr>
        <w:t>above if you have been notified by the IRS that you are currently subject to backup withholding because you have failed to report all</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interest and dividends on your tax return. For real estate transactions, item </w:t>
      </w:r>
      <w:r>
        <w:rPr>
          <w:rFonts w:ascii="Arial" w:cs="Arial" w:eastAsia="Arial" w:hAnsi="Arial"/>
          <w:sz w:val="14"/>
          <w:szCs w:val="14"/>
          <w:b w:val="1"/>
          <w:bCs w:val="1"/>
          <w:color w:val="auto"/>
        </w:rPr>
        <w:t>2</w:t>
      </w:r>
      <w:r>
        <w:rPr>
          <w:rFonts w:ascii="Arial" w:cs="Arial" w:eastAsia="Arial" w:hAnsi="Arial"/>
          <w:sz w:val="14"/>
          <w:szCs w:val="14"/>
          <w:color w:val="auto"/>
        </w:rPr>
        <w:t xml:space="preserve"> does not apply. For mortgage interest paid, acquisition or abandonment of secured property, cancellation of debt, contributions to an individual retirement arrangement (“IRA”), and generally, payments other than interest and dividends, you are not required to sign the Certification, but you must provide your correct TIN. (See the instructions on page 17 and below.)</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Internal Revenue Service does not require your consent to any provision of this document other than the certifications required to avoid backup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6997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2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60" w:type="dxa"/>
            <w:vAlign w:val="bottom"/>
          </w:tcPr>
          <w:p>
            <w:pPr>
              <w:ind w:left="20"/>
              <w:spacing w:after="0"/>
              <w:rPr>
                <w:sz w:val="20"/>
                <w:szCs w:val="20"/>
                <w:color w:val="auto"/>
              </w:rPr>
            </w:pPr>
            <w:r>
              <w:rPr>
                <w:rFonts w:ascii="Arial" w:cs="Arial" w:eastAsia="Arial" w:hAnsi="Arial"/>
                <w:sz w:val="18"/>
                <w:szCs w:val="18"/>
                <w:b w:val="1"/>
                <w:bCs w:val="1"/>
                <w:color w:val="auto"/>
              </w:rPr>
              <w:t>Sign</w:t>
            </w:r>
          </w:p>
        </w:tc>
        <w:tc>
          <w:tcPr>
            <w:tcW w:w="368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Signature of</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560" w:type="dxa"/>
            <w:vAlign w:val="bottom"/>
            <w:vMerge w:val="restart"/>
          </w:tcPr>
          <w:p>
            <w:pPr>
              <w:spacing w:after="0"/>
              <w:rPr>
                <w:sz w:val="20"/>
                <w:szCs w:val="20"/>
                <w:color w:val="auto"/>
              </w:rPr>
            </w:pPr>
            <w:r>
              <w:rPr>
                <w:rFonts w:ascii="Arial" w:cs="Arial" w:eastAsia="Arial" w:hAnsi="Arial"/>
                <w:sz w:val="18"/>
                <w:szCs w:val="18"/>
                <w:b w:val="1"/>
                <w:bCs w:val="1"/>
                <w:color w:val="auto"/>
              </w:rPr>
              <w:t>Here</w:t>
            </w:r>
          </w:p>
        </w:tc>
        <w:tc>
          <w:tcPr>
            <w:tcW w:w="3680" w:type="dxa"/>
            <w:vAlign w:val="bottom"/>
            <w:vMerge w:val="continue"/>
          </w:tcPr>
          <w:p>
            <w:pPr>
              <w:spacing w:after="0"/>
              <w:rPr>
                <w:sz w:val="7"/>
                <w:szCs w:val="7"/>
                <w:color w:val="auto"/>
              </w:rPr>
            </w:pPr>
          </w:p>
        </w:tc>
        <w:tc>
          <w:tcPr>
            <w:tcW w:w="3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560" w:type="dxa"/>
            <w:vAlign w:val="bottom"/>
            <w:vMerge w:val="continue"/>
          </w:tcPr>
          <w:p>
            <w:pPr>
              <w:spacing w:after="0"/>
              <w:rPr>
                <w:sz w:val="14"/>
                <w:szCs w:val="14"/>
                <w:color w:val="auto"/>
              </w:rPr>
            </w:pPr>
          </w:p>
        </w:tc>
        <w:tc>
          <w:tcPr>
            <w:tcW w:w="3680" w:type="dxa"/>
            <w:vAlign w:val="bottom"/>
          </w:tcPr>
          <w:p>
            <w:pPr>
              <w:ind w:left="180"/>
              <w:spacing w:after="0"/>
              <w:rPr>
                <w:sz w:val="20"/>
                <w:szCs w:val="20"/>
                <w:color w:val="auto"/>
              </w:rPr>
            </w:pPr>
            <w:r>
              <w:rPr>
                <w:rFonts w:ascii="Arial" w:cs="Arial" w:eastAsia="Arial" w:hAnsi="Arial"/>
                <w:sz w:val="13"/>
                <w:szCs w:val="13"/>
                <w:b w:val="1"/>
                <w:bCs w:val="1"/>
                <w:color w:val="auto"/>
              </w:rPr>
              <w:t xml:space="preserve">U.S. person </w:t>
            </w:r>
            <w:r>
              <w:rPr>
                <w:rFonts w:ascii="Arial" w:cs="Arial" w:eastAsia="Arial" w:hAnsi="Arial"/>
                <w:sz w:val="13"/>
                <w:szCs w:val="13"/>
                <w:color w:val="auto"/>
              </w:rPr>
              <w:t>u</w:t>
            </w:r>
          </w:p>
        </w:tc>
        <w:tc>
          <w:tcPr>
            <w:tcW w:w="3140" w:type="dxa"/>
            <w:vAlign w:val="bottom"/>
          </w:tcPr>
          <w:p>
            <w:pPr>
              <w:ind w:left="2760"/>
              <w:spacing w:after="0"/>
              <w:rPr>
                <w:sz w:val="20"/>
                <w:szCs w:val="20"/>
                <w:color w:val="auto"/>
              </w:rPr>
            </w:pPr>
            <w:r>
              <w:rPr>
                <w:rFonts w:ascii="Arial" w:cs="Arial" w:eastAsia="Arial" w:hAnsi="Arial"/>
                <w:sz w:val="13"/>
                <w:szCs w:val="13"/>
                <w:b w:val="1"/>
                <w:bCs w:val="1"/>
                <w:color w:val="auto"/>
                <w:w w:val="92"/>
              </w:rPr>
              <w:t xml:space="preserve">Date </w:t>
            </w:r>
            <w:r>
              <w:rPr>
                <w:rFonts w:ascii="Arial" w:cs="Arial" w:eastAsia="Arial" w:hAnsi="Arial"/>
                <w:sz w:val="13"/>
                <w:szCs w:val="13"/>
                <w:color w:val="auto"/>
                <w:w w:val="92"/>
              </w:rPr>
              <w:t>u</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-289560</wp:posOffset>
            </wp:positionV>
            <wp:extent cx="6997700" cy="291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6997700" cy="291465"/>
                    </a:xfrm>
                    <a:prstGeom prst="rect">
                      <a:avLst/>
                    </a:prstGeom>
                    <a:noFill/>
                  </pic:spPr>
                </pic:pic>
              </a:graphicData>
            </a:graphic>
          </wp:anchor>
        </w:drawing>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40"/>
          </w:cols>
          <w:pgMar w:left="440" w:top="558" w:right="419" w:bottom="1440" w:gutter="0" w:footer="0" w:header="0"/>
        </w:sectPr>
      </w:pPr>
    </w:p>
    <w:bookmarkStart w:id="69" w:name="page70"/>
    <w:bookmarkEnd w:id="69"/>
    <w:p>
      <w:pPr>
        <w:jc w:val="center"/>
        <w:ind w:left="500" w:right="1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MUST COMPLETE THE FOLLOWING CERTIFICATE IF YOU WROTE “APPLIED FOR” IN PART I OF THE SUBSTITUTE FORM W-9.</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CERTIFICATE OF AWAITING TAXPAYER IDENTIFICATION NUMBER</w:t>
      </w:r>
    </w:p>
    <w:p>
      <w:pPr>
        <w:spacing w:after="0" w:line="229"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I certify under penalties of perjury that a TIN has not been issued to me, and that I mailed or delivered an application to receive a TIN to the appropriate IRS Center or Social Security Administration Office (or I intend to mail or deliver an application in the near future). I understand that if I do not provide a TIN to the Payor within 60 days, the Payor is required to withhold 24% of all reportable payments made to me thereafter until I provide a TIN and that, under certain circumstances, withholding may begin 7 business days after the Payor receives this Substitute Form W-9.</w:t>
      </w:r>
    </w:p>
    <w:p>
      <w:pPr>
        <w:spacing w:after="0" w:line="198" w:lineRule="exact"/>
        <w:rPr>
          <w:sz w:val="20"/>
          <w:szCs w:val="20"/>
          <w:color w:val="auto"/>
        </w:rPr>
      </w:pPr>
    </w:p>
    <w:p>
      <w:pPr>
        <w:spacing w:after="0"/>
        <w:tabs>
          <w:tab w:leader="none" w:pos="792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924560</wp:posOffset>
            </wp:positionH>
            <wp:positionV relativeFrom="paragraph">
              <wp:posOffset>14605</wp:posOffset>
            </wp:positionV>
            <wp:extent cx="60801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42" w:lineRule="exact"/>
        <w:rPr>
          <w:sz w:val="20"/>
          <w:szCs w:val="20"/>
          <w:color w:val="auto"/>
        </w:rPr>
      </w:pPr>
    </w:p>
    <w:p>
      <w:pPr>
        <w:ind w:left="780" w:hanging="779"/>
        <w:spacing w:after="0" w:line="261" w:lineRule="auto"/>
        <w:tabs>
          <w:tab w:leader="none" w:pos="760" w:val="left"/>
        </w:tabs>
        <w:rPr>
          <w:sz w:val="20"/>
          <w:szCs w:val="20"/>
          <w:color w:val="auto"/>
        </w:rPr>
      </w:pPr>
      <w:r>
        <w:rPr>
          <w:rFonts w:ascii="Arial" w:cs="Arial" w:eastAsia="Arial" w:hAnsi="Arial"/>
          <w:sz w:val="18"/>
          <w:szCs w:val="18"/>
          <w:b w:val="1"/>
          <w:bCs w:val="1"/>
          <w:color w:val="auto"/>
        </w:rPr>
        <w:t>NOTE:</w:t>
        <w:tab/>
        <w:t>FAILURE TO COMPLETE AND RETURN THIS FORM MAY RESULT IN A $50 PENALTY IMPOSED BY THE IRS AND IN BACKUP WITHHOLDING OF 24% OF ANY REPORTABLE PAYMENTS. PLEASE REVIEW THE ENCLOSED “GUIDELINES FOR CERTIFICATION OF TAXPAYER IDENTIFICATION NUMBER ON SUBSTITUTE FORM W-9” FOR ADDITIONAL DETAILS.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0" w:right="47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GUIDELINES FOR CERTIFICATION OF TAXPAYER IDENTIFICATION NUMBER 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SUBSTITUTE FORM W-9</w:t>
      </w:r>
    </w:p>
    <w:p>
      <w:pPr>
        <w:spacing w:after="0" w:line="207" w:lineRule="exact"/>
        <w:rPr>
          <w:sz w:val="20"/>
          <w:szCs w:val="20"/>
          <w:color w:val="auto"/>
        </w:rPr>
      </w:pPr>
    </w:p>
    <w:p>
      <w:pPr>
        <w:ind w:right="60" w:firstLine="441"/>
        <w:spacing w:after="0" w:line="266" w:lineRule="auto"/>
        <w:rPr>
          <w:sz w:val="20"/>
          <w:szCs w:val="20"/>
          <w:color w:val="auto"/>
        </w:rPr>
      </w:pPr>
      <w:r>
        <w:rPr>
          <w:rFonts w:ascii="Arial" w:cs="Arial" w:eastAsia="Arial" w:hAnsi="Arial"/>
          <w:sz w:val="18"/>
          <w:szCs w:val="18"/>
          <w:b w:val="1"/>
          <w:bCs w:val="1"/>
          <w:color w:val="auto"/>
        </w:rPr>
        <w:t>Guidelines for Determining the Proper Identification Number to Give the Payer</w:t>
      </w:r>
      <w:r>
        <w:rPr>
          <w:rFonts w:ascii="Arial" w:cs="Arial" w:eastAsia="Arial" w:hAnsi="Arial"/>
          <w:sz w:val="18"/>
          <w:szCs w:val="18"/>
          <w:color w:val="auto"/>
        </w:rPr>
        <w:t>—Social Security numbers have nine digits separated by two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hyphens: i.e., 000-00-0000. Employer identification numbers have nine digits separated by one hyphen: </w:t>
      </w:r>
      <w:r>
        <w:rPr>
          <w:rFonts w:ascii="Arial" w:cs="Arial" w:eastAsia="Arial" w:hAnsi="Arial"/>
          <w:sz w:val="18"/>
          <w:szCs w:val="18"/>
          <w:i w:val="1"/>
          <w:iCs w:val="1"/>
          <w:color w:val="auto"/>
        </w:rPr>
        <w:t>i.e.</w:t>
      </w:r>
      <w:r>
        <w:rPr>
          <w:rFonts w:ascii="Arial" w:cs="Arial" w:eastAsia="Arial" w:hAnsi="Arial"/>
          <w:sz w:val="18"/>
          <w:szCs w:val="18"/>
          <w:color w:val="auto"/>
        </w:rPr>
        <w:t>, 00-0000000. The table below will help determine the number to give the 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33534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200" w:lineRule="exact"/>
        <w:rPr>
          <w:sz w:val="20"/>
          <w:szCs w:val="20"/>
          <w:color w:val="auto"/>
        </w:rPr>
      </w:pP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400" w:type="dxa"/>
            <w:vAlign w:val="bottom"/>
          </w:tcPr>
          <w:p>
            <w:pPr>
              <w:ind w:left="180"/>
              <w:spacing w:after="0"/>
              <w:rPr>
                <w:sz w:val="20"/>
                <w:szCs w:val="20"/>
                <w:color w:val="auto"/>
              </w:rPr>
            </w:pPr>
            <w:r>
              <w:rPr>
                <w:rFonts w:ascii="Arial" w:cs="Arial" w:eastAsia="Arial" w:hAnsi="Arial"/>
                <w:sz w:val="16"/>
                <w:szCs w:val="16"/>
                <w:b w:val="1"/>
                <w:bCs w:val="1"/>
                <w:color w:val="auto"/>
              </w:rPr>
              <w:t>Give the NAME AND</w:t>
            </w:r>
          </w:p>
        </w:tc>
      </w:tr>
      <w:tr>
        <w:trPr>
          <w:trHeight w:val="203"/>
        </w:trPr>
        <w:tc>
          <w:tcPr>
            <w:tcW w:w="2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400" w:type="dxa"/>
            <w:vAlign w:val="bottom"/>
          </w:tcPr>
          <w:p>
            <w:pPr>
              <w:ind w:left="180"/>
              <w:spacing w:after="0"/>
              <w:rPr>
                <w:sz w:val="20"/>
                <w:szCs w:val="20"/>
                <w:color w:val="auto"/>
              </w:rPr>
            </w:pPr>
            <w:r>
              <w:rPr>
                <w:rFonts w:ascii="Arial" w:cs="Arial" w:eastAsia="Arial" w:hAnsi="Arial"/>
                <w:sz w:val="16"/>
                <w:szCs w:val="16"/>
                <w:b w:val="1"/>
                <w:bCs w:val="1"/>
                <w:color w:val="auto"/>
              </w:rPr>
              <w:t>SOCIAL SECURITY</w:t>
            </w:r>
          </w:p>
        </w:tc>
      </w:tr>
      <w:tr>
        <w:trPr>
          <w:trHeight w:val="227"/>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For this type of account:</w:t>
            </w:r>
          </w:p>
        </w:tc>
        <w:tc>
          <w:tcPr>
            <w:tcW w:w="24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NUMBER OF:</w:t>
            </w:r>
          </w:p>
        </w:tc>
      </w:tr>
      <w:tr>
        <w:trPr>
          <w:trHeight w:val="179"/>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2660" w:type="dxa"/>
            <w:vAlign w:val="bottom"/>
          </w:tcPr>
          <w:p>
            <w:pPr>
              <w:ind w:left="140"/>
              <w:spacing w:after="0"/>
              <w:rPr>
                <w:sz w:val="20"/>
                <w:szCs w:val="20"/>
                <w:color w:val="auto"/>
              </w:rPr>
            </w:pPr>
            <w:r>
              <w:rPr>
                <w:rFonts w:ascii="Arial" w:cs="Arial" w:eastAsia="Arial" w:hAnsi="Arial"/>
                <w:sz w:val="14"/>
                <w:szCs w:val="14"/>
                <w:color w:val="auto"/>
              </w:rPr>
              <w:t>An individual</w:t>
            </w:r>
          </w:p>
        </w:tc>
        <w:tc>
          <w:tcPr>
            <w:tcW w:w="2400" w:type="dxa"/>
            <w:vAlign w:val="bottom"/>
          </w:tcPr>
          <w:p>
            <w:pPr>
              <w:ind w:left="180"/>
              <w:spacing w:after="0"/>
              <w:rPr>
                <w:sz w:val="20"/>
                <w:szCs w:val="20"/>
                <w:color w:val="auto"/>
              </w:rPr>
            </w:pPr>
            <w:r>
              <w:rPr>
                <w:rFonts w:ascii="Arial" w:cs="Arial" w:eastAsia="Arial" w:hAnsi="Arial"/>
                <w:sz w:val="14"/>
                <w:szCs w:val="14"/>
                <w:color w:val="auto"/>
              </w:rPr>
              <w:t>The individual</w:t>
            </w:r>
          </w:p>
        </w:tc>
      </w:tr>
      <w:tr>
        <w:trPr>
          <w:trHeight w:val="204"/>
        </w:trPr>
        <w:tc>
          <w:tcPr>
            <w:tcW w:w="220" w:type="dxa"/>
            <w:vAlign w:val="bottom"/>
          </w:tcPr>
          <w:p>
            <w:pPr>
              <w:spacing w:after="0"/>
              <w:rPr>
                <w:sz w:val="20"/>
                <w:szCs w:val="20"/>
                <w:color w:val="auto"/>
              </w:rPr>
            </w:pPr>
            <w:r>
              <w:rPr>
                <w:rFonts w:ascii="Arial" w:cs="Arial" w:eastAsia="Arial" w:hAnsi="Arial"/>
                <w:sz w:val="14"/>
                <w:szCs w:val="14"/>
                <w:color w:val="auto"/>
              </w:rPr>
              <w:t>2.</w:t>
            </w:r>
          </w:p>
        </w:tc>
        <w:tc>
          <w:tcPr>
            <w:tcW w:w="2660" w:type="dxa"/>
            <w:vAlign w:val="bottom"/>
          </w:tcPr>
          <w:p>
            <w:pPr>
              <w:ind w:left="140"/>
              <w:spacing w:after="0"/>
              <w:rPr>
                <w:sz w:val="20"/>
                <w:szCs w:val="20"/>
                <w:color w:val="auto"/>
              </w:rPr>
            </w:pPr>
            <w:r>
              <w:rPr>
                <w:rFonts w:ascii="Arial" w:cs="Arial" w:eastAsia="Arial" w:hAnsi="Arial"/>
                <w:sz w:val="14"/>
                <w:szCs w:val="14"/>
                <w:color w:val="auto"/>
              </w:rPr>
              <w:t>Two or more individuals</w:t>
            </w:r>
          </w:p>
        </w:tc>
        <w:tc>
          <w:tcPr>
            <w:tcW w:w="2400" w:type="dxa"/>
            <w:vAlign w:val="bottom"/>
          </w:tcPr>
          <w:p>
            <w:pPr>
              <w:ind w:left="180"/>
              <w:spacing w:after="0"/>
              <w:rPr>
                <w:sz w:val="20"/>
                <w:szCs w:val="20"/>
                <w:color w:val="auto"/>
              </w:rPr>
            </w:pPr>
            <w:r>
              <w:rPr>
                <w:rFonts w:ascii="Arial" w:cs="Arial" w:eastAsia="Arial" w:hAnsi="Arial"/>
                <w:sz w:val="14"/>
                <w:szCs w:val="14"/>
                <w:color w:val="auto"/>
                <w:w w:val="93"/>
              </w:rPr>
              <w:t>The actual owner of the account, or, if</w:t>
            </w:r>
          </w:p>
        </w:tc>
      </w:tr>
      <w:tr>
        <w:trPr>
          <w:trHeight w:val="149"/>
        </w:trPr>
        <w:tc>
          <w:tcPr>
            <w:tcW w:w="220" w:type="dxa"/>
            <w:vAlign w:val="bottom"/>
          </w:tcPr>
          <w:p>
            <w:pPr>
              <w:spacing w:after="0"/>
              <w:rPr>
                <w:sz w:val="12"/>
                <w:szCs w:val="12"/>
                <w:color w:val="auto"/>
              </w:rPr>
            </w:pPr>
          </w:p>
        </w:tc>
        <w:tc>
          <w:tcPr>
            <w:tcW w:w="2660" w:type="dxa"/>
            <w:vAlign w:val="bottom"/>
          </w:tcPr>
          <w:p>
            <w:pPr>
              <w:ind w:left="140"/>
              <w:spacing w:after="0" w:line="149" w:lineRule="exact"/>
              <w:rPr>
                <w:sz w:val="20"/>
                <w:szCs w:val="20"/>
                <w:color w:val="auto"/>
              </w:rPr>
            </w:pPr>
            <w:r>
              <w:rPr>
                <w:rFonts w:ascii="Arial" w:cs="Arial" w:eastAsia="Arial" w:hAnsi="Arial"/>
                <w:sz w:val="14"/>
                <w:szCs w:val="14"/>
                <w:color w:val="auto"/>
              </w:rPr>
              <w:t>(joint account)</w:t>
            </w:r>
          </w:p>
        </w:tc>
        <w:tc>
          <w:tcPr>
            <w:tcW w:w="2400" w:type="dxa"/>
            <w:vAlign w:val="bottom"/>
          </w:tcPr>
          <w:p>
            <w:pPr>
              <w:ind w:left="180"/>
              <w:spacing w:after="0" w:line="149" w:lineRule="exact"/>
              <w:rPr>
                <w:sz w:val="20"/>
                <w:szCs w:val="20"/>
                <w:color w:val="auto"/>
              </w:rPr>
            </w:pPr>
            <w:r>
              <w:rPr>
                <w:rFonts w:ascii="Arial" w:cs="Arial" w:eastAsia="Arial" w:hAnsi="Arial"/>
                <w:sz w:val="14"/>
                <w:szCs w:val="14"/>
                <w:color w:val="auto"/>
              </w:rPr>
              <w:t>combined funds, the first individual</w:t>
            </w:r>
          </w:p>
        </w:tc>
      </w:tr>
      <w:tr>
        <w:trPr>
          <w:trHeight w:val="182"/>
        </w:trPr>
        <w:tc>
          <w:tcPr>
            <w:tcW w:w="2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400" w:type="dxa"/>
            <w:vAlign w:val="bottom"/>
          </w:tcPr>
          <w:p>
            <w:pPr>
              <w:ind w:left="180"/>
              <w:spacing w:after="0"/>
              <w:rPr>
                <w:sz w:val="20"/>
                <w:szCs w:val="20"/>
                <w:color w:val="auto"/>
              </w:rPr>
            </w:pPr>
            <w:r>
              <w:rPr>
                <w:rFonts w:ascii="Arial" w:cs="Arial" w:eastAsia="Arial" w:hAnsi="Arial"/>
                <w:sz w:val="14"/>
                <w:szCs w:val="14"/>
                <w:color w:val="auto"/>
              </w:rPr>
              <w:t>on the account (1)</w:t>
            </w:r>
          </w:p>
        </w:tc>
      </w:tr>
      <w:tr>
        <w:trPr>
          <w:trHeight w:val="223"/>
        </w:trPr>
        <w:tc>
          <w:tcPr>
            <w:tcW w:w="220" w:type="dxa"/>
            <w:vAlign w:val="bottom"/>
          </w:tcPr>
          <w:p>
            <w:pPr>
              <w:spacing w:after="0"/>
              <w:rPr>
                <w:sz w:val="20"/>
                <w:szCs w:val="20"/>
                <w:color w:val="auto"/>
              </w:rPr>
            </w:pPr>
            <w:r>
              <w:rPr>
                <w:rFonts w:ascii="Arial" w:cs="Arial" w:eastAsia="Arial" w:hAnsi="Arial"/>
                <w:sz w:val="14"/>
                <w:szCs w:val="14"/>
                <w:color w:val="auto"/>
              </w:rPr>
              <w:t>3.</w:t>
            </w:r>
          </w:p>
        </w:tc>
        <w:tc>
          <w:tcPr>
            <w:tcW w:w="2660" w:type="dxa"/>
            <w:vAlign w:val="bottom"/>
          </w:tcPr>
          <w:p>
            <w:pPr>
              <w:ind w:left="140"/>
              <w:spacing w:after="0"/>
              <w:rPr>
                <w:sz w:val="20"/>
                <w:szCs w:val="20"/>
                <w:color w:val="auto"/>
              </w:rPr>
            </w:pPr>
            <w:r>
              <w:rPr>
                <w:rFonts w:ascii="Arial" w:cs="Arial" w:eastAsia="Arial" w:hAnsi="Arial"/>
                <w:sz w:val="14"/>
                <w:szCs w:val="14"/>
                <w:color w:val="auto"/>
              </w:rPr>
              <w:t>Custodian account of a minor (Uniform</w:t>
            </w:r>
          </w:p>
        </w:tc>
        <w:tc>
          <w:tcPr>
            <w:tcW w:w="2400" w:type="dxa"/>
            <w:vAlign w:val="bottom"/>
          </w:tcPr>
          <w:p>
            <w:pPr>
              <w:ind w:left="180"/>
              <w:spacing w:after="0"/>
              <w:rPr>
                <w:sz w:val="20"/>
                <w:szCs w:val="20"/>
                <w:color w:val="auto"/>
              </w:rPr>
            </w:pPr>
            <w:r>
              <w:rPr>
                <w:rFonts w:ascii="Arial" w:cs="Arial" w:eastAsia="Arial" w:hAnsi="Arial"/>
                <w:sz w:val="14"/>
                <w:szCs w:val="14"/>
                <w:color w:val="auto"/>
              </w:rPr>
              <w:t>The minor (2)</w:t>
            </w:r>
          </w:p>
        </w:tc>
      </w:tr>
      <w:tr>
        <w:trPr>
          <w:trHeight w:val="182"/>
        </w:trPr>
        <w:tc>
          <w:tcPr>
            <w:tcW w:w="220" w:type="dxa"/>
            <w:vAlign w:val="bottom"/>
          </w:tcPr>
          <w:p>
            <w:pPr>
              <w:spacing w:after="0"/>
              <w:rPr>
                <w:sz w:val="15"/>
                <w:szCs w:val="15"/>
                <w:color w:val="auto"/>
              </w:rPr>
            </w:pPr>
          </w:p>
        </w:tc>
        <w:tc>
          <w:tcPr>
            <w:tcW w:w="2660" w:type="dxa"/>
            <w:vAlign w:val="bottom"/>
          </w:tcPr>
          <w:p>
            <w:pPr>
              <w:ind w:left="140"/>
              <w:spacing w:after="0"/>
              <w:rPr>
                <w:sz w:val="20"/>
                <w:szCs w:val="20"/>
                <w:color w:val="auto"/>
              </w:rPr>
            </w:pPr>
            <w:r>
              <w:rPr>
                <w:rFonts w:ascii="Arial" w:cs="Arial" w:eastAsia="Arial" w:hAnsi="Arial"/>
                <w:sz w:val="14"/>
                <w:szCs w:val="14"/>
                <w:color w:val="auto"/>
              </w:rPr>
              <w:t>Gift to Minors Act)</w:t>
            </w:r>
          </w:p>
        </w:tc>
        <w:tc>
          <w:tcPr>
            <w:tcW w:w="2400" w:type="dxa"/>
            <w:vAlign w:val="bottom"/>
          </w:tcPr>
          <w:p>
            <w:pPr>
              <w:spacing w:after="0"/>
              <w:rPr>
                <w:sz w:val="15"/>
                <w:szCs w:val="15"/>
                <w:color w:val="auto"/>
              </w:rPr>
            </w:pPr>
          </w:p>
        </w:tc>
      </w:tr>
      <w:tr>
        <w:trPr>
          <w:trHeight w:val="223"/>
        </w:trPr>
        <w:tc>
          <w:tcPr>
            <w:tcW w:w="220" w:type="dxa"/>
            <w:vAlign w:val="bottom"/>
          </w:tcPr>
          <w:p>
            <w:pPr>
              <w:spacing w:after="0"/>
              <w:rPr>
                <w:sz w:val="20"/>
                <w:szCs w:val="20"/>
                <w:color w:val="auto"/>
              </w:rPr>
            </w:pPr>
            <w:r>
              <w:rPr>
                <w:rFonts w:ascii="Arial" w:cs="Arial" w:eastAsia="Arial" w:hAnsi="Arial"/>
                <w:sz w:val="14"/>
                <w:szCs w:val="14"/>
                <w:color w:val="auto"/>
              </w:rPr>
              <w:t>4.</w:t>
            </w:r>
          </w:p>
        </w:tc>
        <w:tc>
          <w:tcPr>
            <w:tcW w:w="2660" w:type="dxa"/>
            <w:vAlign w:val="bottom"/>
          </w:tcPr>
          <w:p>
            <w:pPr>
              <w:ind w:left="140"/>
              <w:spacing w:after="0"/>
              <w:rPr>
                <w:sz w:val="20"/>
                <w:szCs w:val="20"/>
                <w:color w:val="auto"/>
              </w:rPr>
            </w:pPr>
            <w:r>
              <w:rPr>
                <w:rFonts w:ascii="Arial" w:cs="Arial" w:eastAsia="Arial" w:hAnsi="Arial"/>
                <w:sz w:val="14"/>
                <w:szCs w:val="14"/>
                <w:color w:val="auto"/>
              </w:rPr>
              <w:t>a. The usual revocable</w:t>
            </w:r>
          </w:p>
        </w:tc>
        <w:tc>
          <w:tcPr>
            <w:tcW w:w="2400" w:type="dxa"/>
            <w:vAlign w:val="bottom"/>
          </w:tcPr>
          <w:p>
            <w:pPr>
              <w:ind w:left="180"/>
              <w:spacing w:after="0"/>
              <w:rPr>
                <w:sz w:val="20"/>
                <w:szCs w:val="20"/>
                <w:color w:val="auto"/>
              </w:rPr>
            </w:pPr>
            <w:r>
              <w:rPr>
                <w:rFonts w:ascii="Arial" w:cs="Arial" w:eastAsia="Arial" w:hAnsi="Arial"/>
                <w:sz w:val="14"/>
                <w:szCs w:val="14"/>
                <w:color w:val="auto"/>
              </w:rPr>
              <w:t>The grantor-trustee (1)</w:t>
            </w:r>
          </w:p>
        </w:tc>
      </w:tr>
      <w:tr>
        <w:trPr>
          <w:trHeight w:val="149"/>
        </w:trPr>
        <w:tc>
          <w:tcPr>
            <w:tcW w:w="220" w:type="dxa"/>
            <w:vAlign w:val="bottom"/>
          </w:tcPr>
          <w:p>
            <w:pPr>
              <w:spacing w:after="0"/>
              <w:rPr>
                <w:sz w:val="12"/>
                <w:szCs w:val="12"/>
                <w:color w:val="auto"/>
              </w:rPr>
            </w:pPr>
          </w:p>
        </w:tc>
        <w:tc>
          <w:tcPr>
            <w:tcW w:w="2660" w:type="dxa"/>
            <w:vAlign w:val="bottom"/>
          </w:tcPr>
          <w:p>
            <w:pPr>
              <w:ind w:left="260"/>
              <w:spacing w:after="0" w:line="149" w:lineRule="exact"/>
              <w:rPr>
                <w:sz w:val="20"/>
                <w:szCs w:val="20"/>
                <w:color w:val="auto"/>
              </w:rPr>
            </w:pPr>
            <w:r>
              <w:rPr>
                <w:rFonts w:ascii="Arial" w:cs="Arial" w:eastAsia="Arial" w:hAnsi="Arial"/>
                <w:sz w:val="14"/>
                <w:szCs w:val="14"/>
                <w:color w:val="auto"/>
              </w:rPr>
              <w:t>savings trust (grantor is</w:t>
            </w:r>
          </w:p>
        </w:tc>
        <w:tc>
          <w:tcPr>
            <w:tcW w:w="2400" w:type="dxa"/>
            <w:vAlign w:val="bottom"/>
          </w:tcPr>
          <w:p>
            <w:pPr>
              <w:spacing w:after="0"/>
              <w:rPr>
                <w:sz w:val="12"/>
                <w:szCs w:val="12"/>
                <w:color w:val="auto"/>
              </w:rPr>
            </w:pPr>
          </w:p>
        </w:tc>
      </w:tr>
      <w:tr>
        <w:trPr>
          <w:trHeight w:val="182"/>
        </w:trPr>
        <w:tc>
          <w:tcPr>
            <w:tcW w:w="220" w:type="dxa"/>
            <w:vAlign w:val="bottom"/>
          </w:tcPr>
          <w:p>
            <w:pPr>
              <w:spacing w:after="0"/>
              <w:rPr>
                <w:sz w:val="15"/>
                <w:szCs w:val="15"/>
                <w:color w:val="auto"/>
              </w:rPr>
            </w:pPr>
          </w:p>
        </w:tc>
        <w:tc>
          <w:tcPr>
            <w:tcW w:w="2660" w:type="dxa"/>
            <w:vAlign w:val="bottom"/>
          </w:tcPr>
          <w:p>
            <w:pPr>
              <w:ind w:left="260"/>
              <w:spacing w:after="0"/>
              <w:rPr>
                <w:sz w:val="20"/>
                <w:szCs w:val="20"/>
                <w:color w:val="auto"/>
              </w:rPr>
            </w:pPr>
            <w:r>
              <w:rPr>
                <w:rFonts w:ascii="Arial" w:cs="Arial" w:eastAsia="Arial" w:hAnsi="Arial"/>
                <w:sz w:val="14"/>
                <w:szCs w:val="14"/>
                <w:color w:val="auto"/>
              </w:rPr>
              <w:t>also trustee)</w:t>
            </w:r>
          </w:p>
        </w:tc>
        <w:tc>
          <w:tcPr>
            <w:tcW w:w="2400" w:type="dxa"/>
            <w:vAlign w:val="bottom"/>
          </w:tcPr>
          <w:p>
            <w:pPr>
              <w:spacing w:after="0"/>
              <w:rPr>
                <w:sz w:val="15"/>
                <w:szCs w:val="15"/>
                <w:color w:val="auto"/>
              </w:rPr>
            </w:pPr>
          </w:p>
        </w:tc>
      </w:tr>
      <w:tr>
        <w:trPr>
          <w:trHeight w:val="236"/>
        </w:trPr>
        <w:tc>
          <w:tcPr>
            <w:tcW w:w="220" w:type="dxa"/>
            <w:vAlign w:val="bottom"/>
          </w:tcPr>
          <w:p>
            <w:pPr>
              <w:spacing w:after="0"/>
              <w:rPr>
                <w:sz w:val="20"/>
                <w:szCs w:val="20"/>
                <w:color w:val="auto"/>
              </w:rPr>
            </w:pPr>
          </w:p>
        </w:tc>
        <w:tc>
          <w:tcPr>
            <w:tcW w:w="2660" w:type="dxa"/>
            <w:vAlign w:val="bottom"/>
          </w:tcPr>
          <w:p>
            <w:pPr>
              <w:ind w:left="140"/>
              <w:spacing w:after="0"/>
              <w:rPr>
                <w:sz w:val="20"/>
                <w:szCs w:val="20"/>
                <w:color w:val="auto"/>
              </w:rPr>
            </w:pPr>
            <w:r>
              <w:rPr>
                <w:rFonts w:ascii="Arial" w:cs="Arial" w:eastAsia="Arial" w:hAnsi="Arial"/>
                <w:sz w:val="14"/>
                <w:szCs w:val="14"/>
                <w:color w:val="auto"/>
              </w:rPr>
              <w:t>b. So-called trust account</w:t>
            </w:r>
          </w:p>
        </w:tc>
        <w:tc>
          <w:tcPr>
            <w:tcW w:w="2400" w:type="dxa"/>
            <w:vAlign w:val="bottom"/>
          </w:tcPr>
          <w:p>
            <w:pPr>
              <w:ind w:left="180"/>
              <w:spacing w:after="0"/>
              <w:rPr>
                <w:sz w:val="20"/>
                <w:szCs w:val="20"/>
                <w:color w:val="auto"/>
              </w:rPr>
            </w:pPr>
            <w:r>
              <w:rPr>
                <w:rFonts w:ascii="Arial" w:cs="Arial" w:eastAsia="Arial" w:hAnsi="Arial"/>
                <w:sz w:val="14"/>
                <w:szCs w:val="14"/>
                <w:color w:val="auto"/>
              </w:rPr>
              <w:t>The actual owner (1)</w:t>
            </w:r>
          </w:p>
        </w:tc>
      </w:tr>
      <w:tr>
        <w:trPr>
          <w:trHeight w:val="149"/>
        </w:trPr>
        <w:tc>
          <w:tcPr>
            <w:tcW w:w="220" w:type="dxa"/>
            <w:vAlign w:val="bottom"/>
          </w:tcPr>
          <w:p>
            <w:pPr>
              <w:spacing w:after="0"/>
              <w:rPr>
                <w:sz w:val="12"/>
                <w:szCs w:val="12"/>
                <w:color w:val="auto"/>
              </w:rPr>
            </w:pPr>
          </w:p>
        </w:tc>
        <w:tc>
          <w:tcPr>
            <w:tcW w:w="2660" w:type="dxa"/>
            <w:vAlign w:val="bottom"/>
          </w:tcPr>
          <w:p>
            <w:pPr>
              <w:ind w:left="260"/>
              <w:spacing w:after="0" w:line="149" w:lineRule="exact"/>
              <w:rPr>
                <w:sz w:val="20"/>
                <w:szCs w:val="20"/>
                <w:color w:val="auto"/>
              </w:rPr>
            </w:pPr>
            <w:r>
              <w:rPr>
                <w:rFonts w:ascii="Arial" w:cs="Arial" w:eastAsia="Arial" w:hAnsi="Arial"/>
                <w:sz w:val="14"/>
                <w:szCs w:val="14"/>
                <w:color w:val="auto"/>
              </w:rPr>
              <w:t>that is not a legal or valid</w:t>
            </w:r>
          </w:p>
        </w:tc>
        <w:tc>
          <w:tcPr>
            <w:tcW w:w="2400" w:type="dxa"/>
            <w:vAlign w:val="bottom"/>
          </w:tcPr>
          <w:p>
            <w:pPr>
              <w:spacing w:after="0"/>
              <w:rPr>
                <w:sz w:val="12"/>
                <w:szCs w:val="12"/>
                <w:color w:val="auto"/>
              </w:rPr>
            </w:pPr>
          </w:p>
        </w:tc>
      </w:tr>
      <w:tr>
        <w:trPr>
          <w:trHeight w:val="182"/>
        </w:trPr>
        <w:tc>
          <w:tcPr>
            <w:tcW w:w="220" w:type="dxa"/>
            <w:vAlign w:val="bottom"/>
          </w:tcPr>
          <w:p>
            <w:pPr>
              <w:spacing w:after="0"/>
              <w:rPr>
                <w:sz w:val="15"/>
                <w:szCs w:val="15"/>
                <w:color w:val="auto"/>
              </w:rPr>
            </w:pPr>
          </w:p>
        </w:tc>
        <w:tc>
          <w:tcPr>
            <w:tcW w:w="2660" w:type="dxa"/>
            <w:vAlign w:val="bottom"/>
          </w:tcPr>
          <w:p>
            <w:pPr>
              <w:ind w:left="260"/>
              <w:spacing w:after="0"/>
              <w:rPr>
                <w:sz w:val="20"/>
                <w:szCs w:val="20"/>
                <w:color w:val="auto"/>
              </w:rPr>
            </w:pPr>
            <w:r>
              <w:rPr>
                <w:rFonts w:ascii="Arial" w:cs="Arial" w:eastAsia="Arial" w:hAnsi="Arial"/>
                <w:sz w:val="14"/>
                <w:szCs w:val="14"/>
                <w:color w:val="auto"/>
              </w:rPr>
              <w:t>trust under state law</w:t>
            </w:r>
          </w:p>
        </w:tc>
        <w:tc>
          <w:tcPr>
            <w:tcW w:w="2400" w:type="dxa"/>
            <w:vAlign w:val="bottom"/>
          </w:tcPr>
          <w:p>
            <w:pPr>
              <w:spacing w:after="0"/>
              <w:rPr>
                <w:sz w:val="15"/>
                <w:szCs w:val="15"/>
                <w:color w:val="auto"/>
              </w:rPr>
            </w:pPr>
          </w:p>
        </w:tc>
      </w:tr>
      <w:tr>
        <w:trPr>
          <w:trHeight w:val="236"/>
        </w:trPr>
        <w:tc>
          <w:tcPr>
            <w:tcW w:w="220" w:type="dxa"/>
            <w:vAlign w:val="bottom"/>
          </w:tcPr>
          <w:p>
            <w:pPr>
              <w:spacing w:after="0"/>
              <w:rPr>
                <w:sz w:val="20"/>
                <w:szCs w:val="20"/>
                <w:color w:val="auto"/>
              </w:rPr>
            </w:pPr>
            <w:r>
              <w:rPr>
                <w:rFonts w:ascii="Arial" w:cs="Arial" w:eastAsia="Arial" w:hAnsi="Arial"/>
                <w:sz w:val="14"/>
                <w:szCs w:val="14"/>
                <w:color w:val="auto"/>
              </w:rPr>
              <w:t>5.</w:t>
            </w:r>
          </w:p>
        </w:tc>
        <w:tc>
          <w:tcPr>
            <w:tcW w:w="2660" w:type="dxa"/>
            <w:vAlign w:val="bottom"/>
          </w:tcPr>
          <w:p>
            <w:pPr>
              <w:ind w:left="140"/>
              <w:spacing w:after="0"/>
              <w:rPr>
                <w:sz w:val="20"/>
                <w:szCs w:val="20"/>
                <w:color w:val="auto"/>
              </w:rPr>
            </w:pPr>
            <w:r>
              <w:rPr>
                <w:rFonts w:ascii="Arial" w:cs="Arial" w:eastAsia="Arial" w:hAnsi="Arial"/>
                <w:sz w:val="14"/>
                <w:szCs w:val="14"/>
                <w:color w:val="auto"/>
              </w:rPr>
              <w:t>Sole proprietorship or disregarded entity</w:t>
            </w:r>
          </w:p>
        </w:tc>
        <w:tc>
          <w:tcPr>
            <w:tcW w:w="2400" w:type="dxa"/>
            <w:vAlign w:val="bottom"/>
          </w:tcPr>
          <w:p>
            <w:pPr>
              <w:ind w:left="180"/>
              <w:spacing w:after="0"/>
              <w:rPr>
                <w:sz w:val="20"/>
                <w:szCs w:val="20"/>
                <w:color w:val="auto"/>
              </w:rPr>
            </w:pPr>
            <w:r>
              <w:rPr>
                <w:rFonts w:ascii="Arial" w:cs="Arial" w:eastAsia="Arial" w:hAnsi="Arial"/>
                <w:sz w:val="14"/>
                <w:szCs w:val="14"/>
                <w:color w:val="auto"/>
              </w:rPr>
              <w:t>The owner (3)</w:t>
            </w:r>
          </w:p>
        </w:tc>
      </w:tr>
      <w:tr>
        <w:trPr>
          <w:trHeight w:val="182"/>
        </w:trPr>
        <w:tc>
          <w:tcPr>
            <w:tcW w:w="220" w:type="dxa"/>
            <w:vAlign w:val="bottom"/>
          </w:tcPr>
          <w:p>
            <w:pPr>
              <w:spacing w:after="0"/>
              <w:rPr>
                <w:sz w:val="15"/>
                <w:szCs w:val="15"/>
                <w:color w:val="auto"/>
              </w:rPr>
            </w:pPr>
          </w:p>
        </w:tc>
        <w:tc>
          <w:tcPr>
            <w:tcW w:w="2660" w:type="dxa"/>
            <w:vAlign w:val="bottom"/>
          </w:tcPr>
          <w:p>
            <w:pPr>
              <w:ind w:left="140"/>
              <w:spacing w:after="0"/>
              <w:rPr>
                <w:sz w:val="20"/>
                <w:szCs w:val="20"/>
                <w:color w:val="auto"/>
              </w:rPr>
            </w:pPr>
            <w:r>
              <w:rPr>
                <w:rFonts w:ascii="Arial" w:cs="Arial" w:eastAsia="Arial" w:hAnsi="Arial"/>
                <w:sz w:val="14"/>
                <w:szCs w:val="14"/>
                <w:color w:val="auto"/>
              </w:rPr>
              <w:t>owned by an individual</w:t>
            </w:r>
          </w:p>
        </w:tc>
        <w:tc>
          <w:tcPr>
            <w:tcW w:w="2400" w:type="dxa"/>
            <w:vAlign w:val="bottom"/>
          </w:tcPr>
          <w:p>
            <w:pPr>
              <w:spacing w:after="0"/>
              <w:rPr>
                <w:sz w:val="15"/>
                <w:szCs w:val="15"/>
                <w:color w:val="auto"/>
              </w:rPr>
            </w:pPr>
          </w:p>
        </w:tc>
      </w:tr>
      <w:tr>
        <w:trPr>
          <w:trHeight w:val="223"/>
        </w:trPr>
        <w:tc>
          <w:tcPr>
            <w:tcW w:w="220" w:type="dxa"/>
            <w:vAlign w:val="bottom"/>
          </w:tcPr>
          <w:p>
            <w:pPr>
              <w:spacing w:after="0"/>
              <w:rPr>
                <w:sz w:val="20"/>
                <w:szCs w:val="20"/>
                <w:color w:val="auto"/>
              </w:rPr>
            </w:pPr>
            <w:r>
              <w:rPr>
                <w:rFonts w:ascii="Arial" w:cs="Arial" w:eastAsia="Arial" w:hAnsi="Arial"/>
                <w:sz w:val="14"/>
                <w:szCs w:val="14"/>
                <w:color w:val="auto"/>
              </w:rPr>
              <w:t>6.</w:t>
            </w:r>
          </w:p>
        </w:tc>
        <w:tc>
          <w:tcPr>
            <w:tcW w:w="2660" w:type="dxa"/>
            <w:vAlign w:val="bottom"/>
          </w:tcPr>
          <w:p>
            <w:pPr>
              <w:ind w:left="140"/>
              <w:spacing w:after="0"/>
              <w:rPr>
                <w:sz w:val="20"/>
                <w:szCs w:val="20"/>
                <w:color w:val="auto"/>
              </w:rPr>
            </w:pPr>
            <w:r>
              <w:rPr>
                <w:rFonts w:ascii="Arial" w:cs="Arial" w:eastAsia="Arial" w:hAnsi="Arial"/>
                <w:sz w:val="14"/>
                <w:szCs w:val="14"/>
                <w:color w:val="auto"/>
              </w:rPr>
              <w:t>Grantor trust filing under Optional Form</w:t>
            </w:r>
          </w:p>
        </w:tc>
        <w:tc>
          <w:tcPr>
            <w:tcW w:w="2400" w:type="dxa"/>
            <w:vAlign w:val="bottom"/>
          </w:tcPr>
          <w:p>
            <w:pPr>
              <w:ind w:left="180"/>
              <w:spacing w:after="0"/>
              <w:rPr>
                <w:sz w:val="20"/>
                <w:szCs w:val="20"/>
                <w:color w:val="auto"/>
              </w:rPr>
            </w:pPr>
            <w:r>
              <w:rPr>
                <w:rFonts w:ascii="Arial" w:cs="Arial" w:eastAsia="Arial" w:hAnsi="Arial"/>
                <w:sz w:val="14"/>
                <w:szCs w:val="14"/>
                <w:color w:val="auto"/>
              </w:rPr>
              <w:t>The grantor *</w:t>
            </w:r>
          </w:p>
        </w:tc>
      </w:tr>
      <w:tr>
        <w:trPr>
          <w:trHeight w:val="149"/>
        </w:trPr>
        <w:tc>
          <w:tcPr>
            <w:tcW w:w="220" w:type="dxa"/>
            <w:vAlign w:val="bottom"/>
          </w:tcPr>
          <w:p>
            <w:pPr>
              <w:spacing w:after="0"/>
              <w:rPr>
                <w:sz w:val="12"/>
                <w:szCs w:val="12"/>
                <w:color w:val="auto"/>
              </w:rPr>
            </w:pPr>
          </w:p>
        </w:tc>
        <w:tc>
          <w:tcPr>
            <w:tcW w:w="2660" w:type="dxa"/>
            <w:vAlign w:val="bottom"/>
          </w:tcPr>
          <w:p>
            <w:pPr>
              <w:ind w:left="140"/>
              <w:spacing w:after="0" w:line="149" w:lineRule="exact"/>
              <w:rPr>
                <w:sz w:val="20"/>
                <w:szCs w:val="20"/>
                <w:color w:val="auto"/>
              </w:rPr>
            </w:pPr>
            <w:r>
              <w:rPr>
                <w:rFonts w:ascii="Arial" w:cs="Arial" w:eastAsia="Arial" w:hAnsi="Arial"/>
                <w:sz w:val="14"/>
                <w:szCs w:val="14"/>
                <w:color w:val="auto"/>
              </w:rPr>
              <w:t>1099 Filing Method 1 (see Regulations</w:t>
            </w:r>
          </w:p>
        </w:tc>
        <w:tc>
          <w:tcPr>
            <w:tcW w:w="2400" w:type="dxa"/>
            <w:vAlign w:val="bottom"/>
          </w:tcPr>
          <w:p>
            <w:pPr>
              <w:spacing w:after="0"/>
              <w:rPr>
                <w:sz w:val="12"/>
                <w:szCs w:val="12"/>
                <w:color w:val="auto"/>
              </w:rPr>
            </w:pPr>
          </w:p>
        </w:tc>
      </w:tr>
      <w:tr>
        <w:trPr>
          <w:trHeight w:val="182"/>
        </w:trPr>
        <w:tc>
          <w:tcPr>
            <w:tcW w:w="220" w:type="dxa"/>
            <w:vAlign w:val="bottom"/>
          </w:tcPr>
          <w:p>
            <w:pPr>
              <w:spacing w:after="0"/>
              <w:rPr>
                <w:sz w:val="15"/>
                <w:szCs w:val="15"/>
                <w:color w:val="auto"/>
              </w:rPr>
            </w:pPr>
          </w:p>
        </w:tc>
        <w:tc>
          <w:tcPr>
            <w:tcW w:w="2660" w:type="dxa"/>
            <w:vAlign w:val="bottom"/>
          </w:tcPr>
          <w:p>
            <w:pPr>
              <w:ind w:left="140"/>
              <w:spacing w:after="0"/>
              <w:rPr>
                <w:sz w:val="20"/>
                <w:szCs w:val="20"/>
                <w:color w:val="auto"/>
              </w:rPr>
            </w:pPr>
            <w:r>
              <w:rPr>
                <w:rFonts w:ascii="Arial" w:cs="Arial" w:eastAsia="Arial" w:hAnsi="Arial"/>
                <w:sz w:val="14"/>
                <w:szCs w:val="14"/>
                <w:color w:val="auto"/>
              </w:rPr>
              <w:t>Section 1.671-4(b)(2)(i)(A))</w:t>
            </w:r>
          </w:p>
        </w:tc>
        <w:tc>
          <w:tcPr>
            <w:tcW w:w="24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633730</wp:posOffset>
            </wp:positionV>
            <wp:extent cx="33534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260" w:type="dxa"/>
            <w:vAlign w:val="bottom"/>
            <w:tcBorders>
              <w:top w:val="single" w:sz="8" w:color="auto"/>
            </w:tcBorders>
          </w:tcPr>
          <w:p>
            <w:pPr>
              <w:spacing w:after="0"/>
              <w:rPr>
                <w:sz w:val="17"/>
                <w:szCs w:val="17"/>
                <w:color w:val="auto"/>
              </w:rPr>
            </w:pPr>
          </w:p>
        </w:tc>
        <w:tc>
          <w:tcPr>
            <w:tcW w:w="2680" w:type="dxa"/>
            <w:vAlign w:val="bottom"/>
            <w:tcBorders>
              <w:top w:val="single" w:sz="8" w:color="auto"/>
            </w:tcBorders>
          </w:tcPr>
          <w:p>
            <w:pPr>
              <w:spacing w:after="0"/>
              <w:rPr>
                <w:sz w:val="17"/>
                <w:szCs w:val="17"/>
                <w:color w:val="auto"/>
              </w:rPr>
            </w:pPr>
          </w:p>
        </w:tc>
        <w:tc>
          <w:tcPr>
            <w:tcW w:w="2460" w:type="dxa"/>
            <w:vAlign w:val="bottom"/>
            <w:tcBorders>
              <w:top w:val="single" w:sz="8" w:color="auto"/>
            </w:tcBorders>
          </w:tcPr>
          <w:p>
            <w:pPr>
              <w:ind w:left="140"/>
              <w:spacing w:after="0"/>
              <w:rPr>
                <w:sz w:val="20"/>
                <w:szCs w:val="20"/>
                <w:color w:val="auto"/>
              </w:rPr>
            </w:pPr>
            <w:r>
              <w:rPr>
                <w:rFonts w:ascii="Arial" w:cs="Arial" w:eastAsia="Arial" w:hAnsi="Arial"/>
                <w:sz w:val="16"/>
                <w:szCs w:val="16"/>
                <w:b w:val="1"/>
                <w:bCs w:val="1"/>
                <w:color w:val="auto"/>
              </w:rPr>
              <w:t>Give the NAME AND</w:t>
            </w:r>
          </w:p>
        </w:tc>
      </w:tr>
      <w:tr>
        <w:trPr>
          <w:trHeight w:val="203"/>
        </w:trPr>
        <w:tc>
          <w:tcPr>
            <w:tcW w:w="2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460" w:type="dxa"/>
            <w:vAlign w:val="bottom"/>
          </w:tcPr>
          <w:p>
            <w:pPr>
              <w:ind w:left="140"/>
              <w:spacing w:after="0"/>
              <w:rPr>
                <w:sz w:val="20"/>
                <w:szCs w:val="20"/>
                <w:color w:val="auto"/>
              </w:rPr>
            </w:pPr>
            <w:r>
              <w:rPr>
                <w:rFonts w:ascii="Arial" w:cs="Arial" w:eastAsia="Arial" w:hAnsi="Arial"/>
                <w:sz w:val="16"/>
                <w:szCs w:val="16"/>
                <w:b w:val="1"/>
                <w:bCs w:val="1"/>
                <w:color w:val="auto"/>
              </w:rPr>
              <w:t>EMPLOYER</w:t>
            </w:r>
          </w:p>
        </w:tc>
      </w:tr>
      <w:tr>
        <w:trPr>
          <w:trHeight w:val="203"/>
        </w:trPr>
        <w:tc>
          <w:tcPr>
            <w:tcW w:w="2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460" w:type="dxa"/>
            <w:vAlign w:val="bottom"/>
          </w:tcPr>
          <w:p>
            <w:pPr>
              <w:ind w:left="140"/>
              <w:spacing w:after="0"/>
              <w:rPr>
                <w:sz w:val="20"/>
                <w:szCs w:val="20"/>
                <w:color w:val="auto"/>
              </w:rPr>
            </w:pPr>
            <w:r>
              <w:rPr>
                <w:rFonts w:ascii="Arial" w:cs="Arial" w:eastAsia="Arial" w:hAnsi="Arial"/>
                <w:sz w:val="16"/>
                <w:szCs w:val="16"/>
                <w:b w:val="1"/>
                <w:bCs w:val="1"/>
                <w:color w:val="auto"/>
              </w:rPr>
              <w:t>IDENTIFICATION</w:t>
            </w:r>
          </w:p>
        </w:tc>
      </w:tr>
      <w:tr>
        <w:trPr>
          <w:trHeight w:val="227"/>
        </w:trPr>
        <w:tc>
          <w:tcPr>
            <w:tcW w:w="29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For this type of account:</w:t>
            </w:r>
          </w:p>
        </w:tc>
        <w:tc>
          <w:tcPr>
            <w:tcW w:w="24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NUMBER OF:</w:t>
            </w:r>
          </w:p>
        </w:tc>
      </w:tr>
      <w:tr>
        <w:trPr>
          <w:trHeight w:val="126"/>
        </w:trPr>
        <w:tc>
          <w:tcPr>
            <w:tcW w:w="260" w:type="dxa"/>
            <w:vAlign w:val="bottom"/>
          </w:tcPr>
          <w:p>
            <w:pPr>
              <w:spacing w:after="0" w:line="127" w:lineRule="exact"/>
              <w:rPr>
                <w:sz w:val="20"/>
                <w:szCs w:val="20"/>
                <w:color w:val="auto"/>
              </w:rPr>
            </w:pPr>
            <w:r>
              <w:rPr>
                <w:rFonts w:ascii="Arial" w:cs="Arial" w:eastAsia="Arial" w:hAnsi="Arial"/>
                <w:sz w:val="14"/>
                <w:szCs w:val="14"/>
                <w:color w:val="auto"/>
              </w:rPr>
              <w:t>7.</w:t>
            </w:r>
          </w:p>
        </w:tc>
        <w:tc>
          <w:tcPr>
            <w:tcW w:w="2680" w:type="dxa"/>
            <w:vAlign w:val="bottom"/>
          </w:tcPr>
          <w:p>
            <w:pPr>
              <w:ind w:left="80"/>
              <w:spacing w:after="0" w:line="127" w:lineRule="exact"/>
              <w:rPr>
                <w:sz w:val="20"/>
                <w:szCs w:val="20"/>
                <w:color w:val="auto"/>
              </w:rPr>
            </w:pPr>
            <w:r>
              <w:rPr>
                <w:rFonts w:ascii="Arial" w:cs="Arial" w:eastAsia="Arial" w:hAnsi="Arial"/>
                <w:sz w:val="14"/>
                <w:szCs w:val="14"/>
                <w:color w:val="auto"/>
              </w:rPr>
              <w:t>Disregarded entity not owned by an</w:t>
            </w:r>
          </w:p>
        </w:tc>
        <w:tc>
          <w:tcPr>
            <w:tcW w:w="2460" w:type="dxa"/>
            <w:vAlign w:val="bottom"/>
          </w:tcPr>
          <w:p>
            <w:pPr>
              <w:ind w:left="140"/>
              <w:spacing w:after="0" w:line="127" w:lineRule="exact"/>
              <w:rPr>
                <w:sz w:val="20"/>
                <w:szCs w:val="20"/>
                <w:color w:val="auto"/>
              </w:rPr>
            </w:pPr>
            <w:r>
              <w:rPr>
                <w:rFonts w:ascii="Arial" w:cs="Arial" w:eastAsia="Arial" w:hAnsi="Arial"/>
                <w:sz w:val="14"/>
                <w:szCs w:val="14"/>
                <w:color w:val="auto"/>
              </w:rPr>
              <w:t>The owner</w:t>
            </w:r>
          </w:p>
        </w:tc>
      </w:tr>
      <w:tr>
        <w:trPr>
          <w:trHeight w:val="182"/>
        </w:trPr>
        <w:tc>
          <w:tcPr>
            <w:tcW w:w="260" w:type="dxa"/>
            <w:vAlign w:val="bottom"/>
          </w:tcPr>
          <w:p>
            <w:pPr>
              <w:spacing w:after="0"/>
              <w:rPr>
                <w:sz w:val="15"/>
                <w:szCs w:val="15"/>
                <w:color w:val="auto"/>
              </w:rPr>
            </w:pPr>
          </w:p>
        </w:tc>
        <w:tc>
          <w:tcPr>
            <w:tcW w:w="2680" w:type="dxa"/>
            <w:vAlign w:val="bottom"/>
          </w:tcPr>
          <w:p>
            <w:pPr>
              <w:ind w:left="80"/>
              <w:spacing w:after="0"/>
              <w:rPr>
                <w:sz w:val="20"/>
                <w:szCs w:val="20"/>
                <w:color w:val="auto"/>
              </w:rPr>
            </w:pPr>
            <w:r>
              <w:rPr>
                <w:rFonts w:ascii="Arial" w:cs="Arial" w:eastAsia="Arial" w:hAnsi="Arial"/>
                <w:sz w:val="14"/>
                <w:szCs w:val="14"/>
                <w:color w:val="auto"/>
              </w:rPr>
              <w:t>individual</w:t>
            </w:r>
          </w:p>
        </w:tc>
        <w:tc>
          <w:tcPr>
            <w:tcW w:w="2460" w:type="dxa"/>
            <w:vAlign w:val="bottom"/>
          </w:tcPr>
          <w:p>
            <w:pPr>
              <w:spacing w:after="0"/>
              <w:rPr>
                <w:sz w:val="15"/>
                <w:szCs w:val="15"/>
                <w:color w:val="auto"/>
              </w:rPr>
            </w:pPr>
          </w:p>
        </w:tc>
      </w:tr>
      <w:tr>
        <w:trPr>
          <w:trHeight w:val="257"/>
        </w:trPr>
        <w:tc>
          <w:tcPr>
            <w:tcW w:w="260" w:type="dxa"/>
            <w:vAlign w:val="bottom"/>
          </w:tcPr>
          <w:p>
            <w:pPr>
              <w:spacing w:after="0"/>
              <w:rPr>
                <w:sz w:val="20"/>
                <w:szCs w:val="20"/>
                <w:color w:val="auto"/>
              </w:rPr>
            </w:pPr>
            <w:r>
              <w:rPr>
                <w:rFonts w:ascii="Arial" w:cs="Arial" w:eastAsia="Arial" w:hAnsi="Arial"/>
                <w:sz w:val="14"/>
                <w:szCs w:val="14"/>
                <w:color w:val="auto"/>
              </w:rPr>
              <w:t>8.</w:t>
            </w:r>
          </w:p>
        </w:tc>
        <w:tc>
          <w:tcPr>
            <w:tcW w:w="2680" w:type="dxa"/>
            <w:vAlign w:val="bottom"/>
          </w:tcPr>
          <w:p>
            <w:pPr>
              <w:ind w:left="80"/>
              <w:spacing w:after="0"/>
              <w:rPr>
                <w:sz w:val="20"/>
                <w:szCs w:val="20"/>
                <w:color w:val="auto"/>
              </w:rPr>
            </w:pPr>
            <w:r>
              <w:rPr>
                <w:rFonts w:ascii="Arial" w:cs="Arial" w:eastAsia="Arial" w:hAnsi="Arial"/>
                <w:sz w:val="14"/>
                <w:szCs w:val="14"/>
                <w:color w:val="auto"/>
              </w:rPr>
              <w:t>A valid Trust, estate or pension trust</w:t>
            </w:r>
          </w:p>
        </w:tc>
        <w:tc>
          <w:tcPr>
            <w:tcW w:w="2460" w:type="dxa"/>
            <w:vAlign w:val="bottom"/>
          </w:tcPr>
          <w:p>
            <w:pPr>
              <w:ind w:left="140"/>
              <w:spacing w:after="0"/>
              <w:rPr>
                <w:sz w:val="20"/>
                <w:szCs w:val="20"/>
                <w:color w:val="auto"/>
              </w:rPr>
            </w:pPr>
            <w:r>
              <w:rPr>
                <w:rFonts w:ascii="Arial" w:cs="Arial" w:eastAsia="Arial" w:hAnsi="Arial"/>
                <w:sz w:val="14"/>
                <w:szCs w:val="14"/>
                <w:color w:val="auto"/>
              </w:rPr>
              <w:t>Legal entity (4)</w:t>
            </w:r>
          </w:p>
        </w:tc>
      </w:tr>
      <w:tr>
        <w:trPr>
          <w:trHeight w:val="223"/>
        </w:trPr>
        <w:tc>
          <w:tcPr>
            <w:tcW w:w="260" w:type="dxa"/>
            <w:vAlign w:val="bottom"/>
          </w:tcPr>
          <w:p>
            <w:pPr>
              <w:spacing w:after="0"/>
              <w:rPr>
                <w:sz w:val="20"/>
                <w:szCs w:val="20"/>
                <w:color w:val="auto"/>
              </w:rPr>
            </w:pPr>
            <w:r>
              <w:rPr>
                <w:rFonts w:ascii="Arial" w:cs="Arial" w:eastAsia="Arial" w:hAnsi="Arial"/>
                <w:sz w:val="14"/>
                <w:szCs w:val="14"/>
                <w:color w:val="auto"/>
              </w:rPr>
              <w:t>9.</w:t>
            </w:r>
          </w:p>
        </w:tc>
        <w:tc>
          <w:tcPr>
            <w:tcW w:w="2680" w:type="dxa"/>
            <w:vAlign w:val="bottom"/>
          </w:tcPr>
          <w:p>
            <w:pPr>
              <w:ind w:left="80"/>
              <w:spacing w:after="0"/>
              <w:rPr>
                <w:sz w:val="20"/>
                <w:szCs w:val="20"/>
                <w:color w:val="auto"/>
              </w:rPr>
            </w:pPr>
            <w:r>
              <w:rPr>
                <w:rFonts w:ascii="Arial" w:cs="Arial" w:eastAsia="Arial" w:hAnsi="Arial"/>
                <w:sz w:val="14"/>
                <w:szCs w:val="14"/>
                <w:color w:val="auto"/>
                <w:w w:val="97"/>
              </w:rPr>
              <w:t>Corporate or LLC electing corporate status</w:t>
            </w:r>
          </w:p>
        </w:tc>
        <w:tc>
          <w:tcPr>
            <w:tcW w:w="2460" w:type="dxa"/>
            <w:vAlign w:val="bottom"/>
          </w:tcPr>
          <w:p>
            <w:pPr>
              <w:ind w:left="140"/>
              <w:spacing w:after="0"/>
              <w:rPr>
                <w:sz w:val="20"/>
                <w:szCs w:val="20"/>
                <w:color w:val="auto"/>
              </w:rPr>
            </w:pPr>
            <w:r>
              <w:rPr>
                <w:rFonts w:ascii="Arial" w:cs="Arial" w:eastAsia="Arial" w:hAnsi="Arial"/>
                <w:sz w:val="14"/>
                <w:szCs w:val="14"/>
                <w:color w:val="auto"/>
              </w:rPr>
              <w:t>The corporation</w:t>
            </w:r>
          </w:p>
        </w:tc>
      </w:tr>
      <w:tr>
        <w:trPr>
          <w:trHeight w:val="182"/>
        </w:trPr>
        <w:tc>
          <w:tcPr>
            <w:tcW w:w="260" w:type="dxa"/>
            <w:vAlign w:val="bottom"/>
          </w:tcPr>
          <w:p>
            <w:pPr>
              <w:spacing w:after="0"/>
              <w:rPr>
                <w:sz w:val="15"/>
                <w:szCs w:val="15"/>
                <w:color w:val="auto"/>
              </w:rPr>
            </w:pPr>
          </w:p>
        </w:tc>
        <w:tc>
          <w:tcPr>
            <w:tcW w:w="2680" w:type="dxa"/>
            <w:vAlign w:val="bottom"/>
          </w:tcPr>
          <w:p>
            <w:pPr>
              <w:ind w:left="80"/>
              <w:spacing w:after="0"/>
              <w:rPr>
                <w:sz w:val="20"/>
                <w:szCs w:val="20"/>
                <w:color w:val="auto"/>
              </w:rPr>
            </w:pPr>
            <w:r>
              <w:rPr>
                <w:rFonts w:ascii="Arial" w:cs="Arial" w:eastAsia="Arial" w:hAnsi="Arial"/>
                <w:sz w:val="14"/>
                <w:szCs w:val="14"/>
                <w:color w:val="auto"/>
              </w:rPr>
              <w:t>on Form 8832 or Form 2553</w:t>
            </w:r>
          </w:p>
        </w:tc>
        <w:tc>
          <w:tcPr>
            <w:tcW w:w="2460" w:type="dxa"/>
            <w:vAlign w:val="bottom"/>
          </w:tcPr>
          <w:p>
            <w:pPr>
              <w:spacing w:after="0"/>
              <w:rPr>
                <w:sz w:val="15"/>
                <w:szCs w:val="15"/>
                <w:color w:val="auto"/>
              </w:rPr>
            </w:pPr>
          </w:p>
        </w:tc>
      </w:tr>
      <w:tr>
        <w:trPr>
          <w:trHeight w:val="223"/>
        </w:trPr>
        <w:tc>
          <w:tcPr>
            <w:tcW w:w="260" w:type="dxa"/>
            <w:vAlign w:val="bottom"/>
          </w:tcPr>
          <w:p>
            <w:pPr>
              <w:spacing w:after="0"/>
              <w:rPr>
                <w:sz w:val="20"/>
                <w:szCs w:val="20"/>
                <w:color w:val="auto"/>
              </w:rPr>
            </w:pPr>
            <w:r>
              <w:rPr>
                <w:rFonts w:ascii="Arial" w:cs="Arial" w:eastAsia="Arial" w:hAnsi="Arial"/>
                <w:sz w:val="14"/>
                <w:szCs w:val="14"/>
                <w:color w:val="auto"/>
              </w:rPr>
              <w:t>10.</w:t>
            </w:r>
          </w:p>
        </w:tc>
        <w:tc>
          <w:tcPr>
            <w:tcW w:w="2680" w:type="dxa"/>
            <w:vAlign w:val="bottom"/>
          </w:tcPr>
          <w:p>
            <w:pPr>
              <w:ind w:left="80"/>
              <w:spacing w:after="0"/>
              <w:rPr>
                <w:sz w:val="20"/>
                <w:szCs w:val="20"/>
                <w:color w:val="auto"/>
              </w:rPr>
            </w:pPr>
            <w:r>
              <w:rPr>
                <w:rFonts w:ascii="Arial" w:cs="Arial" w:eastAsia="Arial" w:hAnsi="Arial"/>
                <w:sz w:val="14"/>
                <w:szCs w:val="14"/>
                <w:color w:val="auto"/>
              </w:rPr>
              <w:t>Association, club, religious, charitable,</w:t>
            </w:r>
          </w:p>
        </w:tc>
        <w:tc>
          <w:tcPr>
            <w:tcW w:w="2460" w:type="dxa"/>
            <w:vAlign w:val="bottom"/>
          </w:tcPr>
          <w:p>
            <w:pPr>
              <w:ind w:left="140"/>
              <w:spacing w:after="0"/>
              <w:rPr>
                <w:sz w:val="20"/>
                <w:szCs w:val="20"/>
                <w:color w:val="auto"/>
              </w:rPr>
            </w:pPr>
            <w:r>
              <w:rPr>
                <w:rFonts w:ascii="Arial" w:cs="Arial" w:eastAsia="Arial" w:hAnsi="Arial"/>
                <w:sz w:val="14"/>
                <w:szCs w:val="14"/>
                <w:color w:val="auto"/>
              </w:rPr>
              <w:t>The organization</w:t>
            </w:r>
          </w:p>
        </w:tc>
      </w:tr>
      <w:tr>
        <w:trPr>
          <w:trHeight w:val="149"/>
        </w:trPr>
        <w:tc>
          <w:tcPr>
            <w:tcW w:w="260" w:type="dxa"/>
            <w:vAlign w:val="bottom"/>
          </w:tcPr>
          <w:p>
            <w:pPr>
              <w:spacing w:after="0"/>
              <w:rPr>
                <w:sz w:val="12"/>
                <w:szCs w:val="12"/>
                <w:color w:val="auto"/>
              </w:rPr>
            </w:pPr>
          </w:p>
        </w:tc>
        <w:tc>
          <w:tcPr>
            <w:tcW w:w="2680" w:type="dxa"/>
            <w:vAlign w:val="bottom"/>
          </w:tcPr>
          <w:p>
            <w:pPr>
              <w:ind w:left="80"/>
              <w:spacing w:after="0" w:line="149" w:lineRule="exact"/>
              <w:rPr>
                <w:sz w:val="20"/>
                <w:szCs w:val="20"/>
                <w:color w:val="auto"/>
              </w:rPr>
            </w:pPr>
            <w:r>
              <w:rPr>
                <w:rFonts w:ascii="Arial" w:cs="Arial" w:eastAsia="Arial" w:hAnsi="Arial"/>
                <w:sz w:val="14"/>
                <w:szCs w:val="14"/>
                <w:color w:val="auto"/>
              </w:rPr>
              <w:t>education, or</w:t>
            </w:r>
          </w:p>
        </w:tc>
        <w:tc>
          <w:tcPr>
            <w:tcW w:w="2460" w:type="dxa"/>
            <w:vAlign w:val="bottom"/>
          </w:tcPr>
          <w:p>
            <w:pPr>
              <w:spacing w:after="0"/>
              <w:rPr>
                <w:sz w:val="12"/>
                <w:szCs w:val="12"/>
                <w:color w:val="auto"/>
              </w:rPr>
            </w:pPr>
          </w:p>
        </w:tc>
      </w:tr>
      <w:tr>
        <w:trPr>
          <w:trHeight w:val="182"/>
        </w:trPr>
        <w:tc>
          <w:tcPr>
            <w:tcW w:w="260" w:type="dxa"/>
            <w:vAlign w:val="bottom"/>
          </w:tcPr>
          <w:p>
            <w:pPr>
              <w:spacing w:after="0"/>
              <w:rPr>
                <w:sz w:val="15"/>
                <w:szCs w:val="15"/>
                <w:color w:val="auto"/>
              </w:rPr>
            </w:pPr>
          </w:p>
        </w:tc>
        <w:tc>
          <w:tcPr>
            <w:tcW w:w="2680" w:type="dxa"/>
            <w:vAlign w:val="bottom"/>
          </w:tcPr>
          <w:p>
            <w:pPr>
              <w:ind w:left="80"/>
              <w:spacing w:after="0"/>
              <w:rPr>
                <w:sz w:val="20"/>
                <w:szCs w:val="20"/>
                <w:color w:val="auto"/>
              </w:rPr>
            </w:pPr>
            <w:r>
              <w:rPr>
                <w:rFonts w:ascii="Arial" w:cs="Arial" w:eastAsia="Arial" w:hAnsi="Arial"/>
                <w:sz w:val="14"/>
                <w:szCs w:val="14"/>
                <w:color w:val="auto"/>
              </w:rPr>
              <w:t>other tax-exempt organization</w:t>
            </w:r>
          </w:p>
        </w:tc>
        <w:tc>
          <w:tcPr>
            <w:tcW w:w="2460" w:type="dxa"/>
            <w:vAlign w:val="bottom"/>
          </w:tcPr>
          <w:p>
            <w:pPr>
              <w:spacing w:after="0"/>
              <w:rPr>
                <w:sz w:val="15"/>
                <w:szCs w:val="15"/>
                <w:color w:val="auto"/>
              </w:rPr>
            </w:pPr>
          </w:p>
        </w:tc>
      </w:tr>
      <w:tr>
        <w:trPr>
          <w:trHeight w:val="257"/>
        </w:trPr>
        <w:tc>
          <w:tcPr>
            <w:tcW w:w="260" w:type="dxa"/>
            <w:vAlign w:val="bottom"/>
          </w:tcPr>
          <w:p>
            <w:pPr>
              <w:spacing w:after="0"/>
              <w:rPr>
                <w:sz w:val="20"/>
                <w:szCs w:val="20"/>
                <w:color w:val="auto"/>
              </w:rPr>
            </w:pPr>
            <w:r>
              <w:rPr>
                <w:rFonts w:ascii="Arial" w:cs="Arial" w:eastAsia="Arial" w:hAnsi="Arial"/>
                <w:sz w:val="14"/>
                <w:szCs w:val="14"/>
                <w:color w:val="auto"/>
              </w:rPr>
              <w:t>11.</w:t>
            </w:r>
          </w:p>
        </w:tc>
        <w:tc>
          <w:tcPr>
            <w:tcW w:w="2680" w:type="dxa"/>
            <w:vAlign w:val="bottom"/>
          </w:tcPr>
          <w:p>
            <w:pPr>
              <w:ind w:left="80"/>
              <w:spacing w:after="0"/>
              <w:rPr>
                <w:sz w:val="20"/>
                <w:szCs w:val="20"/>
                <w:color w:val="auto"/>
              </w:rPr>
            </w:pPr>
            <w:r>
              <w:rPr>
                <w:rFonts w:ascii="Arial" w:cs="Arial" w:eastAsia="Arial" w:hAnsi="Arial"/>
                <w:sz w:val="14"/>
                <w:szCs w:val="14"/>
                <w:color w:val="auto"/>
              </w:rPr>
              <w:t>Partnership or multi-member LLC</w:t>
            </w:r>
          </w:p>
        </w:tc>
        <w:tc>
          <w:tcPr>
            <w:tcW w:w="2460" w:type="dxa"/>
            <w:vAlign w:val="bottom"/>
          </w:tcPr>
          <w:p>
            <w:pPr>
              <w:ind w:left="140"/>
              <w:spacing w:after="0"/>
              <w:rPr>
                <w:sz w:val="20"/>
                <w:szCs w:val="20"/>
                <w:color w:val="auto"/>
              </w:rPr>
            </w:pPr>
            <w:r>
              <w:rPr>
                <w:rFonts w:ascii="Arial" w:cs="Arial" w:eastAsia="Arial" w:hAnsi="Arial"/>
                <w:sz w:val="14"/>
                <w:szCs w:val="14"/>
                <w:color w:val="auto"/>
              </w:rPr>
              <w:t>The partnership</w:t>
            </w:r>
          </w:p>
        </w:tc>
      </w:tr>
      <w:tr>
        <w:trPr>
          <w:trHeight w:val="257"/>
        </w:trPr>
        <w:tc>
          <w:tcPr>
            <w:tcW w:w="260" w:type="dxa"/>
            <w:vAlign w:val="bottom"/>
          </w:tcPr>
          <w:p>
            <w:pPr>
              <w:spacing w:after="0"/>
              <w:rPr>
                <w:sz w:val="20"/>
                <w:szCs w:val="20"/>
                <w:color w:val="auto"/>
              </w:rPr>
            </w:pPr>
            <w:r>
              <w:rPr>
                <w:rFonts w:ascii="Arial" w:cs="Arial" w:eastAsia="Arial" w:hAnsi="Arial"/>
                <w:sz w:val="14"/>
                <w:szCs w:val="14"/>
                <w:color w:val="auto"/>
              </w:rPr>
              <w:t>12.</w:t>
            </w:r>
          </w:p>
        </w:tc>
        <w:tc>
          <w:tcPr>
            <w:tcW w:w="2680" w:type="dxa"/>
            <w:vAlign w:val="bottom"/>
          </w:tcPr>
          <w:p>
            <w:pPr>
              <w:ind w:left="80"/>
              <w:spacing w:after="0"/>
              <w:rPr>
                <w:sz w:val="20"/>
                <w:szCs w:val="20"/>
                <w:color w:val="auto"/>
              </w:rPr>
            </w:pPr>
            <w:r>
              <w:rPr>
                <w:rFonts w:ascii="Arial" w:cs="Arial" w:eastAsia="Arial" w:hAnsi="Arial"/>
                <w:sz w:val="14"/>
                <w:szCs w:val="14"/>
                <w:color w:val="auto"/>
              </w:rPr>
              <w:t>A broker or registered nominee</w:t>
            </w:r>
          </w:p>
        </w:tc>
        <w:tc>
          <w:tcPr>
            <w:tcW w:w="2460" w:type="dxa"/>
            <w:vAlign w:val="bottom"/>
          </w:tcPr>
          <w:p>
            <w:pPr>
              <w:ind w:left="140"/>
              <w:spacing w:after="0"/>
              <w:rPr>
                <w:sz w:val="20"/>
                <w:szCs w:val="20"/>
                <w:color w:val="auto"/>
              </w:rPr>
            </w:pPr>
            <w:r>
              <w:rPr>
                <w:rFonts w:ascii="Arial" w:cs="Arial" w:eastAsia="Arial" w:hAnsi="Arial"/>
                <w:sz w:val="14"/>
                <w:szCs w:val="14"/>
                <w:color w:val="auto"/>
              </w:rPr>
              <w:t>The broker or nominee</w:t>
            </w:r>
          </w:p>
        </w:tc>
      </w:tr>
      <w:tr>
        <w:trPr>
          <w:trHeight w:val="223"/>
        </w:trPr>
        <w:tc>
          <w:tcPr>
            <w:tcW w:w="260" w:type="dxa"/>
            <w:vAlign w:val="bottom"/>
          </w:tcPr>
          <w:p>
            <w:pPr>
              <w:spacing w:after="0"/>
              <w:rPr>
                <w:sz w:val="20"/>
                <w:szCs w:val="20"/>
                <w:color w:val="auto"/>
              </w:rPr>
            </w:pPr>
            <w:r>
              <w:rPr>
                <w:rFonts w:ascii="Arial" w:cs="Arial" w:eastAsia="Arial" w:hAnsi="Arial"/>
                <w:sz w:val="14"/>
                <w:szCs w:val="14"/>
                <w:color w:val="auto"/>
              </w:rPr>
              <w:t>13.</w:t>
            </w:r>
          </w:p>
        </w:tc>
        <w:tc>
          <w:tcPr>
            <w:tcW w:w="2680" w:type="dxa"/>
            <w:vAlign w:val="bottom"/>
          </w:tcPr>
          <w:p>
            <w:pPr>
              <w:ind w:left="80"/>
              <w:spacing w:after="0"/>
              <w:rPr>
                <w:sz w:val="20"/>
                <w:szCs w:val="20"/>
                <w:color w:val="auto"/>
              </w:rPr>
            </w:pPr>
            <w:r>
              <w:rPr>
                <w:rFonts w:ascii="Arial" w:cs="Arial" w:eastAsia="Arial" w:hAnsi="Arial"/>
                <w:sz w:val="14"/>
                <w:szCs w:val="14"/>
                <w:color w:val="auto"/>
              </w:rPr>
              <w:t>Account with the Department</w:t>
            </w:r>
          </w:p>
        </w:tc>
        <w:tc>
          <w:tcPr>
            <w:tcW w:w="2460" w:type="dxa"/>
            <w:vAlign w:val="bottom"/>
          </w:tcPr>
          <w:p>
            <w:pPr>
              <w:ind w:left="140"/>
              <w:spacing w:after="0"/>
              <w:rPr>
                <w:sz w:val="20"/>
                <w:szCs w:val="20"/>
                <w:color w:val="auto"/>
              </w:rPr>
            </w:pPr>
            <w:r>
              <w:rPr>
                <w:rFonts w:ascii="Arial" w:cs="Arial" w:eastAsia="Arial" w:hAnsi="Arial"/>
                <w:sz w:val="14"/>
                <w:szCs w:val="14"/>
                <w:color w:val="auto"/>
              </w:rPr>
              <w:t>The public entity</w:t>
            </w:r>
          </w:p>
        </w:tc>
      </w:tr>
      <w:tr>
        <w:trPr>
          <w:trHeight w:val="149"/>
        </w:trPr>
        <w:tc>
          <w:tcPr>
            <w:tcW w:w="260" w:type="dxa"/>
            <w:vAlign w:val="bottom"/>
          </w:tcPr>
          <w:p>
            <w:pPr>
              <w:spacing w:after="0"/>
              <w:rPr>
                <w:sz w:val="12"/>
                <w:szCs w:val="12"/>
                <w:color w:val="auto"/>
              </w:rPr>
            </w:pPr>
          </w:p>
        </w:tc>
        <w:tc>
          <w:tcPr>
            <w:tcW w:w="2680" w:type="dxa"/>
            <w:vAlign w:val="bottom"/>
          </w:tcPr>
          <w:p>
            <w:pPr>
              <w:ind w:left="80"/>
              <w:spacing w:after="0" w:line="149" w:lineRule="exact"/>
              <w:rPr>
                <w:sz w:val="20"/>
                <w:szCs w:val="20"/>
                <w:color w:val="auto"/>
              </w:rPr>
            </w:pPr>
            <w:r>
              <w:rPr>
                <w:rFonts w:ascii="Arial" w:cs="Arial" w:eastAsia="Arial" w:hAnsi="Arial"/>
                <w:sz w:val="14"/>
                <w:szCs w:val="14"/>
                <w:color w:val="auto"/>
              </w:rPr>
              <w:t>of Agriculture in the name of</w:t>
            </w:r>
          </w:p>
        </w:tc>
        <w:tc>
          <w:tcPr>
            <w:tcW w:w="2460" w:type="dxa"/>
            <w:vAlign w:val="bottom"/>
          </w:tcPr>
          <w:p>
            <w:pPr>
              <w:spacing w:after="0"/>
              <w:rPr>
                <w:sz w:val="12"/>
                <w:szCs w:val="12"/>
                <w:color w:val="auto"/>
              </w:rPr>
            </w:pPr>
          </w:p>
        </w:tc>
      </w:tr>
      <w:tr>
        <w:trPr>
          <w:trHeight w:val="149"/>
        </w:trPr>
        <w:tc>
          <w:tcPr>
            <w:tcW w:w="260" w:type="dxa"/>
            <w:vAlign w:val="bottom"/>
          </w:tcPr>
          <w:p>
            <w:pPr>
              <w:spacing w:after="0"/>
              <w:rPr>
                <w:sz w:val="12"/>
                <w:szCs w:val="12"/>
                <w:color w:val="auto"/>
              </w:rPr>
            </w:pPr>
          </w:p>
        </w:tc>
        <w:tc>
          <w:tcPr>
            <w:tcW w:w="2680" w:type="dxa"/>
            <w:vAlign w:val="bottom"/>
          </w:tcPr>
          <w:p>
            <w:pPr>
              <w:ind w:left="80"/>
              <w:spacing w:after="0" w:line="149" w:lineRule="exact"/>
              <w:rPr>
                <w:sz w:val="20"/>
                <w:szCs w:val="20"/>
                <w:color w:val="auto"/>
              </w:rPr>
            </w:pPr>
            <w:r>
              <w:rPr>
                <w:rFonts w:ascii="Arial" w:cs="Arial" w:eastAsia="Arial" w:hAnsi="Arial"/>
                <w:sz w:val="14"/>
                <w:szCs w:val="14"/>
                <w:color w:val="auto"/>
              </w:rPr>
              <w:t>a public entity (such as a</w:t>
            </w:r>
          </w:p>
        </w:tc>
        <w:tc>
          <w:tcPr>
            <w:tcW w:w="2460" w:type="dxa"/>
            <w:vAlign w:val="bottom"/>
          </w:tcPr>
          <w:p>
            <w:pPr>
              <w:spacing w:after="0"/>
              <w:rPr>
                <w:sz w:val="12"/>
                <w:szCs w:val="12"/>
                <w:color w:val="auto"/>
              </w:rPr>
            </w:pPr>
          </w:p>
        </w:tc>
      </w:tr>
      <w:tr>
        <w:trPr>
          <w:trHeight w:val="149"/>
        </w:trPr>
        <w:tc>
          <w:tcPr>
            <w:tcW w:w="260" w:type="dxa"/>
            <w:vAlign w:val="bottom"/>
          </w:tcPr>
          <w:p>
            <w:pPr>
              <w:spacing w:after="0"/>
              <w:rPr>
                <w:sz w:val="12"/>
                <w:szCs w:val="12"/>
                <w:color w:val="auto"/>
              </w:rPr>
            </w:pPr>
          </w:p>
        </w:tc>
        <w:tc>
          <w:tcPr>
            <w:tcW w:w="2680" w:type="dxa"/>
            <w:vAlign w:val="bottom"/>
          </w:tcPr>
          <w:p>
            <w:pPr>
              <w:ind w:left="80"/>
              <w:spacing w:after="0" w:line="149" w:lineRule="exact"/>
              <w:rPr>
                <w:sz w:val="20"/>
                <w:szCs w:val="20"/>
                <w:color w:val="auto"/>
              </w:rPr>
            </w:pPr>
            <w:r>
              <w:rPr>
                <w:rFonts w:ascii="Arial" w:cs="Arial" w:eastAsia="Arial" w:hAnsi="Arial"/>
                <w:sz w:val="14"/>
                <w:szCs w:val="14"/>
                <w:color w:val="auto"/>
              </w:rPr>
              <w:t>state or local government,</w:t>
            </w:r>
          </w:p>
        </w:tc>
        <w:tc>
          <w:tcPr>
            <w:tcW w:w="2460" w:type="dxa"/>
            <w:vAlign w:val="bottom"/>
          </w:tcPr>
          <w:p>
            <w:pPr>
              <w:spacing w:after="0"/>
              <w:rPr>
                <w:sz w:val="12"/>
                <w:szCs w:val="12"/>
                <w:color w:val="auto"/>
              </w:rPr>
            </w:pPr>
          </w:p>
        </w:tc>
      </w:tr>
      <w:tr>
        <w:trPr>
          <w:trHeight w:val="149"/>
        </w:trPr>
        <w:tc>
          <w:tcPr>
            <w:tcW w:w="260" w:type="dxa"/>
            <w:vAlign w:val="bottom"/>
          </w:tcPr>
          <w:p>
            <w:pPr>
              <w:spacing w:after="0"/>
              <w:rPr>
                <w:sz w:val="12"/>
                <w:szCs w:val="12"/>
                <w:color w:val="auto"/>
              </w:rPr>
            </w:pPr>
          </w:p>
        </w:tc>
        <w:tc>
          <w:tcPr>
            <w:tcW w:w="2680" w:type="dxa"/>
            <w:vAlign w:val="bottom"/>
          </w:tcPr>
          <w:p>
            <w:pPr>
              <w:ind w:left="80"/>
              <w:spacing w:after="0" w:line="149" w:lineRule="exact"/>
              <w:rPr>
                <w:sz w:val="20"/>
                <w:szCs w:val="20"/>
                <w:color w:val="auto"/>
              </w:rPr>
            </w:pPr>
            <w:r>
              <w:rPr>
                <w:rFonts w:ascii="Arial" w:cs="Arial" w:eastAsia="Arial" w:hAnsi="Arial"/>
                <w:sz w:val="14"/>
                <w:szCs w:val="14"/>
                <w:color w:val="auto"/>
              </w:rPr>
              <w:t>school district or prison) that</w:t>
            </w:r>
          </w:p>
        </w:tc>
        <w:tc>
          <w:tcPr>
            <w:tcW w:w="2460" w:type="dxa"/>
            <w:vAlign w:val="bottom"/>
          </w:tcPr>
          <w:p>
            <w:pPr>
              <w:spacing w:after="0"/>
              <w:rPr>
                <w:sz w:val="12"/>
                <w:szCs w:val="12"/>
                <w:color w:val="auto"/>
              </w:rPr>
            </w:pPr>
          </w:p>
        </w:tc>
      </w:tr>
      <w:tr>
        <w:trPr>
          <w:trHeight w:val="149"/>
        </w:trPr>
        <w:tc>
          <w:tcPr>
            <w:tcW w:w="260" w:type="dxa"/>
            <w:vAlign w:val="bottom"/>
          </w:tcPr>
          <w:p>
            <w:pPr>
              <w:spacing w:after="0"/>
              <w:rPr>
                <w:sz w:val="12"/>
                <w:szCs w:val="12"/>
                <w:color w:val="auto"/>
              </w:rPr>
            </w:pPr>
          </w:p>
        </w:tc>
        <w:tc>
          <w:tcPr>
            <w:tcW w:w="2680" w:type="dxa"/>
            <w:vAlign w:val="bottom"/>
          </w:tcPr>
          <w:p>
            <w:pPr>
              <w:ind w:left="80"/>
              <w:spacing w:after="0" w:line="149" w:lineRule="exact"/>
              <w:rPr>
                <w:sz w:val="20"/>
                <w:szCs w:val="20"/>
                <w:color w:val="auto"/>
              </w:rPr>
            </w:pPr>
            <w:r>
              <w:rPr>
                <w:rFonts w:ascii="Arial" w:cs="Arial" w:eastAsia="Arial" w:hAnsi="Arial"/>
                <w:sz w:val="14"/>
                <w:szCs w:val="14"/>
                <w:color w:val="auto"/>
              </w:rPr>
              <w:t>receives agricultural program</w:t>
            </w:r>
          </w:p>
        </w:tc>
        <w:tc>
          <w:tcPr>
            <w:tcW w:w="2460" w:type="dxa"/>
            <w:vAlign w:val="bottom"/>
          </w:tcPr>
          <w:p>
            <w:pPr>
              <w:spacing w:after="0"/>
              <w:rPr>
                <w:sz w:val="12"/>
                <w:szCs w:val="12"/>
                <w:color w:val="auto"/>
              </w:rPr>
            </w:pPr>
          </w:p>
        </w:tc>
      </w:tr>
      <w:tr>
        <w:trPr>
          <w:trHeight w:val="182"/>
        </w:trPr>
        <w:tc>
          <w:tcPr>
            <w:tcW w:w="260" w:type="dxa"/>
            <w:vAlign w:val="bottom"/>
          </w:tcPr>
          <w:p>
            <w:pPr>
              <w:spacing w:after="0"/>
              <w:rPr>
                <w:sz w:val="15"/>
                <w:szCs w:val="15"/>
                <w:color w:val="auto"/>
              </w:rPr>
            </w:pPr>
          </w:p>
        </w:tc>
        <w:tc>
          <w:tcPr>
            <w:tcW w:w="2680" w:type="dxa"/>
            <w:vAlign w:val="bottom"/>
          </w:tcPr>
          <w:p>
            <w:pPr>
              <w:ind w:left="80"/>
              <w:spacing w:after="0"/>
              <w:rPr>
                <w:sz w:val="20"/>
                <w:szCs w:val="20"/>
                <w:color w:val="auto"/>
              </w:rPr>
            </w:pPr>
            <w:r>
              <w:rPr>
                <w:rFonts w:ascii="Arial" w:cs="Arial" w:eastAsia="Arial" w:hAnsi="Arial"/>
                <w:sz w:val="14"/>
                <w:szCs w:val="14"/>
                <w:color w:val="auto"/>
              </w:rPr>
              <w:t>payments</w:t>
            </w:r>
          </w:p>
        </w:tc>
        <w:tc>
          <w:tcPr>
            <w:tcW w:w="2460" w:type="dxa"/>
            <w:vAlign w:val="bottom"/>
          </w:tcPr>
          <w:p>
            <w:pPr>
              <w:spacing w:after="0"/>
              <w:rPr>
                <w:sz w:val="15"/>
                <w:szCs w:val="15"/>
                <w:color w:val="auto"/>
              </w:rPr>
            </w:pPr>
          </w:p>
        </w:tc>
      </w:tr>
      <w:tr>
        <w:trPr>
          <w:trHeight w:val="223"/>
        </w:trPr>
        <w:tc>
          <w:tcPr>
            <w:tcW w:w="260" w:type="dxa"/>
            <w:vAlign w:val="bottom"/>
          </w:tcPr>
          <w:p>
            <w:pPr>
              <w:spacing w:after="0"/>
              <w:rPr>
                <w:sz w:val="20"/>
                <w:szCs w:val="20"/>
                <w:color w:val="auto"/>
              </w:rPr>
            </w:pPr>
            <w:r>
              <w:rPr>
                <w:rFonts w:ascii="Arial" w:cs="Arial" w:eastAsia="Arial" w:hAnsi="Arial"/>
                <w:sz w:val="14"/>
                <w:szCs w:val="14"/>
                <w:color w:val="auto"/>
              </w:rPr>
              <w:t>14.</w:t>
            </w:r>
          </w:p>
        </w:tc>
        <w:tc>
          <w:tcPr>
            <w:tcW w:w="2680" w:type="dxa"/>
            <w:vAlign w:val="bottom"/>
          </w:tcPr>
          <w:p>
            <w:pPr>
              <w:ind w:left="80"/>
              <w:spacing w:after="0"/>
              <w:rPr>
                <w:sz w:val="20"/>
                <w:szCs w:val="20"/>
                <w:color w:val="auto"/>
              </w:rPr>
            </w:pPr>
            <w:r>
              <w:rPr>
                <w:rFonts w:ascii="Arial" w:cs="Arial" w:eastAsia="Arial" w:hAnsi="Arial"/>
                <w:sz w:val="14"/>
                <w:szCs w:val="14"/>
                <w:color w:val="auto"/>
              </w:rPr>
              <w:t>Grantor trust filing under the Form 1041</w:t>
            </w:r>
          </w:p>
        </w:tc>
        <w:tc>
          <w:tcPr>
            <w:tcW w:w="2460" w:type="dxa"/>
            <w:vAlign w:val="bottom"/>
          </w:tcPr>
          <w:p>
            <w:pPr>
              <w:ind w:left="140"/>
              <w:spacing w:after="0"/>
              <w:rPr>
                <w:sz w:val="20"/>
                <w:szCs w:val="20"/>
                <w:color w:val="auto"/>
              </w:rPr>
            </w:pPr>
            <w:r>
              <w:rPr>
                <w:rFonts w:ascii="Arial" w:cs="Arial" w:eastAsia="Arial" w:hAnsi="Arial"/>
                <w:sz w:val="14"/>
                <w:szCs w:val="14"/>
                <w:color w:val="auto"/>
              </w:rPr>
              <w:t>The trust</w:t>
            </w:r>
          </w:p>
        </w:tc>
      </w:tr>
      <w:tr>
        <w:trPr>
          <w:trHeight w:val="149"/>
        </w:trPr>
        <w:tc>
          <w:tcPr>
            <w:tcW w:w="260" w:type="dxa"/>
            <w:vAlign w:val="bottom"/>
          </w:tcPr>
          <w:p>
            <w:pPr>
              <w:spacing w:after="0"/>
              <w:rPr>
                <w:sz w:val="12"/>
                <w:szCs w:val="12"/>
                <w:color w:val="auto"/>
              </w:rPr>
            </w:pPr>
          </w:p>
        </w:tc>
        <w:tc>
          <w:tcPr>
            <w:tcW w:w="2680" w:type="dxa"/>
            <w:vAlign w:val="bottom"/>
          </w:tcPr>
          <w:p>
            <w:pPr>
              <w:ind w:left="80"/>
              <w:spacing w:after="0" w:line="149" w:lineRule="exact"/>
              <w:rPr>
                <w:sz w:val="20"/>
                <w:szCs w:val="20"/>
                <w:color w:val="auto"/>
              </w:rPr>
            </w:pPr>
            <w:r>
              <w:rPr>
                <w:rFonts w:ascii="Arial" w:cs="Arial" w:eastAsia="Arial" w:hAnsi="Arial"/>
                <w:sz w:val="14"/>
                <w:szCs w:val="14"/>
                <w:color w:val="auto"/>
              </w:rPr>
              <w:t>Filing method or the Optional Form 1099</w:t>
            </w:r>
          </w:p>
        </w:tc>
        <w:tc>
          <w:tcPr>
            <w:tcW w:w="2460" w:type="dxa"/>
            <w:vAlign w:val="bottom"/>
          </w:tcPr>
          <w:p>
            <w:pPr>
              <w:spacing w:after="0"/>
              <w:rPr>
                <w:sz w:val="12"/>
                <w:szCs w:val="12"/>
                <w:color w:val="auto"/>
              </w:rPr>
            </w:pPr>
          </w:p>
        </w:tc>
      </w:tr>
      <w:tr>
        <w:trPr>
          <w:trHeight w:val="149"/>
        </w:trPr>
        <w:tc>
          <w:tcPr>
            <w:tcW w:w="260" w:type="dxa"/>
            <w:vAlign w:val="bottom"/>
          </w:tcPr>
          <w:p>
            <w:pPr>
              <w:spacing w:after="0"/>
              <w:rPr>
                <w:sz w:val="12"/>
                <w:szCs w:val="12"/>
                <w:color w:val="auto"/>
              </w:rPr>
            </w:pPr>
          </w:p>
        </w:tc>
        <w:tc>
          <w:tcPr>
            <w:tcW w:w="2680" w:type="dxa"/>
            <w:vAlign w:val="bottom"/>
          </w:tcPr>
          <w:p>
            <w:pPr>
              <w:ind w:left="80"/>
              <w:spacing w:after="0" w:line="149" w:lineRule="exact"/>
              <w:rPr>
                <w:sz w:val="20"/>
                <w:szCs w:val="20"/>
                <w:color w:val="auto"/>
              </w:rPr>
            </w:pPr>
            <w:r>
              <w:rPr>
                <w:rFonts w:ascii="Arial" w:cs="Arial" w:eastAsia="Arial" w:hAnsi="Arial"/>
                <w:sz w:val="14"/>
                <w:szCs w:val="14"/>
                <w:color w:val="auto"/>
              </w:rPr>
              <w:t>Filing Method 2 (see Regulations section</w:t>
            </w:r>
          </w:p>
        </w:tc>
        <w:tc>
          <w:tcPr>
            <w:tcW w:w="2460" w:type="dxa"/>
            <w:vAlign w:val="bottom"/>
          </w:tcPr>
          <w:p>
            <w:pPr>
              <w:spacing w:after="0"/>
              <w:rPr>
                <w:sz w:val="12"/>
                <w:szCs w:val="12"/>
                <w:color w:val="auto"/>
              </w:rPr>
            </w:pPr>
          </w:p>
        </w:tc>
      </w:tr>
      <w:tr>
        <w:trPr>
          <w:trHeight w:val="182"/>
        </w:trPr>
        <w:tc>
          <w:tcPr>
            <w:tcW w:w="260" w:type="dxa"/>
            <w:vAlign w:val="bottom"/>
          </w:tcPr>
          <w:p>
            <w:pPr>
              <w:spacing w:after="0"/>
              <w:rPr>
                <w:sz w:val="15"/>
                <w:szCs w:val="15"/>
                <w:color w:val="auto"/>
              </w:rPr>
            </w:pPr>
          </w:p>
        </w:tc>
        <w:tc>
          <w:tcPr>
            <w:tcW w:w="2680" w:type="dxa"/>
            <w:vAlign w:val="bottom"/>
          </w:tcPr>
          <w:p>
            <w:pPr>
              <w:ind w:left="80"/>
              <w:spacing w:after="0"/>
              <w:rPr>
                <w:sz w:val="20"/>
                <w:szCs w:val="20"/>
                <w:color w:val="auto"/>
              </w:rPr>
            </w:pPr>
            <w:r>
              <w:rPr>
                <w:rFonts w:ascii="Arial" w:cs="Arial" w:eastAsia="Arial" w:hAnsi="Arial"/>
                <w:sz w:val="14"/>
                <w:szCs w:val="14"/>
                <w:color w:val="auto"/>
              </w:rPr>
              <w:t>1.671-4(b)(2)(i)(B))</w:t>
            </w:r>
          </w:p>
        </w:tc>
        <w:tc>
          <w:tcPr>
            <w:tcW w:w="2460" w:type="dxa"/>
            <w:vAlign w:val="bottom"/>
          </w:tcPr>
          <w:p>
            <w:pPr>
              <w:spacing w:after="0"/>
              <w:rPr>
                <w:sz w:val="15"/>
                <w:szCs w:val="15"/>
                <w:color w:val="auto"/>
              </w:rPr>
            </w:pPr>
          </w:p>
        </w:tc>
      </w:tr>
      <w:tr>
        <w:trPr>
          <w:trHeight w:val="323"/>
        </w:trPr>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2">
            <w:col w:w="5300" w:space="320"/>
            <w:col w:w="5400"/>
          </w:cols>
          <w:pgMar w:left="440" w:top="270" w:right="439" w:bottom="1440" w:gutter="0" w:footer="0" w:header="0"/>
          <w:type w:val="continuous"/>
        </w:sectPr>
      </w:pPr>
    </w:p>
    <w:p>
      <w:pPr>
        <w:spacing w:after="0" w:line="321" w:lineRule="exact"/>
        <w:rPr>
          <w:sz w:val="20"/>
          <w:szCs w:val="20"/>
          <w:color w:val="auto"/>
        </w:rPr>
      </w:pPr>
    </w:p>
    <w:p>
      <w:pPr>
        <w:ind w:left="440" w:hanging="436"/>
        <w:spacing w:after="0"/>
        <w:tabs>
          <w:tab w:leader="none" w:pos="4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List first and circle the name of the person whose number you furnish. If only one person on a joint account has a SSN, that person’s number must be furnished.</w:t>
      </w:r>
    </w:p>
    <w:p>
      <w:pPr>
        <w:ind w:left="440" w:hanging="436"/>
        <w:spacing w:after="0" w:line="221" w:lineRule="auto"/>
        <w:tabs>
          <w:tab w:leader="none" w:pos="4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Circle the minor’s name and furnish the minor’s SSN.</w:t>
      </w:r>
    </w:p>
    <w:p>
      <w:pPr>
        <w:ind w:left="440" w:right="280" w:hanging="436"/>
        <w:spacing w:after="0" w:line="221" w:lineRule="auto"/>
        <w:tabs>
          <w:tab w:leader="none" w:pos="4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You must show your individual name, but you may also enter your business or “doing business as” name on the “Business name/disregarded entity” name line. You may use either your SSN or employer identification number (if you have one), but the IRS encourages you to use your SSN.</w:t>
      </w:r>
    </w:p>
    <w:p>
      <w:pPr>
        <w:ind w:left="440" w:right="220" w:hanging="436"/>
        <w:spacing w:after="0" w:line="237" w:lineRule="auto"/>
        <w:tabs>
          <w:tab w:leader="none" w:pos="4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List first and circle the name of the trust, estate or pension trust. (Do not furnish the TIN of the personal representative or trustee unless the legal entity itself is not designated in the account title.)</w:t>
      </w:r>
    </w:p>
    <w:p>
      <w:pPr>
        <w:spacing w:after="0" w:line="21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8"/>
          <w:szCs w:val="18"/>
          <w:color w:val="auto"/>
        </w:rPr>
        <w:t>Grantor must also provide a Form W-9 to trustee of trust.</w:t>
      </w:r>
    </w:p>
    <w:p>
      <w:pPr>
        <w:spacing w:after="0" w:line="27" w:lineRule="exact"/>
        <w:rPr>
          <w:sz w:val="20"/>
          <w:szCs w:val="20"/>
          <w:color w:val="auto"/>
        </w:rPr>
      </w:pPr>
    </w:p>
    <w:p>
      <w:pPr>
        <w:ind w:left="980" w:right="140" w:hanging="879"/>
        <w:spacing w:after="0" w:line="261" w:lineRule="auto"/>
        <w:tabs>
          <w:tab w:leader="none" w:pos="9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8"/>
          <w:szCs w:val="18"/>
          <w:color w:val="auto"/>
        </w:rPr>
        <w:t>IF NO NAME IS CIRCLED WHEN MORE THAN ONE NAME IS LISTED, THE NUMBER WILL BE CONSIDERED TO BE THAT OF THE FIRST NAME LISTED.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0" w:right="439" w:bottom="1440" w:gutter="0" w:footer="0" w:header="0"/>
          <w:type w:val="continuous"/>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INSTRUCTIONS AND GUIDELINES FOR CERTIFICATION OF TAXPAYER IDENTIFICATION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Form</w:t>
      </w:r>
    </w:p>
    <w:p>
      <w:pPr>
        <w:spacing w:after="0" w:line="121"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A person who is required to file an information return with the IRS must get your correct TIN to report, for example, income paid to you, real estate transactions, mortgage interest you paid, acquisition or abandonment of secured property, cancellation of debt or contributions you made to an individual retirement account. Use Substitute Form W-9 to give your correct TIN to the person requesting your TIN and, when applicable, (1) to certify the TIN you are giving is correct (or you are waiting for a number to be issued), (2) to certify you are not subject to backup withholding or (3) to claim exemption from backup withholding if you are an exempt payee. The TIN must match the name given on the Substitute Form W-9.</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Obtaining a Number</w:t>
      </w:r>
    </w:p>
    <w:p>
      <w:pPr>
        <w:spacing w:after="0" w:line="121"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If you do not have a TIN, apply for one immediately. To apply for an SSN, obtain IRS Form SS-5, Application for a Social Security Number Card, at the local office of the Social Security Administration or on-line at www.socialsecurity.gov/online/ss-5.pdf. You may also get this form by calling</w:t>
      </w:r>
    </w:p>
    <w:p>
      <w:pPr>
        <w:spacing w:after="0" w:line="255" w:lineRule="auto"/>
        <w:rPr>
          <w:sz w:val="20"/>
          <w:szCs w:val="20"/>
          <w:color w:val="auto"/>
        </w:rPr>
      </w:pPr>
      <w:r>
        <w:rPr>
          <w:rFonts w:ascii="Arial" w:cs="Arial" w:eastAsia="Arial" w:hAnsi="Arial"/>
          <w:sz w:val="18"/>
          <w:szCs w:val="18"/>
          <w:color w:val="auto"/>
        </w:rPr>
        <w:t>1-800-772-1213. Use IRS Form W-7, Application for IRS Individual Taxpayer Identification Number (“ITIN”) to apply for an ITIN or IRS Form SS-4, Application for Employer Identification Number, to apply for an EIN. You can get IRS Forms W-7 and SS-4 from the IRS by calling 1-800-TAX-FORM (1-800-829-3676) or from the IRS website at www.irs.gov.</w:t>
      </w:r>
    </w:p>
    <w:p>
      <w:pPr>
        <w:spacing w:after="0" w:line="190" w:lineRule="exact"/>
        <w:rPr>
          <w:sz w:val="20"/>
          <w:szCs w:val="20"/>
          <w:color w:val="auto"/>
        </w:rPr>
      </w:pPr>
    </w:p>
    <w:p>
      <w:pPr>
        <w:ind w:right="120" w:firstLine="441"/>
        <w:spacing w:after="0" w:line="286" w:lineRule="auto"/>
        <w:rPr>
          <w:sz w:val="20"/>
          <w:szCs w:val="20"/>
          <w:color w:val="auto"/>
        </w:rPr>
      </w:pPr>
      <w:r>
        <w:rPr>
          <w:rFonts w:ascii="Arial" w:cs="Arial" w:eastAsia="Arial" w:hAnsi="Arial"/>
          <w:sz w:val="17"/>
          <w:szCs w:val="17"/>
          <w:color w:val="auto"/>
        </w:rPr>
        <w:t>If you do not have a number, apply for a TIN and write “Applied For” in the space for the TIN in Part I, complete the “Certificate of Awaiting Taxpayer Identification Number”, and sign and date the Substitute Form W-9 and return it to the payor. You must provide a payor with a TIN within 60 days. During this 60-day period, a payor has two options for withholding on reportable interest or dividend payments:</w:t>
      </w:r>
    </w:p>
    <w:p>
      <w:pPr>
        <w:spacing w:after="0" w:line="71" w:lineRule="exact"/>
        <w:rPr>
          <w:sz w:val="20"/>
          <w:szCs w:val="20"/>
          <w:color w:val="auto"/>
        </w:rPr>
      </w:pPr>
    </w:p>
    <w:p>
      <w:pPr>
        <w:ind w:left="980" w:right="240" w:hanging="544"/>
        <w:spacing w:after="0" w:line="27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payor must backup withhold on any withdrawals you make from the account after 7 business days after a payor receives the Substitute Form W-9: or</w:t>
      </w:r>
    </w:p>
    <w:p>
      <w:pPr>
        <w:spacing w:after="0" w:line="75" w:lineRule="exact"/>
        <w:rPr>
          <w:rFonts w:ascii="Arial" w:cs="Arial" w:eastAsia="Arial" w:hAnsi="Arial"/>
          <w:sz w:val="18"/>
          <w:szCs w:val="18"/>
          <w:color w:val="auto"/>
        </w:rPr>
      </w:pPr>
    </w:p>
    <w:p>
      <w:pPr>
        <w:ind w:left="980" w:right="80" w:hanging="544"/>
        <w:spacing w:after="0" w:line="264"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payor must backup withhold on any reportable interest or dividend payments made to your account, regardless of whether you make any withdrawals. Under this option, backup withholding must begin no later than 7 business days after a payor receives the Substitute Form W-9.</w:t>
      </w:r>
    </w:p>
    <w:p>
      <w:pPr>
        <w:spacing w:after="0" w:line="181"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With respect to other reportable payments, if a payor does not receive your TIN within the 60 days, a payor must backup withhold until you furnish your TIN.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NOTE: A domestic entity that is disregarded for U.S. federal income tax purposes that has a foreign owner must use the appropriate Form W-8.</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ind w:right="420" w:firstLine="441"/>
        <w:spacing w:after="0" w:line="308" w:lineRule="auto"/>
        <w:rPr>
          <w:sz w:val="20"/>
          <w:szCs w:val="20"/>
          <w:color w:val="auto"/>
        </w:rPr>
      </w:pPr>
      <w:r>
        <w:rPr>
          <w:rFonts w:ascii="Arial" w:cs="Arial" w:eastAsia="Arial" w:hAnsi="Arial"/>
          <w:sz w:val="17"/>
          <w:szCs w:val="17"/>
          <w:color w:val="auto"/>
        </w:rPr>
        <w:t>For interest, dividends and broker transactions, you must sign the certification or backup withholding will apply. If you are subject to backup withholding and you are merely providing your correct TIN to a payor, you must cross out item 2 in Part III before signing the form.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Payees and Payments Exempt from Backup Withholding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Payees specifically exempted from backup withholding on ALL payments include the following:</w:t>
      </w:r>
    </w:p>
    <w:p>
      <w:pPr>
        <w:spacing w:after="0" w:line="131" w:lineRule="exact"/>
        <w:rPr>
          <w:sz w:val="20"/>
          <w:szCs w:val="20"/>
          <w:color w:val="auto"/>
        </w:rPr>
      </w:pPr>
    </w:p>
    <w:p>
      <w:pPr>
        <w:jc w:val="both"/>
        <w:ind w:left="980" w:right="160" w:hanging="436"/>
        <w:spacing w:after="0" w:line="264"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organization exempt from tax under section 501(a) of the Internal Revenue Code of 1986, as amended (the “Code”), or an individual retirement account (“IRA”) or a custodial account under section 403(b)(7) of the Code if the account satisfies the requirements of section 401(f)(2) of the Code.</w:t>
      </w:r>
    </w:p>
    <w:p>
      <w:pPr>
        <w:spacing w:after="0" w:line="86" w:lineRule="exact"/>
        <w:rPr>
          <w:rFonts w:ascii="Arial" w:cs="Arial" w:eastAsia="Arial" w:hAnsi="Arial"/>
          <w:sz w:val="18"/>
          <w:szCs w:val="18"/>
          <w:color w:val="auto"/>
        </w:rPr>
      </w:pPr>
    </w:p>
    <w:p>
      <w:pPr>
        <w:ind w:left="980" w:hanging="436"/>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United States or any of its agencies or instrumentalities.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0" w:right="439" w:bottom="1440" w:gutter="0" w:footer="0" w:header="0"/>
        </w:sectPr>
      </w:pPr>
    </w:p>
    <w:bookmarkStart w:id="72" w:name="page73"/>
    <w:bookmarkEnd w:id="72"/>
    <w:p>
      <w:pPr>
        <w:ind w:left="980" w:hanging="436"/>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State, the District of Columbia, a possession of the United States or any of their political subdivisions or instrumentalities.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foreign government or any of its political subdivisions, agencies or instrumentalities.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international organization or any of its wholly owned agencies or instrumentalities.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payees that may be exempt from backup withholding include the following:</w:t>
      </w:r>
    </w:p>
    <w:p>
      <w:pPr>
        <w:spacing w:after="0" w:line="131" w:lineRule="exact"/>
        <w:rPr>
          <w:sz w:val="20"/>
          <w:szCs w:val="20"/>
          <w:color w:val="auto"/>
        </w:rPr>
      </w:pPr>
    </w:p>
    <w:p>
      <w:pPr>
        <w:ind w:left="980" w:hanging="436"/>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corporation.</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foreign central bank of issue.</w:t>
      </w:r>
    </w:p>
    <w:p>
      <w:pPr>
        <w:spacing w:after="0" w:line="130" w:lineRule="exact"/>
        <w:rPr>
          <w:rFonts w:ascii="Arial" w:cs="Arial" w:eastAsia="Arial" w:hAnsi="Arial"/>
          <w:sz w:val="18"/>
          <w:szCs w:val="18"/>
          <w:color w:val="auto"/>
        </w:rPr>
      </w:pPr>
    </w:p>
    <w:p>
      <w:pPr>
        <w:ind w:left="980" w:right="400" w:hanging="436"/>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dealer in securities or commodities required to register in the United States, the District of Columbia or a possession of the United States.</w:t>
      </w:r>
    </w:p>
    <w:p>
      <w:pPr>
        <w:spacing w:after="0" w:line="75" w:lineRule="exact"/>
        <w:rPr>
          <w:rFonts w:ascii="Arial" w:cs="Arial" w:eastAsia="Arial" w:hAnsi="Arial"/>
          <w:sz w:val="18"/>
          <w:szCs w:val="18"/>
          <w:color w:val="auto"/>
        </w:rPr>
      </w:pPr>
    </w:p>
    <w:p>
      <w:pPr>
        <w:ind w:left="980" w:hanging="436"/>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futures commission merchant registered with the Commodity Futures Trading Commission.</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real estate investment trust.</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entity registered at all times during the tax year under the Investment Company Act of 1940.</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common trust fund operated by a bank under section 584(a) of the Code.</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middleman known in the investment community as a nominee or custodian.</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trust exempt from tax under section 664 or described in section 4947 of the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Payments of interest not generally subject to backup withholding include the following:</w:t>
      </w:r>
    </w:p>
    <w:p>
      <w:pPr>
        <w:spacing w:after="0" w:line="131" w:lineRule="exact"/>
        <w:rPr>
          <w:sz w:val="20"/>
          <w:szCs w:val="20"/>
          <w:color w:val="auto"/>
        </w:rPr>
      </w:pPr>
    </w:p>
    <w:p>
      <w:pPr>
        <w:ind w:left="980" w:right="300" w:hanging="436"/>
        <w:spacing w:after="0" w:line="308" w:lineRule="auto"/>
        <w:tabs>
          <w:tab w:leader="none" w:pos="9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Payments of interest on obligations issued by individuals. NOTE: You may be subject to backup withholding if this interest is $600 or more and is paid in the course of the payor’s trade or business and you have not provided your current TIN to the payor.</w:t>
      </w:r>
    </w:p>
    <w:p>
      <w:pPr>
        <w:spacing w:after="0" w:line="51" w:lineRule="exact"/>
        <w:rPr>
          <w:rFonts w:ascii="Arial" w:cs="Arial" w:eastAsia="Arial" w:hAnsi="Arial"/>
          <w:sz w:val="17"/>
          <w:szCs w:val="17"/>
          <w:color w:val="auto"/>
        </w:rPr>
      </w:pPr>
    </w:p>
    <w:p>
      <w:pPr>
        <w:ind w:left="980" w:hanging="436"/>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Payments described in section 6049(b)(5) of the Code to non-resident aliens.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Payments on tax-free covenant bonds under section 1451 of the Code.</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Payments made by certain foreign organizations.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Mortgage or student loan interest paid to you.</w:t>
      </w:r>
    </w:p>
    <w:p>
      <w:pPr>
        <w:spacing w:after="0" w:line="225"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color w:val="auto"/>
        </w:rPr>
        <w:t>EXEMPT PAYEES DESCRIBED ABOVE SHOULD FILE A SUBSTITUTE FORM W-9 OR FORM W-8 TO AVOID POSSIBLE ERRONEOUS BACKUP WITHHOLDING. FILE THIS FORM WITH THE PAYOR. FURNISH YOUR TIN. ALSO SIGN AND DATE THE FORM.</w:t>
      </w:r>
    </w:p>
    <w:p>
      <w:pPr>
        <w:spacing w:after="0" w:line="147"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Certain payments that are not subject to information reporting are also not subject to backup withholding. For details, see sections 6041, 6041A, 6042, 6044, 6045, 6049, 6050A, 6050N and 6050W of the Code and their regulations.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Act Notice</w:t>
      </w:r>
    </w:p>
    <w:p>
      <w:pPr>
        <w:spacing w:after="0" w:line="121"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Section 6109 of the Code requires you to provide your correct TIN to persons (including federal agencies) who are required to file information returns with the IRS to report interest, dividends or certain other income paid to you; mortgage interest you paid; the acquisition or abandonment of secured property; the cancellation of debt; or contributions you made to an IRA, Archer MSA or HSA. The person collecting this form uses the information on the form to file information returns with the IRS, reporting the above information. Routine uses of this information include giving it to the Department of Justice for civil and criminal litigation and to cities, states, the</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440" w:top="274" w:right="539" w:bottom="1440" w:gutter="0" w:footer="0" w:header="0"/>
        </w:sectPr>
      </w:pPr>
    </w:p>
    <w:bookmarkStart w:id="73" w:name="page74"/>
    <w:bookmarkEnd w:id="73"/>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District of Columbia and U.S. possessions for use in administering their laws. The information also may be disclosed to other countries under a treaty, to federal and state agencies to enforce civil and criminal laws or to federal law enforcement and intelligence agencies to combat terrorism. You must provide your TIN whether or not you are required to file a tax return. Under section 3406, payers must generally withhold a percentage of taxable interest, dividend and certain other payments to a payee who does not give a TIN to the payer. Certain penalties may also apply for providing false or fraudulent information.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Penalties</w:t>
      </w:r>
    </w:p>
    <w:p>
      <w:pPr>
        <w:spacing w:after="0" w:line="131" w:lineRule="exact"/>
        <w:rPr>
          <w:sz w:val="20"/>
          <w:szCs w:val="20"/>
          <w:color w:val="auto"/>
        </w:rPr>
      </w:pPr>
    </w:p>
    <w:p>
      <w:pPr>
        <w:ind w:left="440" w:right="100" w:hanging="436"/>
        <w:spacing w:after="0" w:line="282" w:lineRule="auto"/>
        <w:tabs>
          <w:tab w:leader="none" w:pos="44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Penalty for Failure to Furnish Taxpayer Identification Number. </w:t>
      </w:r>
      <w:r>
        <w:rPr>
          <w:rFonts w:ascii="Arial" w:cs="Arial" w:eastAsia="Arial" w:hAnsi="Arial"/>
          <w:sz w:val="18"/>
          <w:szCs w:val="18"/>
          <w:color w:val="auto"/>
        </w:rPr>
        <w:t>If you fail to furnish your correct TIN to a payor, you are subject to a penalty</w:t>
      </w:r>
      <w:r>
        <w:rPr>
          <w:rFonts w:ascii="Arial" w:cs="Arial" w:eastAsia="Arial" w:hAnsi="Arial"/>
          <w:sz w:val="18"/>
          <w:szCs w:val="18"/>
          <w:b w:val="1"/>
          <w:bCs w:val="1"/>
          <w:color w:val="auto"/>
        </w:rPr>
        <w:t xml:space="preserve"> </w:t>
      </w:r>
      <w:r>
        <w:rPr>
          <w:rFonts w:ascii="Arial" w:cs="Arial" w:eastAsia="Arial" w:hAnsi="Arial"/>
          <w:sz w:val="18"/>
          <w:szCs w:val="18"/>
          <w:color w:val="auto"/>
        </w:rPr>
        <w:t>of $50 for each such failure unless your failure is due to reasonable cause and not to willful neglect.</w:t>
      </w:r>
    </w:p>
    <w:p>
      <w:pPr>
        <w:spacing w:after="0" w:line="67" w:lineRule="exact"/>
        <w:rPr>
          <w:rFonts w:ascii="Arial" w:cs="Arial" w:eastAsia="Arial" w:hAnsi="Arial"/>
          <w:sz w:val="18"/>
          <w:szCs w:val="18"/>
          <w:color w:val="auto"/>
        </w:rPr>
      </w:pPr>
    </w:p>
    <w:p>
      <w:pPr>
        <w:ind w:left="440" w:right="380" w:hanging="436"/>
        <w:spacing w:after="0" w:line="282" w:lineRule="auto"/>
        <w:tabs>
          <w:tab w:leader="none" w:pos="44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Civil Penalty for False Information with Respect to Withholding. </w:t>
      </w:r>
      <w:r>
        <w:rPr>
          <w:rFonts w:ascii="Arial" w:cs="Arial" w:eastAsia="Arial" w:hAnsi="Arial"/>
          <w:sz w:val="18"/>
          <w:szCs w:val="18"/>
          <w:color w:val="auto"/>
        </w:rPr>
        <w:t>If you make a false statement with no reasonable basis that results in no</w:t>
      </w:r>
      <w:r>
        <w:rPr>
          <w:rFonts w:ascii="Arial" w:cs="Arial" w:eastAsia="Arial" w:hAnsi="Arial"/>
          <w:sz w:val="18"/>
          <w:szCs w:val="18"/>
          <w:b w:val="1"/>
          <w:bCs w:val="1"/>
          <w:color w:val="auto"/>
        </w:rPr>
        <w:t xml:space="preserve"> </w:t>
      </w:r>
      <w:r>
        <w:rPr>
          <w:rFonts w:ascii="Arial" w:cs="Arial" w:eastAsia="Arial" w:hAnsi="Arial"/>
          <w:sz w:val="18"/>
          <w:szCs w:val="18"/>
          <w:color w:val="auto"/>
        </w:rPr>
        <w:t>backup withholding, you are subject to a penalty of $500.</w:t>
      </w:r>
    </w:p>
    <w:p>
      <w:pPr>
        <w:spacing w:after="0" w:line="67" w:lineRule="exact"/>
        <w:rPr>
          <w:rFonts w:ascii="Arial" w:cs="Arial" w:eastAsia="Arial" w:hAnsi="Arial"/>
          <w:sz w:val="18"/>
          <w:szCs w:val="18"/>
          <w:color w:val="auto"/>
        </w:rPr>
      </w:pPr>
    </w:p>
    <w:p>
      <w:pPr>
        <w:ind w:left="440" w:right="140" w:hanging="436"/>
        <w:spacing w:after="0" w:line="282" w:lineRule="auto"/>
        <w:tabs>
          <w:tab w:leader="none" w:pos="44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Criminal Penalty for Falsifying Information. </w:t>
      </w:r>
      <w:r>
        <w:rPr>
          <w:rFonts w:ascii="Arial" w:cs="Arial" w:eastAsia="Arial" w:hAnsi="Arial"/>
          <w:sz w:val="18"/>
          <w:szCs w:val="18"/>
          <w:color w:val="auto"/>
        </w:rPr>
        <w:t>Willfully falsifying certifications or affirmations may subject you to criminal penalties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fines and/or imprisonment.</w:t>
      </w:r>
    </w:p>
    <w:p>
      <w:pPr>
        <w:spacing w:after="0" w:line="67" w:lineRule="exact"/>
        <w:rPr>
          <w:rFonts w:ascii="Arial" w:cs="Arial" w:eastAsia="Arial" w:hAnsi="Arial"/>
          <w:sz w:val="18"/>
          <w:szCs w:val="18"/>
          <w:color w:val="auto"/>
        </w:rPr>
      </w:pPr>
    </w:p>
    <w:p>
      <w:pPr>
        <w:ind w:left="440" w:right="280" w:hanging="436"/>
        <w:spacing w:after="0" w:line="282" w:lineRule="auto"/>
        <w:tabs>
          <w:tab w:leader="none" w:pos="44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Misuse of Tax Identification Numbers. </w:t>
      </w:r>
      <w:r>
        <w:rPr>
          <w:rFonts w:ascii="Arial" w:cs="Arial" w:eastAsia="Arial" w:hAnsi="Arial"/>
          <w:sz w:val="18"/>
          <w:szCs w:val="18"/>
          <w:color w:val="auto"/>
        </w:rPr>
        <w:t>If the requester discloses or uses your TIN in violation of federal law, the requester may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civil and criminal penalties.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ADDITIONAL INFORMATION CONTACT YOUR TAX ADVISOR OR THE IRS.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99.2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Union Pacific Corporation</w:t>
      </w:r>
    </w:p>
    <w:p>
      <w:pPr>
        <w:spacing w:after="0" w:line="225"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Offer to Exchange up to $1,841,950,000 Principal Amount Outstanding of 3.839% Notes due 2060 for a Like Principal Amount of 3.839% Notes due 2060 which have been registered under the Securities Act of 1933.</w:t>
      </w:r>
    </w:p>
    <w:p>
      <w:pPr>
        <w:spacing w:after="0" w:line="181"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Pursuant to the Prospectus, dated March [</w:t>
      </w:r>
      <w:r>
        <w:rPr>
          <w:sz w:val="20"/>
          <w:szCs w:val="20"/>
          <w:color w:val="auto"/>
        </w:rPr>
        <w:tab/>
      </w:r>
      <w:r>
        <w:rPr>
          <w:rFonts w:ascii="Arial" w:cs="Arial" w:eastAsia="Arial" w:hAnsi="Arial"/>
          <w:sz w:val="16"/>
          <w:szCs w:val="16"/>
          <w:color w:val="auto"/>
        </w:rPr>
        <w:t>],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Our Clients:</w:t>
      </w:r>
    </w:p>
    <w:p>
      <w:pPr>
        <w:spacing w:after="0" w:line="117"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Enclosed for your consideration is a Prospectus dated March [ ], 2020 (the “Prospectus”) and the related letter of transmittal (the “Letter of Transmittal”) relating to the offer of Union Pacific Corporation, a Utah corporation (the “Company”), to exchange up to $1,841,950,000 aggregate principal amount of registered 3.839% Notes due 2060 of the Company, which will be freely transferable (the “Exchange Notes”), for any and all of the Company’s outstanding 3.839% Notes due 2060, which have certain transfer restrictions (the “Original Notes”), upon the terms and subject to the conditions described in the Prospectus and the related Letter of Transmittal (the “ Exchange Offer”). The Exchange Offer is intended to satisfy certain obligations of the Company contained in the Registration Rights Agreement, dated as of November 20, 2019 among the Company, Credit Suisse Securities (USA) LLC, Barclays Capital Inc. and Morgan Stanley &amp; Co. LLC, as lead dealer managers, and the other dealer managers listed on Schedule I thereto.</w:t>
      </w:r>
    </w:p>
    <w:p>
      <w:pPr>
        <w:spacing w:after="0" w:line="192"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This material is being forwarded to you as the beneficial owner of the Original Notes carried by us for your account but not registered in your name. A tender of such Original Notes may only be made by us as the holder of record and pursuant to your instructions, unless you obtain a properly completed bond power from us or arrange to have the Original Notes registered in your name.</w:t>
      </w:r>
    </w:p>
    <w:p>
      <w:pPr>
        <w:spacing w:after="0" w:line="181"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Accordingly, we request instructions as to whether you wish us to tender on your behalf the Original Notes held by us for your account, pursuant to the terms and conditions set forth in the enclosed Prospectus and Letter of Transmittal.</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Please forward your instructions to us as promptly as possible in order to permit us to tender the Original Notes on your behalf in accordance with</w:t>
      </w:r>
    </w:p>
    <w:p>
      <w:pPr>
        <w:spacing w:after="0" w:line="4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provisions of the Exchange Offer. The Exchange Offer will expire at 5:00 p.m., New York City time, on [ ], 2020, unless extended by the Company (such date and time, as it may be extended, the “Expiration Date”). Any Original Notes tendered pursuant to the Exchange Offer may be withdrawn any time prior to the Expiration Date.</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Your attention is directed to the following:</w:t>
      </w:r>
    </w:p>
    <w:p>
      <w:pPr>
        <w:spacing w:after="0" w:line="117" w:lineRule="exact"/>
        <w:rPr>
          <w:sz w:val="20"/>
          <w:szCs w:val="20"/>
          <w:color w:val="auto"/>
        </w:rPr>
      </w:pPr>
    </w:p>
    <w:p>
      <w:pPr>
        <w:ind w:left="620" w:hanging="176"/>
        <w:spacing w:after="0"/>
        <w:tabs>
          <w:tab w:leader="none" w:pos="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Exchange Offer is for any and all Original Notes.</w:t>
      </w:r>
    </w:p>
    <w:p>
      <w:pPr>
        <w:spacing w:after="0" w:line="225" w:lineRule="exact"/>
        <w:rPr>
          <w:rFonts w:ascii="Arial" w:cs="Arial" w:eastAsia="Arial" w:hAnsi="Arial"/>
          <w:sz w:val="18"/>
          <w:szCs w:val="18"/>
          <w:color w:val="auto"/>
        </w:rPr>
      </w:pPr>
    </w:p>
    <w:p>
      <w:pPr>
        <w:ind w:right="20" w:firstLine="444"/>
        <w:spacing w:after="0" w:line="277" w:lineRule="auto"/>
        <w:tabs>
          <w:tab w:leader="none" w:pos="621"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Exchange Offer is subject to certain conditions set forth in the Prospectus in the section captioned “The Exchange Offer—Conditions to the Exchange Offer.”</w:t>
      </w:r>
    </w:p>
    <w:p>
      <w:pPr>
        <w:spacing w:after="0" w:line="170" w:lineRule="exact"/>
        <w:rPr>
          <w:rFonts w:ascii="Arial" w:cs="Arial" w:eastAsia="Arial" w:hAnsi="Arial"/>
          <w:sz w:val="18"/>
          <w:szCs w:val="18"/>
          <w:color w:val="auto"/>
        </w:rPr>
      </w:pPr>
    </w:p>
    <w:p>
      <w:pPr>
        <w:ind w:left="620" w:hanging="176"/>
        <w:spacing w:after="0"/>
        <w:tabs>
          <w:tab w:leader="none" w:pos="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Exchange Offer expires at 5:00 p.m., New York City time, on the Expiration Date, unless extended by the Company.</w:t>
      </w:r>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If you wish to have us tender your Original Notes, please instruct us to do so by completing, executing and returning to us the instruction form on the back of this letter.</w:t>
      </w:r>
    </w:p>
    <w:p>
      <w:pPr>
        <w:spacing w:after="0" w:line="170"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The Letter of Transmittal is furnished to you for information only and may not be used directly by you to tender Original Notes, unless you obtain a properly completed bond power from us or arrange to have the Original Notes registered in your name.</w:t>
      </w:r>
    </w:p>
    <w:p>
      <w:pPr>
        <w:sectPr>
          <w:pgSz w:w="11900" w:h="16838" w:orient="portrait"/>
          <w:cols w:equalWidth="0" w:num="1">
            <w:col w:w="11020"/>
          </w:cols>
          <w:pgMar w:left="440" w:top="121" w:right="4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INSTRUCTIONS WITH RESPECT TO THE EXCHANGE OFFER</w:t>
      </w:r>
    </w:p>
    <w:p>
      <w:pPr>
        <w:spacing w:after="0" w:line="225"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The undersigned acknowledge(s) receipt of this letter and the enclosed materials referred to herein relating to the Exchange Offer made by the Company with respect to the Original Notes.</w:t>
      </w:r>
    </w:p>
    <w:p>
      <w:pPr>
        <w:spacing w:after="0" w:line="170"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This will instruct you to tender the Original Notes held by you for the account of the undersigned, upon and subject to the terms and conditions set forth in the Prospectus and the related Letter of Transmittal.</w:t>
      </w:r>
    </w:p>
    <w:p>
      <w:pPr>
        <w:spacing w:after="0" w:line="170" w:lineRule="exact"/>
        <w:rPr>
          <w:sz w:val="20"/>
          <w:szCs w:val="20"/>
          <w:color w:val="auto"/>
        </w:rPr>
      </w:pPr>
    </w:p>
    <w:p>
      <w:pPr>
        <w:ind w:left="660" w:hanging="216"/>
        <w:spacing w:after="0"/>
        <w:tabs>
          <w:tab w:leader="none" w:pos="660" w:val="left"/>
        </w:tabs>
        <w:numPr>
          <w:ilvl w:val="0"/>
          <w:numId w:val="63"/>
        </w:numPr>
        <w:rPr>
          <w:rFonts w:ascii="MS PGothic" w:cs="MS PGothic" w:eastAsia="MS PGothic" w:hAnsi="MS PGothic"/>
          <w:sz w:val="18"/>
          <w:szCs w:val="18"/>
          <w:color w:val="auto"/>
        </w:rPr>
      </w:pPr>
      <w:r>
        <w:rPr>
          <w:rFonts w:ascii="Arial" w:cs="Arial" w:eastAsia="Arial" w:hAnsi="Arial"/>
          <w:sz w:val="18"/>
          <w:szCs w:val="18"/>
          <w:color w:val="auto"/>
        </w:rPr>
        <w:t>Please tender the Original Notes held by you for the account of the undersigned as indicated below:</w:t>
      </w:r>
    </w:p>
    <w:p>
      <w:pPr>
        <w:spacing w:after="0" w:line="131" w:lineRule="exact"/>
        <w:rPr>
          <w:sz w:val="20"/>
          <w:szCs w:val="20"/>
          <w:color w:val="auto"/>
        </w:rPr>
      </w:pPr>
    </w:p>
    <w:p>
      <w:pPr>
        <w:ind w:left="4420" w:right="400"/>
        <w:spacing w:after="0" w:line="277" w:lineRule="auto"/>
        <w:rPr>
          <w:sz w:val="20"/>
          <w:szCs w:val="20"/>
          <w:color w:val="auto"/>
        </w:rPr>
      </w:pPr>
      <w:r>
        <w:rPr>
          <w:rFonts w:ascii="Arial" w:cs="Arial" w:eastAsia="Arial" w:hAnsi="Arial"/>
          <w:sz w:val="18"/>
          <w:szCs w:val="18"/>
          <w:color w:val="auto"/>
        </w:rPr>
        <w:t>Aggregate Principal Amount of Original Notes (must be in an amount equal to $1,000 principal amount or integral multiples of $1,000 in excess thereof)</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2961005</wp:posOffset>
            </wp:positionH>
            <wp:positionV relativeFrom="paragraph">
              <wp:posOffset>-10160</wp:posOffset>
            </wp:positionV>
            <wp:extent cx="348615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3486150" cy="8890"/>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126365</wp:posOffset>
            </wp:positionV>
            <wp:extent cx="40005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20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3.839% Notes due 2060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216"/>
        <w:spacing w:after="0"/>
        <w:tabs>
          <w:tab w:leader="none" w:pos="660" w:val="left"/>
        </w:tabs>
        <w:numPr>
          <w:ilvl w:val="0"/>
          <w:numId w:val="64"/>
        </w:numPr>
        <w:rPr>
          <w:rFonts w:ascii="MS PGothic" w:cs="MS PGothic" w:eastAsia="MS PGothic" w:hAnsi="MS PGothic"/>
          <w:sz w:val="18"/>
          <w:szCs w:val="18"/>
          <w:color w:val="auto"/>
        </w:rPr>
      </w:pPr>
      <w:r>
        <w:rPr>
          <w:rFonts w:ascii="Arial" w:cs="Arial" w:eastAsia="Arial" w:hAnsi="Arial"/>
          <w:sz w:val="18"/>
          <w:szCs w:val="18"/>
          <w:color w:val="auto"/>
        </w:rPr>
        <w:t>Please do not tender any Original Notes held by you for the account of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306705</wp:posOffset>
            </wp:positionV>
            <wp:extent cx="268414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529590</wp:posOffset>
            </wp:positionV>
            <wp:extent cx="268414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924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220980</wp:posOffset>
            </wp:positionV>
            <wp:extent cx="268414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443865</wp:posOffset>
            </wp:positionV>
            <wp:extent cx="268414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Please print name(s) here</w:t>
      </w:r>
    </w:p>
    <w:p>
      <w:pPr>
        <w:spacing w:after="0" w:line="23" w:lineRule="exact"/>
        <w:rPr>
          <w:sz w:val="20"/>
          <w:szCs w:val="20"/>
          <w:color w:val="auto"/>
        </w:rPr>
      </w:pPr>
    </w:p>
    <w:p>
      <w:pPr>
        <w:ind w:left="7160"/>
        <w:spacing w:after="0"/>
        <w:tabs>
          <w:tab w:leader="none" w:pos="83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211455</wp:posOffset>
            </wp:positionV>
            <wp:extent cx="268414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434340</wp:posOffset>
            </wp:positionV>
            <wp:extent cx="268414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9260"/>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220980</wp:posOffset>
            </wp:positionV>
            <wp:extent cx="268414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Area Code(s) and Telephone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220980</wp:posOffset>
            </wp:positionV>
            <wp:extent cx="268414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40"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Tax Identification or Social Security No(s).</w:t>
      </w:r>
    </w:p>
    <w:p>
      <w:pPr>
        <w:spacing w:after="0" w:line="248"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None of the Original Notes held by us for your account will be tendered unless we receive written instructions from you to do so. Unless a specific contrary instruction is given in the space provided, your signature(s) hereon shall constitute an instruction to us to tender all the Original Notes held by us for your account.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99.3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Union Pacific Corporation</w:t>
      </w:r>
    </w:p>
    <w:p>
      <w:pPr>
        <w:spacing w:after="0" w:line="225"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Offer to Exchange up to $1,841,950,000 Principal Amount Outstanding of 3.839% Notes due 2060 for a Like Principal Amount of 3.839% Notes due 2060 which have been registered under the Securities Act of 1933.</w:t>
      </w:r>
    </w:p>
    <w:p>
      <w:pPr>
        <w:spacing w:after="0" w:line="181" w:lineRule="exact"/>
        <w:rPr>
          <w:sz w:val="20"/>
          <w:szCs w:val="20"/>
          <w:color w:val="auto"/>
        </w:rPr>
      </w:pPr>
    </w:p>
    <w:tbl>
      <w:tblPr>
        <w:tblLayout w:type="fixed"/>
        <w:tblInd w:w="348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Arial" w:cs="Arial" w:eastAsia="Arial" w:hAnsi="Arial"/>
                <w:sz w:val="18"/>
                <w:szCs w:val="18"/>
                <w:color w:val="auto"/>
                <w:w w:val="96"/>
              </w:rPr>
              <w:t>Pursuant to the Prospectus, dated March [</w:t>
            </w:r>
          </w:p>
        </w:tc>
        <w:tc>
          <w:tcPr>
            <w:tcW w:w="78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Brokers, Dealers, Commercial Banks, Trust Companies and Other Nominees:</w:t>
      </w:r>
    </w:p>
    <w:p>
      <w:pPr>
        <w:spacing w:after="0" w:line="117" w:lineRule="exact"/>
        <w:rPr>
          <w:sz w:val="20"/>
          <w:szCs w:val="20"/>
          <w:color w:val="auto"/>
        </w:rPr>
      </w:pPr>
    </w:p>
    <w:p>
      <w:pPr>
        <w:ind w:right="200" w:firstLine="441"/>
        <w:spacing w:after="0" w:line="288" w:lineRule="auto"/>
        <w:rPr>
          <w:sz w:val="20"/>
          <w:szCs w:val="20"/>
          <w:color w:val="auto"/>
        </w:rPr>
      </w:pPr>
      <w:r>
        <w:rPr>
          <w:rFonts w:ascii="Arial" w:cs="Arial" w:eastAsia="Arial" w:hAnsi="Arial"/>
          <w:sz w:val="16"/>
          <w:szCs w:val="16"/>
          <w:color w:val="auto"/>
        </w:rPr>
        <w:t>Union Pacific Corporation, a Utah corporation (the “Company”), hereby offers to exchange up to $1,841,950,000 aggregate principal amount of registered 3.839% Notes due 2060 of the Company, which will be freely transferable (the “Exchange Notes”), for any and all of the Company’s outstanding 3.839% Notes due 2060, which have certain transfer restrictions (the “Original Notes”), upon the terms and subject to the conditions</w:t>
      </w:r>
    </w:p>
    <w:p>
      <w:pPr>
        <w:ind w:right="40"/>
        <w:spacing w:after="0" w:line="254" w:lineRule="auto"/>
        <w:rPr>
          <w:sz w:val="20"/>
          <w:szCs w:val="20"/>
          <w:color w:val="auto"/>
        </w:rPr>
      </w:pPr>
      <w:r>
        <w:rPr>
          <w:rFonts w:ascii="Arial" w:cs="Arial" w:eastAsia="Arial" w:hAnsi="Arial"/>
          <w:sz w:val="18"/>
          <w:szCs w:val="18"/>
          <w:color w:val="auto"/>
        </w:rPr>
        <w:t>described in the Prospectus March [ ], 2020 (the “Prospectus”) and the related letter of transmittal (the “Exchange Offer”). The Exchange Offer is intended to satisfy certain obligations of the Company contained in the Registration Rights Agreement, dated as of November 20, 2019, among the Company, Credit Suisse Securities (USA) LLC, Barclays Capital Inc. and Morgan Stanley &amp; Co. LLC, as lead dealer managers, and the other dealer managers listed on Schedule I thereto.</w:t>
      </w:r>
    </w:p>
    <w:p>
      <w:pPr>
        <w:spacing w:after="0" w:line="190" w:lineRule="exact"/>
        <w:rPr>
          <w:sz w:val="20"/>
          <w:szCs w:val="20"/>
          <w:color w:val="auto"/>
        </w:rPr>
      </w:pPr>
    </w:p>
    <w:p>
      <w:pPr>
        <w:ind w:right="320" w:firstLine="441"/>
        <w:spacing w:after="0" w:line="264" w:lineRule="auto"/>
        <w:rPr>
          <w:sz w:val="20"/>
          <w:szCs w:val="20"/>
          <w:color w:val="auto"/>
        </w:rPr>
      </w:pPr>
      <w:r>
        <w:rPr>
          <w:rFonts w:ascii="Arial" w:cs="Arial" w:eastAsia="Arial" w:hAnsi="Arial"/>
          <w:sz w:val="18"/>
          <w:szCs w:val="18"/>
          <w:color w:val="auto"/>
        </w:rPr>
        <w:t>We are requesting that you contact your clients for whom you hold Original Notes regarding the Exchange Offer. For your information and for forwarding to your clients for whom you hold Original Notes registered in your name or in the name of your nominee, or who hold Original Notes registered in their own names, we are enclosing the following documents:</w:t>
      </w:r>
    </w:p>
    <w:p>
      <w:pPr>
        <w:spacing w:after="0" w:line="73"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1. Prospectus dated March [</w:t>
            </w:r>
          </w:p>
        </w:tc>
        <w:tc>
          <w:tcPr>
            <w:tcW w:w="84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202" w:lineRule="exact"/>
        <w:rPr>
          <w:sz w:val="20"/>
          <w:szCs w:val="20"/>
          <w:color w:val="auto"/>
        </w:rPr>
      </w:pPr>
    </w:p>
    <w:p>
      <w:pPr>
        <w:ind w:left="620" w:hanging="176"/>
        <w:spacing w:after="0"/>
        <w:tabs>
          <w:tab w:leader="none" w:pos="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related letter of transmittal (the “Letter of Transmittal”) for your use and for the information of your clients;</w:t>
      </w:r>
    </w:p>
    <w:p>
      <w:pPr>
        <w:spacing w:after="0" w:line="225" w:lineRule="exact"/>
        <w:rPr>
          <w:rFonts w:ascii="Arial" w:cs="Arial" w:eastAsia="Arial" w:hAnsi="Arial"/>
          <w:sz w:val="18"/>
          <w:szCs w:val="18"/>
          <w:color w:val="auto"/>
        </w:rPr>
      </w:pPr>
    </w:p>
    <w:p>
      <w:pPr>
        <w:ind w:right="420" w:firstLine="444"/>
        <w:spacing w:after="0" w:line="277" w:lineRule="auto"/>
        <w:tabs>
          <w:tab w:leader="none" w:pos="621"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form of letter which may be sent to your clients for whose account you hold Original Notes registered in your name or the name of your nominee, with space provided for obtaining such clients’ instructions with regard to the Exchange Offer;</w:t>
      </w:r>
    </w:p>
    <w:p>
      <w:pPr>
        <w:spacing w:after="0" w:line="170" w:lineRule="exact"/>
        <w:rPr>
          <w:rFonts w:ascii="Arial" w:cs="Arial" w:eastAsia="Arial" w:hAnsi="Arial"/>
          <w:sz w:val="18"/>
          <w:szCs w:val="18"/>
          <w:color w:val="auto"/>
        </w:rPr>
      </w:pPr>
    </w:p>
    <w:p>
      <w:pPr>
        <w:ind w:left="620" w:hanging="176"/>
        <w:spacing w:after="0"/>
        <w:tabs>
          <w:tab w:leader="none" w:pos="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Guidelines for Certification of Taxpayer Identification Number on Substitute Form W-9; and</w:t>
      </w:r>
    </w:p>
    <w:p>
      <w:pPr>
        <w:spacing w:after="0" w:line="225" w:lineRule="exact"/>
        <w:rPr>
          <w:rFonts w:ascii="Arial" w:cs="Arial" w:eastAsia="Arial" w:hAnsi="Arial"/>
          <w:sz w:val="18"/>
          <w:szCs w:val="18"/>
          <w:color w:val="auto"/>
        </w:rPr>
      </w:pPr>
    </w:p>
    <w:p>
      <w:pPr>
        <w:ind w:left="620" w:hanging="176"/>
        <w:spacing w:after="0"/>
        <w:tabs>
          <w:tab w:leader="none" w:pos="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Return envelopes addressed to The Bank of New York Mellon Trust Company, N.A., the Exchange Agent.</w:t>
      </w:r>
    </w:p>
    <w:p>
      <w:pPr>
        <w:spacing w:after="0" w:line="225"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Your prompt action is requested. The Exchange Offer will expire at 5:00 p.m., New York City time, on , 2020, unless extended by the Company (such date and time, as it may be extended, the “Expiration Date”). Any Original Notes tendered pursuant to the Exchange Offer may be withdrawn at any time prior to the Expiration Date.</w:t>
      </w:r>
    </w:p>
    <w:p>
      <w:pPr>
        <w:spacing w:after="0" w:line="181"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To participate in the Exchange Offer, a duly executed and properly completed Letter of Transmittal (or facsimile thereof), with any required signature guarantees, and any other documents required by the Letter of Transmittal or an agent’s message from The Depository Trust Company stating that the tendering holder has expressly acknowledged receipt of, and agrees to be bound by and held accountable under, the Letter of Transmittal, must be sent to the Exchange Agent and certificates representing the Original Notes (or confirmation of book-entry transfer of such Original Notes into the Exchange Agent’s account at The Depository Trust Company) must be delivered to the Exchange Agent, all in accordance with the instructions set forth in the Letter of Transmittal and the Prospectus.</w:t>
      </w:r>
    </w:p>
    <w:p>
      <w:pPr>
        <w:sectPr>
          <w:pgSz w:w="11900" w:h="16838" w:orient="portrait"/>
          <w:cols w:equalWidth="0" w:num="1">
            <w:col w:w="11020"/>
          </w:cols>
          <w:pgMar w:left="440" w:top="121" w:right="439" w:bottom="1440" w:gutter="0" w:footer="0" w:header="0"/>
        </w:sectPr>
      </w:pPr>
    </w:p>
    <w:bookmarkStart w:id="77" w:name="page78"/>
    <w:bookmarkEnd w:id="77"/>
    <w:p>
      <w:pPr>
        <w:ind w:firstLine="44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inquiries you may have with respect to the procedure for tendering Original Notes or requests for additional copies of the enclosed materials should be directed to the Exchange Agent at its address and telephone number set forth on the front of the Letter of Transmittal.</w:t>
      </w:r>
    </w:p>
    <w:p>
      <w:pPr>
        <w:spacing w:after="0" w:line="14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Union Pacific Corporation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NOTHING HEREIN OR IN THE ENCLOSED DOCUMENTS SHALL CONSTITUTE YOU OR ANY OTHER PERSON AS AN AGENT OF THE COMPANY OR THE EXCHANGE AGENT, OR AUTHORIZE YOU OR ANY OTHER PERSON TO USE ANY DOCUMENT OR MAKE ANY STATEMENTS ON BEHALF OF ANY OF THEM WITH RESPECT TO THE EXCHANGE OFFER, EXCEPT FOR STATEMENTS EXPRESSLY MADE IN THE PROSPECTUS OR THE LETTER OF TRANSMITTAL.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sectPr>
      <w:pgSz w:w="11900" w:h="16838" w:orient="portrait"/>
      <w:cols w:equalWidth="0" w:num="1">
        <w:col w:w="10900"/>
      </w:cols>
      <w:pgMar w:left="440" w:top="27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1)"/>
      <w:numFmt w:val="decimal"/>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lowerLetter"/>
      <w:start w:val="1"/>
    </w:lvl>
    <w:lvl w:ilvl="1">
      <w:lvlJc w:val="left"/>
      <w:lvlText w:val="-"/>
      <w:numFmt w:val="bullet"/>
      <w:start w:val="1"/>
    </w:lvl>
  </w:abstractNum>
  <w:abstractNum w:abstractNumId="3">
    <w:nsid w:val="419AC241"/>
    <w:multiLevelType w:val="hybridMultilevel"/>
    <w:lvl w:ilvl="0">
      <w:lvlJc w:val="left"/>
      <w:lvlText w:val="(%1)"/>
      <w:numFmt w:val="decimal"/>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1."/>
      <w:numFmt w:val="decimal"/>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1."/>
      <w:numFmt w:val="decimal"/>
      <w:start w:val="1"/>
    </w:lvl>
    <w:lvl w:ilvl="1">
      <w:lvlJc w:val="left"/>
      <w:lvlText w:val="-"/>
      <w:numFmt w:val="bullet"/>
      <w:start w:val="1"/>
    </w:lvl>
  </w:abstractNum>
  <w:abstractNum w:abstractNumId="8">
    <w:nsid w:val="77465F01"/>
    <w:multiLevelType w:val="hybridMultilevel"/>
    <w:lvl w:ilvl="0">
      <w:lvlJc w:val="left"/>
      <w:lvlText w:val="%1."/>
      <w:numFmt w:val="decimal"/>
      <w:start w:val="3"/>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1)"/>
      <w:numFmt w:val="decimal"/>
      <w:start w:val="1"/>
    </w:lvl>
    <w:lvl w:ilvl="1">
      <w:lvlJc w:val="left"/>
      <w:lvlText w:val="-"/>
      <w:numFmt w:val="bullet"/>
      <w:start w:val="1"/>
    </w:lvl>
  </w:abstractNum>
  <w:abstractNum w:abstractNumId="11">
    <w:nsid w:val="2463B9EA"/>
    <w:multiLevelType w:val="hybridMultilevel"/>
    <w:lvl w:ilvl="0">
      <w:lvlJc w:val="left"/>
      <w:lvlText w:val="(%1)"/>
      <w:numFmt w:val="decimal"/>
      <w:start w:val="2"/>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lvl w:ilvl="1">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1)"/>
      <w:numFmt w:val="decimal"/>
      <w:start w:val="1"/>
    </w:lvl>
    <w:lvl w:ilvl="1">
      <w:lvlJc w:val="left"/>
      <w:lvlText w:val="-"/>
      <w:numFmt w:val="bullet"/>
      <w:start w:val="1"/>
    </w:lvl>
  </w:abstractNum>
  <w:abstractNum w:abstractNumId="22">
    <w:nsid w:val="725A06FB"/>
    <w:multiLevelType w:val="hybridMultilevel"/>
    <w:lvl w:ilvl="0">
      <w:lvlJc w:val="left"/>
      <w:lvlText w:val="(%1)"/>
      <w:numFmt w:val="decimal"/>
      <w:start w:val="3"/>
    </w:lvl>
  </w:abstractNum>
  <w:abstractNum w:abstractNumId="23">
    <w:nsid w:val="2CD89A32"/>
    <w:multiLevelType w:val="hybridMultilevel"/>
    <w:lvl w:ilvl="0">
      <w:lvlJc w:val="left"/>
      <w:lvlText w:val="•"/>
      <w:numFmt w:val="bullet"/>
      <w:start w:val="1"/>
    </w:lvl>
    <w:lvl w:ilvl="1">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7">
    <w:nsid w:val="542289EC"/>
    <w:multiLevelType w:val="hybridMultilevel"/>
    <w:lvl w:ilvl="0">
      <w:lvlJc w:val="left"/>
      <w:lvlText w:val="(%1)"/>
      <w:numFmt w:val="decimal"/>
      <w:start w:val="4"/>
    </w:lvl>
    <w:lvl w:ilvl="1">
      <w:lvlJc w:val="left"/>
      <w:lvlText w:val="(%2)"/>
      <w:numFmt w:val="lowerRoman"/>
      <w:start w:val="1"/>
    </w:lvl>
  </w:abstractNum>
  <w:abstractNum w:abstractNumId="28">
    <w:nsid w:val="6DE91B18"/>
    <w:multiLevelType w:val="hybridMultilevel"/>
    <w:lvl w:ilvl="0">
      <w:lvlJc w:val="left"/>
      <w:lvlText w:val="%1"/>
      <w:numFmt w:val="lowerLetter"/>
      <w:start w:val="1"/>
    </w:lvl>
    <w:lvl w:ilvl="1">
      <w:lvlJc w:val="left"/>
      <w:lvlText w:val="(%2)"/>
      <w:numFmt w:val="lowerRoman"/>
      <w:start w:val="1"/>
    </w:lvl>
  </w:abstractNum>
  <w:abstractNum w:abstractNumId="29">
    <w:nsid w:val="38437FDB"/>
    <w:multiLevelType w:val="hybridMultilevel"/>
    <w:lvl w:ilvl="0">
      <w:lvlJc w:val="left"/>
      <w:lvlText w:val="(%1)"/>
      <w:numFmt w:val="lowerLetter"/>
      <w:start w:val="2"/>
    </w:lvl>
    <w:lvl w:ilvl="1">
      <w:lvlJc w:val="left"/>
      <w:lvlText w:val="%2"/>
      <w:numFmt w:val="lowerRoman"/>
      <w:start w:val="1"/>
    </w:lvl>
  </w:abstractNum>
  <w:abstractNum w:abstractNumId="30">
    <w:nsid w:val="7644A45C"/>
    <w:multiLevelType w:val="hybridMultilevel"/>
    <w:lvl w:ilvl="0">
      <w:lvlJc w:val="left"/>
      <w:lvlText w:val="(%1)"/>
      <w:numFmt w:val="lowerLetter"/>
      <w:start w:val="4"/>
    </w:lvl>
  </w:abstractNum>
  <w:abstractNum w:abstractNumId="31">
    <w:nsid w:val="32FFF902"/>
    <w:multiLevelType w:val="hybridMultilevel"/>
    <w:lvl w:ilvl="0">
      <w:lvlJc w:val="left"/>
      <w:lvlText w:val="%1"/>
      <w:numFmt w:val="decimal"/>
      <w:start w:val="24"/>
    </w:lvl>
  </w:abstractNum>
  <w:abstractNum w:abstractNumId="32">
    <w:nsid w:val="684A481A"/>
    <w:multiLevelType w:val="hybridMultilevel"/>
    <w:lvl w:ilvl="0">
      <w:lvlJc w:val="left"/>
      <w:lvlText w:val="(%1)"/>
      <w:numFmt w:val="lowerRoman"/>
      <w:start w:val="2"/>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1."/>
      <w:numFmt w:val="decimal"/>
      <w:start w:val="1"/>
    </w:lvl>
    <w:lvl w:ilvl="1">
      <w:lvlJc w:val="left"/>
      <w:lvlText w:val="(%2)"/>
      <w:numFmt w:val="lowerLetter"/>
      <w:start w:val="1"/>
    </w:lvl>
  </w:abstractNum>
  <w:abstractNum w:abstractNumId="35">
    <w:nsid w:val="3DC240FB"/>
    <w:multiLevelType w:val="hybridMultilevel"/>
    <w:lvl w:ilvl="0">
      <w:lvlJc w:val="left"/>
      <w:lvlText w:val="%1."/>
      <w:numFmt w:val="decimal"/>
      <w:start w:val="2"/>
    </w:lvl>
  </w:abstractNum>
  <w:abstractNum w:abstractNumId="36">
    <w:nsid w:val="1BA026FA"/>
    <w:multiLevelType w:val="hybridMultilevel"/>
    <w:lvl w:ilvl="0">
      <w:lvlJc w:val="left"/>
      <w:lvlText w:val="%1."/>
      <w:numFmt w:val="decimal"/>
      <w:start w:val="16"/>
    </w:lvl>
    <w:lvl w:ilvl="1">
      <w:lvlJc w:val="left"/>
      <w:lvlText w:val="%2."/>
      <w:numFmt w:val="decimal"/>
      <w:start w:val="1"/>
    </w:lvl>
    <w:lvl w:ilvl="2">
      <w:lvlJc w:val="left"/>
      <w:lvlText w:val="-"/>
      <w:numFmt w:val="bullet"/>
      <w:start w:val="1"/>
    </w:lvl>
  </w:abstractNum>
  <w:abstractNum w:abstractNumId="37">
    <w:nsid w:val="79A1DEAA"/>
    <w:multiLevelType w:val="hybridMultilevel"/>
    <w:lvl w:ilvl="0">
      <w:lvlJc w:val="left"/>
      <w:lvlText w:val="%1."/>
      <w:numFmt w:val="decimal"/>
      <w:start w:val="4"/>
    </w:lvl>
  </w:abstractNum>
  <w:abstractNum w:abstractNumId="38">
    <w:nsid w:val="75C6C33A"/>
    <w:multiLevelType w:val="hybridMultilevel"/>
    <w:lvl w:ilvl="0">
      <w:lvlJc w:val="left"/>
      <w:lvlText w:val="%1."/>
      <w:numFmt w:val="decimal"/>
      <w:start w:val="6"/>
    </w:lvl>
    <w:lvl w:ilvl="1">
      <w:lvlJc w:val="left"/>
      <w:lvlText w:val="-"/>
      <w:numFmt w:val="bullet"/>
      <w:start w:val="1"/>
    </w:lvl>
  </w:abstractNum>
  <w:abstractNum w:abstractNumId="39">
    <w:nsid w:val="12E685FB"/>
    <w:multiLevelType w:val="hybridMultilevel"/>
    <w:lvl w:ilvl="0">
      <w:lvlJc w:val="left"/>
      <w:lvlText w:val="(%1)"/>
      <w:numFmt w:val="lowerRoman"/>
      <w:start w:val="3"/>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1."/>
      <w:numFmt w:val="decimal"/>
      <w:start w:val="1"/>
    </w:lvl>
  </w:abstractNum>
  <w:abstractNum w:abstractNumId="44">
    <w:nsid w:val="23F9C13C"/>
    <w:multiLevelType w:val="hybridMultilevel"/>
    <w:lvl w:ilvl="0">
      <w:lvlJc w:val="left"/>
      <w:lvlText w:val="%1."/>
      <w:numFmt w:val="decimal"/>
      <w:start w:val="2"/>
    </w:lvl>
  </w:abstractNum>
  <w:abstractNum w:abstractNumId="45">
    <w:nsid w:val="649BB77C"/>
    <w:multiLevelType w:val="hybridMultilevel"/>
    <w:lvl w:ilvl="0">
      <w:lvlJc w:val="left"/>
      <w:lvlText w:val="%1."/>
      <w:numFmt w:val="decimal"/>
      <w:start w:val="3"/>
    </w:lvl>
  </w:abstractNum>
  <w:abstractNum w:abstractNumId="46">
    <w:nsid w:val="275AC794"/>
    <w:multiLevelType w:val="hybridMultilevel"/>
    <w:lvl w:ilvl="0">
      <w:lvlJc w:val="left"/>
      <w:lvlText w:val="%1."/>
      <w:numFmt w:val="decimal"/>
      <w:start w:val="4"/>
    </w:lvl>
  </w:abstractNum>
  <w:abstractNum w:abstractNumId="47">
    <w:nsid w:val="39386575"/>
    <w:multiLevelType w:val="hybridMultilevel"/>
    <w:lvl w:ilvl="0">
      <w:lvlJc w:val="left"/>
      <w:lvlText w:val="%1."/>
      <w:numFmt w:val="decimal"/>
      <w:start w:val="5"/>
    </w:lvl>
  </w:abstractNum>
  <w:abstractNum w:abstractNumId="48">
    <w:nsid w:val="1CF10FD8"/>
    <w:multiLevelType w:val="hybridMultilevel"/>
    <w:lvl w:ilvl="0">
      <w:lvlJc w:val="left"/>
      <w:lvlText w:val="%1."/>
      <w:numFmt w:val="decimal"/>
      <w:start w:val="6"/>
    </w:lvl>
  </w:abstractNum>
  <w:abstractNum w:abstractNumId="49">
    <w:nsid w:val="180115BE"/>
    <w:multiLevelType w:val="hybridMultilevel"/>
    <w:lvl w:ilvl="0">
      <w:lvlJc w:val="left"/>
      <w:lvlText w:val="%1."/>
      <w:numFmt w:val="decimal"/>
      <w:start w:val="7"/>
    </w:lvl>
  </w:abstractNum>
  <w:abstractNum w:abstractNumId="50">
    <w:nsid w:val="235BA861"/>
    <w:multiLevelType w:val="hybridMultilevel"/>
    <w:lvl w:ilvl="0">
      <w:lvlJc w:val="left"/>
      <w:lvlText w:val="%1."/>
      <w:numFmt w:val="decimal"/>
      <w:start w:val="8"/>
    </w:lvl>
  </w:abstractNum>
  <w:abstractNum w:abstractNumId="51">
    <w:nsid w:val="47398C89"/>
    <w:multiLevelType w:val="hybridMultilevel"/>
    <w:lvl w:ilvl="0">
      <w:lvlJc w:val="left"/>
      <w:lvlText w:val="%1."/>
      <w:numFmt w:val="decimal"/>
      <w:start w:val="9"/>
    </w:lvl>
  </w:abstractNum>
  <w:abstractNum w:abstractNumId="52">
    <w:nsid w:val="354FE9F9"/>
    <w:multiLevelType w:val="hybridMultilevel"/>
    <w:lvl w:ilvl="0">
      <w:lvlJc w:val="left"/>
      <w:lvlText w:val="%1."/>
      <w:numFmt w:val="decimal"/>
      <w:start w:val="10"/>
    </w:lvl>
  </w:abstractNum>
  <w:abstractNum w:abstractNumId="53">
    <w:nsid w:val="15B5AF5C"/>
    <w:multiLevelType w:val="hybridMultilevel"/>
    <w:lvl w:ilvl="0">
      <w:lvlJc w:val="left"/>
      <w:lvlText w:val="%1."/>
      <w:numFmt w:val="decimal"/>
      <w:start w:val="1"/>
    </w:lvl>
  </w:abstractNum>
  <w:abstractNum w:abstractNumId="54">
    <w:nsid w:val="741226BB"/>
    <w:multiLevelType w:val="hybridMultilevel"/>
    <w:lvl w:ilvl="0">
      <w:lvlJc w:val="left"/>
      <w:lvlText w:val="(%1)"/>
      <w:numFmt w:val="decimal"/>
      <w:start w:val="1"/>
    </w:lvl>
  </w:abstractNum>
  <w:abstractNum w:abstractNumId="55">
    <w:nsid w:val="D34B6A8"/>
    <w:multiLevelType w:val="hybridMultilevel"/>
    <w:lvl w:ilvl="0">
      <w:lvlJc w:val="left"/>
      <w:lvlText w:val="(%1)"/>
      <w:numFmt w:val="decimal"/>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1)"/>
      <w:numFmt w:val="decimal"/>
      <w:start w:val="1"/>
    </w:lvl>
  </w:abstractNum>
  <w:abstractNum w:abstractNumId="61">
    <w:nsid w:val="579BE4F1"/>
    <w:multiLevelType w:val="hybridMultilevel"/>
    <w:lvl w:ilvl="0">
      <w:lvlJc w:val="left"/>
      <w:lvlText w:val="%1."/>
      <w:numFmt w:val="decimal"/>
      <w:start w:val="1"/>
    </w:lvl>
  </w:abstractNum>
  <w:abstractNum w:abstractNumId="62">
    <w:nsid w:val="310C50B3"/>
    <w:multiLevelType w:val="hybridMultilevel"/>
    <w:lvl w:ilvl="0">
      <w:lvlJc w:val="left"/>
      <w:lvlText w:val="☐"/>
      <w:numFmt w:val="bullet"/>
      <w:start w:val="1"/>
    </w:lvl>
  </w:abstractNum>
  <w:abstractNum w:abstractNumId="63">
    <w:nsid w:val="5FF87E05"/>
    <w:multiLevelType w:val="hybridMultilevel"/>
    <w:lvl w:ilvl="0">
      <w:lvlJc w:val="left"/>
      <w:lvlText w:val="☐"/>
      <w:numFmt w:val="bullet"/>
      <w:start w:val="1"/>
    </w:lvl>
  </w:abstractNum>
  <w:abstractNum w:abstractNumId="64">
    <w:nsid w:val="2F305DEF"/>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jpe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28" Type="http://schemas.openxmlformats.org/officeDocument/2006/relationships/hyperlink" Target="http://www.sec.gov/ix?doc=/Archives/edgar/data/100885/000010088520000065/unp-20191231x10k.htm" TargetMode="External"/><Relationship Id="rId29" Type="http://schemas.openxmlformats.org/officeDocument/2006/relationships/hyperlink" Target="http://www.sec.gov/ix?doc=/Archives/edgar/data/100885/000010088520000046/unp-20200131x8k.htm" TargetMode="External"/><Relationship Id="rId30" Type="http://schemas.openxmlformats.org/officeDocument/2006/relationships/hyperlink" Target="http://www.sec.gov/ix?doc=/Archives/edgar/data/100885/000010088520000088/unp-20200218x8k.htm" TargetMode="External"/><Relationship Id="rId80" Type="http://schemas.openxmlformats.org/officeDocument/2006/relationships/hyperlink" Target="http://www.sec.gov/Archives/edgar/data/100885/000119312514280047/d761509dex3a.htm" TargetMode="External"/><Relationship Id="rId81" Type="http://schemas.openxmlformats.org/officeDocument/2006/relationships/hyperlink" Target="http://www.sec.gov/Archives/edgar/data/100885/000010088515000208/unp-20151119ex32a605ee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2020-03-03T13:31:52Z</dcterms:created>
  <dcterms:modified xsi:type="dcterms:W3CDTF">2020-03-03T13:31:52Z</dcterms:modified>
</cp:coreProperties>
</file>