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149225</wp:posOffset>
            </wp:positionV>
            <wp:extent cx="56000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00065" cy="1714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123190</wp:posOffset>
            </wp:positionV>
            <wp:extent cx="5600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jc w:val="center"/>
        <w:spacing w:after="0" w:line="208" w:lineRule="auto"/>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ind w:left="100"/>
        <w:spacing w:after="0"/>
        <w:rPr>
          <w:sz w:val="20"/>
          <w:szCs w:val="20"/>
          <w:color w:val="auto"/>
        </w:rPr>
      </w:pPr>
      <w:r>
        <w:rPr>
          <w:rFonts w:ascii="Arial" w:cs="Arial" w:eastAsia="Arial" w:hAnsi="Arial"/>
          <w:sz w:val="16"/>
          <w:szCs w:val="16"/>
          <w:i w:val="1"/>
          <w:iCs w:val="1"/>
          <w:color w:val="auto"/>
        </w:rPr>
        <w:t>(Mark One)</w:t>
      </w:r>
    </w:p>
    <w:p>
      <w:pPr>
        <w:spacing w:after="0" w:line="151" w:lineRule="exact"/>
        <w:rPr>
          <w:sz w:val="24"/>
          <w:szCs w:val="24"/>
          <w:color w:val="auto"/>
        </w:rPr>
      </w:pPr>
    </w:p>
    <w:p>
      <w:pPr>
        <w:ind w:left="560" w:right="459" w:hanging="455"/>
        <w:spacing w:after="0" w:line="227" w:lineRule="auto"/>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jc w:val="center"/>
        <w:spacing w:after="0" w:line="238" w:lineRule="auto"/>
        <w:rPr>
          <w:sz w:val="20"/>
          <w:szCs w:val="20"/>
          <w:color w:val="auto"/>
        </w:rPr>
      </w:pPr>
      <w:r>
        <w:rPr>
          <w:rFonts w:ascii="Arial" w:cs="Arial" w:eastAsia="Arial" w:hAnsi="Arial"/>
          <w:sz w:val="22"/>
          <w:szCs w:val="22"/>
          <w:b w:val="1"/>
          <w:bCs w:val="1"/>
          <w:color w:val="auto"/>
        </w:rPr>
        <w:t>For the quarterly period ended June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61" w:lineRule="exact"/>
        <w:rPr>
          <w:sz w:val="24"/>
          <w:szCs w:val="24"/>
          <w:color w:val="auto"/>
        </w:rPr>
      </w:pPr>
    </w:p>
    <w:p>
      <w:pPr>
        <w:ind w:left="500" w:right="499" w:hanging="395"/>
        <w:spacing w:after="0" w:line="227"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5"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For the transition period from __________ to ____________</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Commission File Number 1-6075</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UNION PACIFIC CORPORATION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Exact name of registrant as specified in its charter)</w:t>
      </w:r>
    </w:p>
    <w:p>
      <w:pPr>
        <w:spacing w:after="0" w:line="44" w:lineRule="exact"/>
        <w:rPr>
          <w:sz w:val="24"/>
          <w:szCs w:val="24"/>
          <w:color w:val="auto"/>
        </w:rPr>
      </w:pPr>
    </w:p>
    <w:tbl>
      <w:tblPr>
        <w:tblLayout w:type="fixed"/>
        <w:tblInd w:w="900" w:type="dxa"/>
        <w:tblCellMar>
          <w:top w:w="0" w:type="dxa"/>
          <w:left w:w="0" w:type="dxa"/>
          <w:bottom w:w="0" w:type="dxa"/>
          <w:right w:w="0" w:type="dxa"/>
        </w:tblCellMar>
      </w:tblPr>
      <w:tr>
        <w:trPr>
          <w:trHeight w:val="230"/>
        </w:trPr>
        <w:tc>
          <w:tcPr>
            <w:tcW w:w="3840" w:type="dxa"/>
            <w:vAlign w:val="bottom"/>
          </w:tcPr>
          <w:p>
            <w:pPr>
              <w:jc w:val="center"/>
              <w:ind w:right="1530"/>
              <w:spacing w:after="0"/>
              <w:rPr>
                <w:sz w:val="20"/>
                <w:szCs w:val="20"/>
                <w:color w:val="auto"/>
              </w:rPr>
            </w:pPr>
            <w:r>
              <w:rPr>
                <w:rFonts w:ascii="Arial" w:cs="Arial" w:eastAsia="Arial" w:hAnsi="Arial"/>
                <w:sz w:val="20"/>
                <w:szCs w:val="20"/>
                <w:b w:val="1"/>
                <w:bCs w:val="1"/>
                <w:color w:val="auto"/>
                <w:w w:val="97"/>
              </w:rPr>
              <w:t>UTAH</w:t>
            </w:r>
          </w:p>
        </w:tc>
        <w:tc>
          <w:tcPr>
            <w:tcW w:w="2940" w:type="dxa"/>
            <w:vAlign w:val="bottom"/>
          </w:tcPr>
          <w:p>
            <w:pPr>
              <w:jc w:val="center"/>
              <w:ind w:left="1510"/>
              <w:spacing w:after="0"/>
              <w:rPr>
                <w:sz w:val="20"/>
                <w:szCs w:val="20"/>
                <w:color w:val="auto"/>
              </w:rPr>
            </w:pPr>
            <w:r>
              <w:rPr>
                <w:rFonts w:ascii="Arial" w:cs="Arial" w:eastAsia="Arial" w:hAnsi="Arial"/>
                <w:sz w:val="20"/>
                <w:szCs w:val="20"/>
                <w:b w:val="1"/>
                <w:bCs w:val="1"/>
                <w:color w:val="auto"/>
                <w:w w:val="99"/>
              </w:rPr>
              <w:t>13-2626465</w:t>
            </w:r>
          </w:p>
        </w:tc>
      </w:tr>
      <w:tr>
        <w:trPr>
          <w:trHeight w:val="176"/>
        </w:trPr>
        <w:tc>
          <w:tcPr>
            <w:tcW w:w="3840" w:type="dxa"/>
            <w:vAlign w:val="bottom"/>
          </w:tcPr>
          <w:p>
            <w:pPr>
              <w:jc w:val="center"/>
              <w:ind w:right="1530"/>
              <w:spacing w:after="0" w:line="176" w:lineRule="exact"/>
              <w:rPr>
                <w:sz w:val="20"/>
                <w:szCs w:val="20"/>
                <w:color w:val="auto"/>
              </w:rPr>
            </w:pPr>
            <w:r>
              <w:rPr>
                <w:rFonts w:ascii="Arial" w:cs="Arial" w:eastAsia="Arial" w:hAnsi="Arial"/>
                <w:sz w:val="17"/>
                <w:szCs w:val="17"/>
                <w:color w:val="auto"/>
              </w:rPr>
              <w:t>(State or other jurisdiction of</w:t>
            </w:r>
          </w:p>
        </w:tc>
        <w:tc>
          <w:tcPr>
            <w:tcW w:w="2940" w:type="dxa"/>
            <w:vAlign w:val="bottom"/>
          </w:tcPr>
          <w:p>
            <w:pPr>
              <w:jc w:val="center"/>
              <w:ind w:left="1510"/>
              <w:spacing w:after="0" w:line="176" w:lineRule="exact"/>
              <w:rPr>
                <w:sz w:val="20"/>
                <w:szCs w:val="20"/>
                <w:color w:val="auto"/>
              </w:rPr>
            </w:pPr>
            <w:r>
              <w:rPr>
                <w:rFonts w:ascii="Arial" w:cs="Arial" w:eastAsia="Arial" w:hAnsi="Arial"/>
                <w:sz w:val="17"/>
                <w:szCs w:val="17"/>
                <w:color w:val="auto"/>
              </w:rPr>
              <w:t>(I.R.S. Employer</w:t>
            </w:r>
          </w:p>
        </w:tc>
      </w:tr>
      <w:tr>
        <w:trPr>
          <w:trHeight w:val="205"/>
        </w:trPr>
        <w:tc>
          <w:tcPr>
            <w:tcW w:w="3840" w:type="dxa"/>
            <w:vAlign w:val="bottom"/>
          </w:tcPr>
          <w:p>
            <w:pPr>
              <w:jc w:val="center"/>
              <w:ind w:right="1530"/>
              <w:spacing w:after="0"/>
              <w:rPr>
                <w:sz w:val="20"/>
                <w:szCs w:val="20"/>
                <w:color w:val="auto"/>
              </w:rPr>
            </w:pPr>
            <w:r>
              <w:rPr>
                <w:rFonts w:ascii="Arial" w:cs="Arial" w:eastAsia="Arial" w:hAnsi="Arial"/>
                <w:sz w:val="17"/>
                <w:szCs w:val="17"/>
                <w:color w:val="auto"/>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7"/>
                <w:szCs w:val="17"/>
                <w:color w:val="auto"/>
              </w:rPr>
              <w:t>Identification No.)</w:t>
            </w:r>
          </w:p>
        </w:tc>
      </w:tr>
    </w:tbl>
    <w:p>
      <w:pPr>
        <w:spacing w:after="0" w:line="5" w:lineRule="exact"/>
        <w:rPr>
          <w:sz w:val="24"/>
          <w:szCs w:val="24"/>
          <w:color w:val="auto"/>
        </w:rPr>
      </w:pPr>
    </w:p>
    <w:p>
      <w:pPr>
        <w:ind w:left="2620"/>
        <w:spacing w:after="0"/>
        <w:rPr>
          <w:sz w:val="20"/>
          <w:szCs w:val="20"/>
          <w:color w:val="auto"/>
        </w:rPr>
      </w:pPr>
      <w:r>
        <w:rPr>
          <w:rFonts w:ascii="Arial" w:cs="Arial" w:eastAsia="Arial" w:hAnsi="Arial"/>
          <w:sz w:val="17"/>
          <w:szCs w:val="17"/>
          <w:b w:val="1"/>
          <w:bCs w:val="1"/>
          <w:color w:val="auto"/>
        </w:rPr>
        <w:t>1400 DOUGLAS STREET, OMAHA, NEBRASKA</w:t>
      </w:r>
    </w:p>
    <w:p>
      <w:pPr>
        <w:ind w:left="3060"/>
        <w:spacing w:after="0"/>
        <w:rPr>
          <w:sz w:val="20"/>
          <w:szCs w:val="20"/>
          <w:color w:val="auto"/>
        </w:rPr>
      </w:pPr>
      <w:r>
        <w:rPr>
          <w:rFonts w:ascii="Arial" w:cs="Arial" w:eastAsia="Arial" w:hAnsi="Arial"/>
          <w:sz w:val="17"/>
          <w:szCs w:val="17"/>
          <w:color w:val="auto"/>
        </w:rPr>
        <w:t>(Address of principal executive offices)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68179</w:t>
      </w:r>
    </w:p>
    <w:p>
      <w:pPr>
        <w:jc w:val="center"/>
        <w:spacing w:after="0"/>
        <w:rPr>
          <w:sz w:val="20"/>
          <w:szCs w:val="20"/>
          <w:color w:val="auto"/>
        </w:rPr>
      </w:pPr>
      <w:r>
        <w:rPr>
          <w:rFonts w:ascii="Arial" w:cs="Arial" w:eastAsia="Arial" w:hAnsi="Arial"/>
          <w:sz w:val="17"/>
          <w:szCs w:val="17"/>
          <w:color w:val="auto"/>
        </w:rPr>
        <w:t>(Zip Code)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(402) 544-5000</w:t>
      </w: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48" w:lineRule="exact"/>
        <w:rPr>
          <w:sz w:val="24"/>
          <w:szCs w:val="24"/>
          <w:color w:val="auto"/>
        </w:rPr>
      </w:pPr>
    </w:p>
    <w:p>
      <w:pPr>
        <w:jc w:val="both"/>
        <w:ind w:left="100" w:right="99"/>
        <w:spacing w:after="0" w:line="19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720"/>
        <w:spacing w:after="0" w:line="207" w:lineRule="exact"/>
        <w:tabs>
          <w:tab w:leader="none" w:pos="846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62" w:lineRule="exact"/>
        <w:rPr>
          <w:sz w:val="24"/>
          <w:szCs w:val="24"/>
          <w:color w:val="auto"/>
        </w:rPr>
      </w:pPr>
    </w:p>
    <w:p>
      <w:pPr>
        <w:jc w:val="both"/>
        <w:ind w:left="100" w:right="99"/>
        <w:spacing w:after="0" w:line="199"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7720"/>
        <w:spacing w:after="0" w:line="207" w:lineRule="exact"/>
        <w:tabs>
          <w:tab w:leader="none" w:pos="846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62" w:lineRule="exact"/>
        <w:rPr>
          <w:sz w:val="24"/>
          <w:szCs w:val="24"/>
          <w:color w:val="auto"/>
        </w:rPr>
      </w:pPr>
    </w:p>
    <w:p>
      <w:pPr>
        <w:jc w:val="both"/>
        <w:ind w:left="100" w:right="99"/>
        <w:spacing w:after="0" w:line="21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 w:lineRule="exact"/>
        <w:rPr>
          <w:sz w:val="24"/>
          <w:szCs w:val="24"/>
          <w:color w:val="auto"/>
        </w:rPr>
      </w:pPr>
    </w:p>
    <w:p>
      <w:pPr>
        <w:ind w:left="100" w:right="719" w:firstLine="117"/>
        <w:spacing w:after="0" w:line="24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shell company (as defined in Rule 12b-2 of the Act).</w:t>
      </w:r>
    </w:p>
    <w:p>
      <w:pPr>
        <w:spacing w:after="0" w:line="1" w:lineRule="exact"/>
        <w:rPr>
          <w:sz w:val="24"/>
          <w:szCs w:val="24"/>
          <w:color w:val="auto"/>
        </w:rPr>
      </w:pPr>
    </w:p>
    <w:p>
      <w:pPr>
        <w:ind w:left="7780"/>
        <w:spacing w:after="0" w:line="196" w:lineRule="exact"/>
        <w:tabs>
          <w:tab w:leader="none" w:pos="848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91" w:lineRule="exact"/>
        <w:rPr>
          <w:sz w:val="24"/>
          <w:szCs w:val="24"/>
          <w:color w:val="auto"/>
        </w:rPr>
      </w:pPr>
    </w:p>
    <w:p>
      <w:pPr>
        <w:jc w:val="both"/>
        <w:ind w:left="100" w:right="99"/>
        <w:spacing w:after="0" w:line="20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4"/>
          <w:szCs w:val="24"/>
          <w:color w:val="auto"/>
        </w:rPr>
      </w:pPr>
    </w:p>
    <w:p>
      <w:pPr>
        <w:ind w:left="6380"/>
        <w:spacing w:after="0" w:line="207" w:lineRule="exact"/>
        <w:tabs>
          <w:tab w:leader="none" w:pos="8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4" w:lineRule="exact"/>
        <w:rPr>
          <w:sz w:val="24"/>
          <w:szCs w:val="24"/>
          <w:color w:val="auto"/>
        </w:rPr>
      </w:pPr>
    </w:p>
    <w:p>
      <w:pPr>
        <w:jc w:val="both"/>
        <w:ind w:left="100" w:right="99"/>
        <w:spacing w:after="0" w:line="20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 w:lineRule="exact"/>
        <w:rPr>
          <w:sz w:val="24"/>
          <w:szCs w:val="24"/>
          <w:color w:val="auto"/>
        </w:rPr>
      </w:pPr>
    </w:p>
    <w:p>
      <w:pPr>
        <w:ind w:left="8760"/>
        <w:spacing w:after="0" w:line="161" w:lineRule="exact"/>
        <w:rPr>
          <w:sz w:val="20"/>
          <w:szCs w:val="20"/>
          <w:color w:val="auto"/>
        </w:rPr>
      </w:pPr>
      <w:r>
        <w:rPr>
          <w:rFonts w:ascii="MS PGothic" w:cs="MS PGothic" w:eastAsia="MS PGothic" w:hAnsi="MS PGothic"/>
          <w:sz w:val="16"/>
          <w:szCs w:val="16"/>
          <w:color w:val="auto"/>
        </w:rPr>
        <w:t>☐</w:t>
      </w:r>
    </w:p>
    <w:p>
      <w:pPr>
        <w:spacing w:after="0" w:line="14" w:lineRule="exact"/>
        <w:rPr>
          <w:sz w:val="24"/>
          <w:szCs w:val="24"/>
          <w:color w:val="auto"/>
        </w:rPr>
      </w:pPr>
    </w:p>
    <w:p>
      <w:pPr>
        <w:ind w:left="100"/>
        <w:spacing w:after="0"/>
        <w:rPr>
          <w:sz w:val="20"/>
          <w:szCs w:val="20"/>
          <w:color w:val="auto"/>
        </w:rPr>
      </w:pPr>
      <w:r>
        <w:rPr>
          <w:rFonts w:ascii="Arial" w:cs="Arial" w:eastAsia="Arial" w:hAnsi="Arial"/>
          <w:sz w:val="17"/>
          <w:szCs w:val="17"/>
          <w:color w:val="auto"/>
        </w:rPr>
        <w:t>As of July 14, 2017, there were 800,384,902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85725</wp:posOffset>
            </wp:positionV>
            <wp:extent cx="5600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00065"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42545</wp:posOffset>
            </wp:positionV>
            <wp:extent cx="56000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0065" cy="1714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441960</wp:posOffset>
            </wp:positionV>
            <wp:extent cx="564261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11" w:right="1440"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07"/>
        </w:trPr>
        <w:tc>
          <w:tcPr>
            <w:tcW w:w="8760" w:type="dxa"/>
            <w:vAlign w:val="bottom"/>
            <w:gridSpan w:val="3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19"/>
          </w:tcPr>
          <w:p>
            <w:pPr>
              <w:jc w:val="center"/>
              <w:ind w:right="3140"/>
              <w:spacing w:after="0"/>
              <w:rPr>
                <w:sz w:val="20"/>
                <w:szCs w:val="20"/>
                <w:color w:val="auto"/>
              </w:rPr>
            </w:pPr>
            <w:r>
              <w:rPr>
                <w:rFonts w:ascii="Arial" w:cs="Arial" w:eastAsia="Arial" w:hAnsi="Arial"/>
                <w:sz w:val="18"/>
                <w:szCs w:val="18"/>
                <w:b w:val="1"/>
                <w:bCs w:val="1"/>
                <w:color w:val="auto"/>
                <w:w w:val="99"/>
              </w:rPr>
              <w:t>TABLE OF CONTENTS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20" w:type="dxa"/>
            <w:vAlign w:val="bottom"/>
            <w:gridSpan w:val="21"/>
          </w:tcPr>
          <w:p>
            <w:pPr>
              <w:jc w:val="center"/>
              <w:ind w:right="2860"/>
              <w:spacing w:after="0" w:line="176" w:lineRule="exact"/>
              <w:rPr>
                <w:sz w:val="20"/>
                <w:szCs w:val="20"/>
                <w:color w:val="auto"/>
              </w:rPr>
            </w:pPr>
            <w:r>
              <w:rPr>
                <w:rFonts w:ascii="Arial" w:cs="Arial" w:eastAsia="Arial" w:hAnsi="Arial"/>
                <w:sz w:val="18"/>
                <w:szCs w:val="18"/>
                <w:b w:val="1"/>
                <w:bCs w:val="1"/>
                <w:color w:val="auto"/>
                <w:w w:val="98"/>
              </w:rPr>
              <w:t>UNION PACIFIC CORPORATION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gridSpan w:val="21"/>
          </w:tcPr>
          <w:p>
            <w:pPr>
              <w:jc w:val="center"/>
              <w:ind w:right="2880"/>
              <w:spacing w:after="0"/>
              <w:rPr>
                <w:sz w:val="20"/>
                <w:szCs w:val="20"/>
                <w:color w:val="auto"/>
              </w:rPr>
            </w:pPr>
            <w:r>
              <w:rPr>
                <w:rFonts w:ascii="Arial" w:cs="Arial" w:eastAsia="Arial" w:hAnsi="Arial"/>
                <w:sz w:val="18"/>
                <w:szCs w:val="18"/>
                <w:b w:val="1"/>
                <w:bCs w:val="1"/>
                <w:color w:val="auto"/>
                <w:w w:val="98"/>
              </w:rPr>
              <w:t>AND SUBSIDIARY COMPANIES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Borders>
              <w:bottom w:val="single" w:sz="8" w:color="0000EE"/>
            </w:tcBorders>
            <w:gridSpan w:val="10"/>
          </w:tcPr>
          <w:p>
            <w:pPr>
              <w:jc w:val="cente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286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(Unaudited)</w:t>
              </w:r>
            </w:hyperlink>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300" w:type="dxa"/>
            <w:vAlign w:val="bottom"/>
            <w:tcBorders>
              <w:top w:val="single" w:sz="8" w:color="0000EE"/>
              <w:bottom w:val="single" w:sz="8" w:color="0000EE"/>
            </w:tcBorders>
            <w:gridSpan w:val="18"/>
          </w:tcPr>
          <w:p>
            <w:pPr>
              <w:spacing w:after="0" w:line="15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For the Three Months Ended June 30, 2017 and 2016</w:t>
              </w:r>
            </w:hyperlink>
          </w:p>
        </w:tc>
        <w:tc>
          <w:tcPr>
            <w:tcW w:w="1280" w:type="dxa"/>
            <w:vAlign w:val="bottom"/>
            <w:tcBorders>
              <w:top w:val="single" w:sz="8" w:color="0000EE"/>
            </w:tcBorders>
            <w:gridSpan w:val="2"/>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460" w:type="dxa"/>
            <w:vAlign w:val="bottom"/>
            <w:tcBorders>
              <w:top w:val="single" w:sz="8" w:color="0000EE"/>
            </w:tcBorders>
            <w:gridSpan w:val="25"/>
          </w:tcPr>
          <w:p>
            <w:pPr>
              <w:ind w:left="100"/>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00" w:type="dxa"/>
            <w:vAlign w:val="bottom"/>
            <w:tcBorders>
              <w:bottom w:val="single" w:sz="8" w:color="0000EE"/>
            </w:tcBorders>
            <w:gridSpan w:val="18"/>
          </w:tcPr>
          <w:p>
            <w:pPr>
              <w:spacing w:after="0" w:line="15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For the Three Months Ended June 30, 2017 and 2016</w:t>
              </w:r>
            </w:hyperlink>
          </w:p>
        </w:tc>
        <w:tc>
          <w:tcPr>
            <w:tcW w:w="2700" w:type="dxa"/>
            <w:vAlign w:val="bottom"/>
            <w:gridSpan w:val="9"/>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w:t>
              </w:r>
            </w:hyperlink>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10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For the Six Months Ended June 30, 2017 and 2016</w:t>
              </w:r>
            </w:hyperlink>
          </w:p>
        </w:tc>
        <w:tc>
          <w:tcPr>
            <w:tcW w:w="1480" w:type="dxa"/>
            <w:vAlign w:val="bottom"/>
            <w:tcBorders>
              <w:top w:val="single" w:sz="8" w:color="0000EE"/>
            </w:tcBorders>
            <w:gridSpan w:val="5"/>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460" w:type="dxa"/>
            <w:vAlign w:val="bottom"/>
            <w:tcBorders>
              <w:top w:val="single" w:sz="8" w:color="0000EE"/>
            </w:tcBorders>
            <w:gridSpan w:val="25"/>
          </w:tcPr>
          <w:p>
            <w:pPr>
              <w:ind w:left="100"/>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80" w:type="dxa"/>
            <w:vAlign w:val="bottom"/>
            <w:tcBorders>
              <w:bottom w:val="single" w:sz="8" w:color="0000EE"/>
            </w:tcBorders>
            <w:gridSpan w:val="14"/>
          </w:tcPr>
          <w:p>
            <w:pPr>
              <w:spacing w:after="0" w:line="15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For the Six Months Ended June 30, 2017 and 2016</w:t>
              </w:r>
            </w:hyperlink>
          </w:p>
        </w:tc>
        <w:tc>
          <w:tcPr>
            <w:tcW w:w="2920" w:type="dxa"/>
            <w:vAlign w:val="bottom"/>
            <w:gridSpan w:val="13"/>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FINANCIAL POSITION (Unaudited)</w:t>
              </w:r>
            </w:hyperlink>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72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5">
              <w:r>
                <w:rPr>
                  <w:rFonts w:ascii="Arial" w:cs="Arial" w:eastAsia="Arial" w:hAnsi="Arial"/>
                  <w:sz w:val="18"/>
                  <w:szCs w:val="18"/>
                  <w:color w:val="0000EE"/>
                </w:rPr>
                <w:t>At June 30, 2017 and December 31, 2016</w:t>
              </w:r>
            </w:hyperlink>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10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0000EE"/>
              </w:rPr>
            </w:pPr>
            <w:hyperlink w:anchor="page6">
              <w:r>
                <w:rPr>
                  <w:rFonts w:ascii="Arial" w:cs="Arial" w:eastAsia="Arial" w:hAnsi="Arial"/>
                  <w:sz w:val="18"/>
                  <w:szCs w:val="18"/>
                  <w:color w:val="0000EE"/>
                </w:rPr>
                <w:t>For the Six Months Ended June 30, 2017 and 2016</w:t>
              </w:r>
            </w:hyperlink>
          </w:p>
        </w:tc>
        <w:tc>
          <w:tcPr>
            <w:tcW w:w="1960" w:type="dxa"/>
            <w:vAlign w:val="bottom"/>
            <w:tcBorders>
              <w:top w:val="single" w:sz="8" w:color="0000EE"/>
            </w:tcBorders>
            <w:gridSpan w:val="7"/>
          </w:tcPr>
          <w:p>
            <w:pPr>
              <w:spacing w:after="0"/>
              <w:rPr>
                <w:sz w:val="13"/>
                <w:szCs w:val="13"/>
                <w:color w:val="auto"/>
              </w:rPr>
            </w:pPr>
          </w:p>
        </w:tc>
        <w:tc>
          <w:tcPr>
            <w:tcW w:w="54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COMMON</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120" w:type="dxa"/>
            <w:vAlign w:val="bottom"/>
            <w:tcBorders>
              <w:top w:val="single" w:sz="8" w:color="0000EE"/>
            </w:tcBorders>
            <w:gridSpan w:val="23"/>
          </w:tcPr>
          <w:p>
            <w:pPr>
              <w:ind w:left="100"/>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SHAREHOLDERS’ EQUITY (Unaudited)</w:t>
              </w:r>
            </w:hyperlink>
          </w:p>
        </w:tc>
        <w:tc>
          <w:tcPr>
            <w:tcW w:w="720" w:type="dxa"/>
            <w:vAlign w:val="bottom"/>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00" w:type="dxa"/>
            <w:vAlign w:val="bottom"/>
            <w:tcBorders>
              <w:bottom w:val="single" w:sz="8" w:color="0000EE"/>
            </w:tcBorders>
            <w:gridSpan w:val="15"/>
          </w:tcPr>
          <w:p>
            <w:pPr>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For the Six Months Ended June 30, 2017 and 2016</w:t>
              </w:r>
            </w:hyperlink>
          </w:p>
        </w:tc>
        <w:tc>
          <w:tcPr>
            <w:tcW w:w="2900" w:type="dxa"/>
            <w:vAlign w:val="bottom"/>
            <w:gridSpan w:val="12"/>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 (Unaudited)</w:t>
              </w:r>
            </w:hyperlink>
          </w:p>
        </w:tc>
        <w:tc>
          <w:tcPr>
            <w:tcW w:w="340" w:type="dxa"/>
            <w:vAlign w:val="bottom"/>
          </w:tcPr>
          <w:p>
            <w:pPr>
              <w:ind w:lef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2.</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ind w:left="14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3.</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40" w:type="dxa"/>
            <w:vAlign w:val="bottom"/>
          </w:tcPr>
          <w:p>
            <w:pPr>
              <w:ind w:left="14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4.</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40" w:type="dxa"/>
            <w:vAlign w:val="bottom"/>
          </w:tcPr>
          <w:p>
            <w:pPr>
              <w:ind w:left="14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80" w:type="dxa"/>
            <w:vAlign w:val="bottom"/>
            <w:gridSpan w:val="20"/>
          </w:tcPr>
          <w:p>
            <w:pPr>
              <w:jc w:val="center"/>
              <w:ind w:right="3020"/>
              <w:spacing w:after="0"/>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PART II. OTHER INFORMATION</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1.</w:t>
              </w:r>
            </w:hyperlink>
          </w:p>
        </w:tc>
        <w:tc>
          <w:tcPr>
            <w:tcW w:w="300" w:type="dxa"/>
            <w:vAlign w:val="bottom"/>
            <w:gridSpan w:val="2"/>
          </w:tcPr>
          <w:p>
            <w:pPr>
              <w:spacing w:after="0"/>
              <w:rPr>
                <w:sz w:val="24"/>
                <w:szCs w:val="24"/>
                <w:color w:val="auto"/>
              </w:rPr>
            </w:pPr>
          </w:p>
        </w:tc>
        <w:tc>
          <w:tcPr>
            <w:tcW w:w="1900" w:type="dxa"/>
            <w:vAlign w:val="bottom"/>
            <w:gridSpan w:val="12"/>
          </w:tcPr>
          <w:p>
            <w:pPr>
              <w:ind w:left="100"/>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660" w:type="dxa"/>
            <w:vAlign w:val="bottom"/>
            <w:tcBorders>
              <w:top w:val="single" w:sz="8" w:color="0000EE"/>
            </w:tcBorders>
            <w:gridSpan w:val="6"/>
          </w:tcPr>
          <w:p>
            <w:pPr>
              <w:spacing w:after="0"/>
              <w:rPr>
                <w:sz w:val="24"/>
                <w:szCs w:val="24"/>
                <w:color w:val="auto"/>
              </w:rPr>
            </w:pPr>
          </w:p>
        </w:tc>
        <w:tc>
          <w:tcPr>
            <w:tcW w:w="3020" w:type="dxa"/>
            <w:vAlign w:val="bottom"/>
            <w:gridSpan w:val="14"/>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1A.</w:t>
              </w:r>
            </w:hyperlink>
          </w:p>
        </w:tc>
        <w:tc>
          <w:tcPr>
            <w:tcW w:w="180" w:type="dxa"/>
            <w:vAlign w:val="bottom"/>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2.</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10"/>
            <w:shd w:val="clear" w:color="auto" w:fill="0000EE"/>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3.</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4940" w:type="dxa"/>
            <w:vAlign w:val="bottom"/>
            <w:gridSpan w:val="1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4.</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5560" w:type="dxa"/>
            <w:vAlign w:val="bottom"/>
            <w:gridSpan w:val="1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5.</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80" w:type="dxa"/>
            <w:vAlign w:val="bottom"/>
            <w:gridSpan w:val="2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6.</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Signatures</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200"/>
          </w:cols>
          <w:pgMar w:left="1440" w:top="95" w:right="1259" w:bottom="1440" w:gutter="0" w:footer="0" w:header="0"/>
        </w:sectPr>
      </w:pPr>
    </w:p>
    <w:bookmarkStart w:id="2" w:name="page3"/>
    <w:bookmarkEnd w:id="2"/>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Income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18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 Except Per Share Amounts,</w:t>
            </w:r>
          </w:p>
        </w:tc>
        <w:tc>
          <w:tcPr>
            <w:tcW w:w="196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60" w:type="dxa"/>
            <w:vAlign w:val="bottom"/>
            <w:tcBorders>
              <w:top w:val="single" w:sz="8" w:color="7F7F7F"/>
            </w:tcBorders>
          </w:tcPr>
          <w:p>
            <w:pPr>
              <w:spacing w:after="0"/>
              <w:rPr>
                <w:sz w:val="22"/>
                <w:szCs w:val="22"/>
                <w:color w:val="auto"/>
              </w:rPr>
            </w:pPr>
          </w:p>
        </w:tc>
        <w:tc>
          <w:tcPr>
            <w:tcW w:w="6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1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Three Months Ended June 30,</w:t>
            </w:r>
          </w:p>
        </w:tc>
        <w:tc>
          <w:tcPr>
            <w:tcW w:w="196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6"/>
                <w:szCs w:val="16"/>
                <w:color w:val="auto"/>
              </w:rPr>
              <w:t>Freight revenues</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4,906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4,430</w:t>
            </w:r>
          </w:p>
        </w:tc>
        <w:tc>
          <w:tcPr>
            <w:tcW w:w="0" w:type="dxa"/>
            <w:vAlign w:val="bottom"/>
          </w:tcPr>
          <w:p>
            <w:pPr>
              <w:spacing w:after="0"/>
              <w:rPr>
                <w:sz w:val="1"/>
                <w:szCs w:val="1"/>
                <w:color w:val="auto"/>
              </w:rPr>
            </w:pPr>
          </w:p>
        </w:tc>
      </w:tr>
      <w:tr>
        <w:trPr>
          <w:trHeight w:val="231"/>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960" w:type="dxa"/>
            <w:vAlign w:val="bottom"/>
            <w:tcBorders>
              <w:bottom w:val="single" w:sz="8" w:color="7F7F7F"/>
            </w:tcBorders>
            <w:shd w:val="clear" w:color="auto" w:fill="CCEEFF"/>
          </w:tcPr>
          <w:p>
            <w:pPr>
              <w:spacing w:after="0"/>
              <w:rPr>
                <w:sz w:val="20"/>
                <w:szCs w:val="20"/>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344</w:t>
            </w:r>
          </w:p>
        </w:tc>
        <w:tc>
          <w:tcPr>
            <w:tcW w:w="360" w:type="dxa"/>
            <w:vAlign w:val="bottom"/>
            <w:tcBorders>
              <w:bottom w:val="single" w:sz="8" w:color="7F7F7F"/>
            </w:tcBorders>
            <w:shd w:val="clear" w:color="auto" w:fill="CCEEFF"/>
          </w:tcPr>
          <w:p>
            <w:pPr>
              <w:spacing w:after="0"/>
              <w:rPr>
                <w:sz w:val="20"/>
                <w:szCs w:val="20"/>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Total operating revenues</w:t>
            </w:r>
          </w:p>
        </w:tc>
        <w:tc>
          <w:tcPr>
            <w:tcW w:w="1960" w:type="dxa"/>
            <w:vAlign w:val="bottom"/>
          </w:tcPr>
          <w:p>
            <w:pPr>
              <w:spacing w:after="0"/>
              <w:rPr>
                <w:sz w:val="21"/>
                <w:szCs w:val="21"/>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5,250</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4,770</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Compensation and benefits</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1,197</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Purchased services and materials</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597</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525</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434</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Equipment and other rents</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273</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9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219</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960" w:type="dxa"/>
            <w:vAlign w:val="bottom"/>
          </w:tcPr>
          <w:p>
            <w:pPr>
              <w:spacing w:after="0"/>
              <w:rPr>
                <w:sz w:val="21"/>
                <w:szCs w:val="21"/>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3,245</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9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2,005</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Other income (Note 6)</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43</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9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9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1,869</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19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1,168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Share and Per Share (Note 8):</w:t>
            </w:r>
          </w:p>
        </w:tc>
        <w:tc>
          <w:tcPr>
            <w:tcW w:w="1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Earnings per share - basic</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1.45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Earnings per share - diluted</w:t>
            </w:r>
          </w:p>
        </w:tc>
        <w:tc>
          <w:tcPr>
            <w:tcW w:w="19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1.45</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Weighted average number of shares - basic</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804.1</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837.4</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Weighted average number of shares - diluted</w:t>
            </w:r>
          </w:p>
        </w:tc>
        <w:tc>
          <w:tcPr>
            <w:tcW w:w="19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807.2</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840.1</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6"/>
                <w:szCs w:val="16"/>
                <w:color w:val="auto"/>
              </w:rPr>
              <w:t>Dividends declared per share</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0.605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81"/>
        </w:trPr>
        <w:tc>
          <w:tcPr>
            <w:tcW w:w="5180" w:type="dxa"/>
            <w:vAlign w:val="bottom"/>
            <w:tcBorders>
              <w:bottom w:val="single" w:sz="8" w:color="7F7F7F"/>
            </w:tcBorders>
          </w:tcPr>
          <w:p>
            <w:pPr>
              <w:spacing w:after="0"/>
              <w:rPr>
                <w:sz w:val="7"/>
                <w:szCs w:val="7"/>
                <w:color w:val="auto"/>
              </w:rPr>
            </w:pPr>
          </w:p>
        </w:tc>
        <w:tc>
          <w:tcPr>
            <w:tcW w:w="196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360" w:type="dxa"/>
            <w:vAlign w:val="bottom"/>
            <w:tcBorders>
              <w:bottom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20" w:type="dxa"/>
            <w:vAlign w:val="bottom"/>
            <w:tcBorders>
              <w:top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120" w:type="dxa"/>
            <w:vAlign w:val="bottom"/>
            <w:tcBorders>
              <w:top w:val="single" w:sz="8" w:color="808080"/>
            </w:tcBorders>
          </w:tcPr>
          <w:p>
            <w:pPr>
              <w:spacing w:after="0"/>
              <w:rPr>
                <w:sz w:val="22"/>
                <w:szCs w:val="22"/>
                <w:color w:val="auto"/>
              </w:rPr>
            </w:pPr>
          </w:p>
        </w:tc>
        <w:tc>
          <w:tcPr>
            <w:tcW w:w="680" w:type="dxa"/>
            <w:vAlign w:val="bottom"/>
            <w:tcBorders>
              <w:top w:val="single" w:sz="8" w:color="808080"/>
            </w:tcBorders>
            <w:vMerge w:val="restart"/>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top w:val="single" w:sz="8" w:color="808080"/>
            </w:tcBorders>
          </w:tcPr>
          <w:p>
            <w:pPr>
              <w:spacing w:after="0"/>
              <w:rPr>
                <w:sz w:val="22"/>
                <w:szCs w:val="22"/>
                <w:color w:val="auto"/>
              </w:rPr>
            </w:pPr>
          </w:p>
        </w:tc>
        <w:tc>
          <w:tcPr>
            <w:tcW w:w="600" w:type="dxa"/>
            <w:vAlign w:val="bottom"/>
            <w:tcBorders>
              <w:top w:val="single" w:sz="8" w:color="808080"/>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0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Three Months Ended June 30,</w:t>
            </w:r>
          </w:p>
        </w:tc>
        <w:tc>
          <w:tcPr>
            <w:tcW w:w="212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vMerge w:val="continue"/>
          </w:tcPr>
          <w:p>
            <w:pPr>
              <w:spacing w:after="0"/>
              <w:rPr>
                <w:sz w:val="17"/>
                <w:szCs w:val="17"/>
                <w:color w:val="auto"/>
              </w:rPr>
            </w:pPr>
          </w:p>
        </w:tc>
        <w:tc>
          <w:tcPr>
            <w:tcW w:w="40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212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1,168</w:t>
            </w:r>
          </w:p>
        </w:tc>
        <w:tc>
          <w:tcPr>
            <w:tcW w:w="400" w:type="dxa"/>
            <w:vAlign w:val="bottom"/>
            <w:tcBorders>
              <w:bottom w:val="single" w:sz="8" w:color="7F7F7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6"/>
                <w:szCs w:val="16"/>
                <w:color w:val="auto"/>
              </w:rPr>
              <w:t>Other comprehensive income/(loss):</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Defined benefit plans</w:t>
            </w:r>
          </w:p>
        </w:tc>
        <w:tc>
          <w:tcPr>
            <w:tcW w:w="2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5020" w:type="dxa"/>
            <w:vAlign w:val="bottom"/>
          </w:tcPr>
          <w:p>
            <w:pPr>
              <w:ind w:left="180"/>
              <w:spacing w:after="0"/>
              <w:rPr>
                <w:sz w:val="20"/>
                <w:szCs w:val="20"/>
                <w:color w:val="auto"/>
              </w:rPr>
            </w:pPr>
            <w:r>
              <w:rPr>
                <w:rFonts w:ascii="Arial" w:cs="Arial" w:eastAsia="Arial" w:hAnsi="Arial"/>
                <w:sz w:val="16"/>
                <w:szCs w:val="16"/>
                <w:color w:val="auto"/>
              </w:rPr>
              <w:t>Foreign currency translation</w:t>
            </w:r>
          </w:p>
        </w:tc>
        <w:tc>
          <w:tcPr>
            <w:tcW w:w="21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16</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0"/>
        </w:trPr>
        <w:tc>
          <w:tcPr>
            <w:tcW w:w="5020" w:type="dxa"/>
            <w:vAlign w:val="bottom"/>
            <w:tcBorders>
              <w:bottom w:val="single" w:sz="8" w:color="7F7F7F"/>
            </w:tcBorders>
          </w:tcPr>
          <w:p>
            <w:pPr>
              <w:spacing w:after="0"/>
              <w:rPr>
                <w:sz w:val="3"/>
                <w:szCs w:val="3"/>
                <w:color w:val="auto"/>
              </w:rPr>
            </w:pPr>
          </w:p>
        </w:tc>
        <w:tc>
          <w:tcPr>
            <w:tcW w:w="212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40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Total other comprehensive income/(loss) [a]</w:t>
            </w:r>
          </w:p>
        </w:tc>
        <w:tc>
          <w:tcPr>
            <w:tcW w:w="2120" w:type="dxa"/>
            <w:vAlign w:val="bottom"/>
            <w:tcBorders>
              <w:bottom w:val="single" w:sz="8" w:color="7F7F7F"/>
            </w:tcBorders>
            <w:shd w:val="clear" w:color="auto" w:fill="CCEEFF"/>
          </w:tcPr>
          <w:p>
            <w:pPr>
              <w:spacing w:after="0"/>
              <w:rPr>
                <w:sz w:val="21"/>
                <w:szCs w:val="21"/>
                <w:color w:val="auto"/>
              </w:rPr>
            </w:pPr>
          </w:p>
        </w:tc>
        <w:tc>
          <w:tcPr>
            <w:tcW w:w="6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w:t>
            </w:r>
          </w:p>
        </w:tc>
        <w:tc>
          <w:tcPr>
            <w:tcW w:w="400" w:type="dxa"/>
            <w:vAlign w:val="bottom"/>
            <w:tcBorders>
              <w:bottom w:val="single" w:sz="8" w:color="7F7F7F"/>
            </w:tcBorders>
            <w:shd w:val="clear" w:color="auto" w:fill="CCEEFF"/>
          </w:tcPr>
          <w:p>
            <w:pPr>
              <w:spacing w:after="0"/>
              <w:rPr>
                <w:sz w:val="21"/>
                <w:szCs w:val="21"/>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6"/>
                <w:szCs w:val="16"/>
                <w:color w:val="auto"/>
              </w:rPr>
              <w:t>Comprehensive income</w:t>
            </w: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1,199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61"/>
        </w:trPr>
        <w:tc>
          <w:tcPr>
            <w:tcW w:w="5020" w:type="dxa"/>
            <w:vAlign w:val="bottom"/>
            <w:shd w:val="clear" w:color="auto" w:fill="7F7F7F"/>
          </w:tcPr>
          <w:p>
            <w:pPr>
              <w:spacing w:after="0"/>
              <w:rPr>
                <w:sz w:val="5"/>
                <w:szCs w:val="5"/>
                <w:color w:val="auto"/>
              </w:rPr>
            </w:pPr>
          </w:p>
        </w:tc>
        <w:tc>
          <w:tcPr>
            <w:tcW w:w="2120" w:type="dxa"/>
            <w:vAlign w:val="bottom"/>
            <w:shd w:val="clear" w:color="auto" w:fill="7F7F7F"/>
          </w:tcPr>
          <w:p>
            <w:pPr>
              <w:spacing w:after="0"/>
              <w:rPr>
                <w:sz w:val="5"/>
                <w:szCs w:val="5"/>
                <w:color w:val="auto"/>
              </w:rPr>
            </w:pPr>
          </w:p>
        </w:tc>
        <w:tc>
          <w:tcPr>
            <w:tcW w:w="680" w:type="dxa"/>
            <w:vAlign w:val="bottom"/>
            <w:shd w:val="clear" w:color="auto" w:fill="7F7F7F"/>
          </w:tcPr>
          <w:p>
            <w:pPr>
              <w:spacing w:after="0"/>
              <w:rPr>
                <w:sz w:val="5"/>
                <w:szCs w:val="5"/>
                <w:color w:val="auto"/>
              </w:rPr>
            </w:pPr>
          </w:p>
        </w:tc>
        <w:tc>
          <w:tcPr>
            <w:tcW w:w="400" w:type="dxa"/>
            <w:vAlign w:val="bottom"/>
            <w:shd w:val="clear" w:color="auto" w:fill="7F7F7F"/>
          </w:tcPr>
          <w:p>
            <w:pPr>
              <w:spacing w:after="0"/>
              <w:rPr>
                <w:sz w:val="5"/>
                <w:szCs w:val="5"/>
                <w:color w:val="auto"/>
              </w:rPr>
            </w:pPr>
          </w:p>
        </w:tc>
        <w:tc>
          <w:tcPr>
            <w:tcW w:w="600" w:type="dxa"/>
            <w:vAlign w:val="bottom"/>
            <w:shd w:val="clear" w:color="auto" w:fill="7F7F7F"/>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00" w:right="719" w:firstLine="5"/>
        <w:spacing w:after="0" w:line="239" w:lineRule="auto"/>
        <w:tabs>
          <w:tab w:leader="none" w:pos="449"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Net of deferred taxes of $(18) million and $(6) million during the three months ended June 30, 2017, and 2016, respectively. The accompanying notes are an integral part of these unaudited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 w:name="page4"/>
    <w:bookmarkEnd w:id="3"/>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Income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18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 Except Per Share Amounts,</w:t>
            </w:r>
          </w:p>
        </w:tc>
        <w:tc>
          <w:tcPr>
            <w:tcW w:w="1920" w:type="dxa"/>
            <w:vAlign w:val="bottom"/>
            <w:tcBorders>
              <w:top w:val="single" w:sz="8" w:color="7F7F7F"/>
            </w:tcBorders>
          </w:tcPr>
          <w:p>
            <w:pPr>
              <w:spacing w:after="0"/>
              <w:rPr>
                <w:sz w:val="22"/>
                <w:szCs w:val="22"/>
                <w:color w:val="auto"/>
              </w:rPr>
            </w:pPr>
          </w:p>
        </w:tc>
        <w:tc>
          <w:tcPr>
            <w:tcW w:w="74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Borders>
              <w:top w:val="single" w:sz="8" w:color="7F7F7F"/>
            </w:tcBorders>
          </w:tcPr>
          <w:p>
            <w:pPr>
              <w:spacing w:after="0"/>
              <w:rPr>
                <w:sz w:val="22"/>
                <w:szCs w:val="22"/>
                <w:color w:val="auto"/>
              </w:rPr>
            </w:pPr>
          </w:p>
        </w:tc>
        <w:tc>
          <w:tcPr>
            <w:tcW w:w="66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1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192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vMerge w:val="continue"/>
          </w:tcPr>
          <w:p>
            <w:pPr>
              <w:spacing w:after="0"/>
              <w:rPr>
                <w:sz w:val="17"/>
                <w:szCs w:val="17"/>
                <w:color w:val="auto"/>
              </w:rPr>
            </w:pPr>
          </w:p>
        </w:tc>
        <w:tc>
          <w:tcPr>
            <w:tcW w:w="32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6"/>
                <w:szCs w:val="16"/>
                <w:color w:val="auto"/>
              </w:rPr>
              <w:t>Freight revenues</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9,700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8,932</w:t>
            </w:r>
          </w:p>
        </w:tc>
        <w:tc>
          <w:tcPr>
            <w:tcW w:w="0" w:type="dxa"/>
            <w:vAlign w:val="bottom"/>
          </w:tcPr>
          <w:p>
            <w:pPr>
              <w:spacing w:after="0"/>
              <w:rPr>
                <w:sz w:val="1"/>
                <w:szCs w:val="1"/>
                <w:color w:val="auto"/>
              </w:rPr>
            </w:pPr>
          </w:p>
        </w:tc>
      </w:tr>
      <w:tr>
        <w:trPr>
          <w:trHeight w:val="217"/>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682</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Total operating revenues</w:t>
            </w:r>
          </w:p>
        </w:tc>
        <w:tc>
          <w:tcPr>
            <w:tcW w:w="192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10,382</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9,599</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Compensation and benefits</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2,454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Purchased services and materials</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1,163</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1,045</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894</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Equipment and other rents</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549</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479</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92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6,584</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6,252</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9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3,798</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Other income (Note 6)</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110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3,557</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3,130</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(1,317)</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2,240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Share and Per Share (Note 8):</w:t>
            </w:r>
          </w:p>
        </w:tc>
        <w:tc>
          <w:tcPr>
            <w:tcW w:w="1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Earnings per share - basic</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2.77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Earnings per share - diluted</w:t>
            </w:r>
          </w:p>
        </w:tc>
        <w:tc>
          <w:tcPr>
            <w:tcW w:w="1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2.76</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Weighted average number of shares - basic</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807.8</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840.7</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Weighted average number of shares - diluted</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811.0</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843.4</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6"/>
                <w:szCs w:val="16"/>
                <w:color w:val="auto"/>
              </w:rPr>
              <w:t>Dividends declared per share</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81"/>
        </w:trPr>
        <w:tc>
          <w:tcPr>
            <w:tcW w:w="5180" w:type="dxa"/>
            <w:vAlign w:val="bottom"/>
            <w:tcBorders>
              <w:bottom w:val="single" w:sz="8" w:color="7F7F7F"/>
            </w:tcBorders>
          </w:tcPr>
          <w:p>
            <w:pPr>
              <w:spacing w:after="0"/>
              <w:rPr>
                <w:sz w:val="7"/>
                <w:szCs w:val="7"/>
                <w:color w:val="auto"/>
              </w:rPr>
            </w:pPr>
          </w:p>
        </w:tc>
        <w:tc>
          <w:tcPr>
            <w:tcW w:w="1920" w:type="dxa"/>
            <w:vAlign w:val="bottom"/>
            <w:tcBorders>
              <w:bottom w:val="single" w:sz="8" w:color="7F7F7F"/>
            </w:tcBorders>
          </w:tcPr>
          <w:p>
            <w:pPr>
              <w:spacing w:after="0"/>
              <w:rPr>
                <w:sz w:val="7"/>
                <w:szCs w:val="7"/>
                <w:color w:val="auto"/>
              </w:rPr>
            </w:pPr>
          </w:p>
        </w:tc>
        <w:tc>
          <w:tcPr>
            <w:tcW w:w="740" w:type="dxa"/>
            <w:vAlign w:val="bottom"/>
            <w:tcBorders>
              <w:bottom w:val="single" w:sz="8" w:color="7F7F7F"/>
            </w:tcBorders>
          </w:tcPr>
          <w:p>
            <w:pPr>
              <w:spacing w:after="0"/>
              <w:rPr>
                <w:sz w:val="7"/>
                <w:szCs w:val="7"/>
                <w:color w:val="auto"/>
              </w:rPr>
            </w:pPr>
          </w:p>
        </w:tc>
        <w:tc>
          <w:tcPr>
            <w:tcW w:w="320" w:type="dxa"/>
            <w:vAlign w:val="bottom"/>
            <w:tcBorders>
              <w:bottom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20" w:type="dxa"/>
            <w:vAlign w:val="bottom"/>
            <w:tcBorders>
              <w:top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120" w:type="dxa"/>
            <w:vAlign w:val="bottom"/>
            <w:tcBorders>
              <w:top w:val="single" w:sz="8" w:color="808080"/>
            </w:tcBorders>
          </w:tcPr>
          <w:p>
            <w:pPr>
              <w:spacing w:after="0"/>
              <w:rPr>
                <w:sz w:val="22"/>
                <w:szCs w:val="22"/>
                <w:color w:val="auto"/>
              </w:rPr>
            </w:pPr>
          </w:p>
        </w:tc>
        <w:tc>
          <w:tcPr>
            <w:tcW w:w="680" w:type="dxa"/>
            <w:vAlign w:val="bottom"/>
            <w:tcBorders>
              <w:top w:val="single" w:sz="8" w:color="808080"/>
            </w:tcBorders>
            <w:vMerge w:val="restart"/>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808080"/>
            </w:tcBorders>
          </w:tcPr>
          <w:p>
            <w:pPr>
              <w:spacing w:after="0"/>
              <w:rPr>
                <w:sz w:val="22"/>
                <w:szCs w:val="22"/>
                <w:color w:val="auto"/>
              </w:rPr>
            </w:pPr>
          </w:p>
        </w:tc>
        <w:tc>
          <w:tcPr>
            <w:tcW w:w="620" w:type="dxa"/>
            <w:vAlign w:val="bottom"/>
            <w:tcBorders>
              <w:top w:val="single" w:sz="8" w:color="808080"/>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0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212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212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2,240</w:t>
            </w:r>
          </w:p>
        </w:tc>
        <w:tc>
          <w:tcPr>
            <w:tcW w:w="38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6"/>
                <w:szCs w:val="16"/>
                <w:color w:val="auto"/>
              </w:rPr>
              <w:t>Other comprehensive income/(loss):</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Defined benefit plans</w:t>
            </w:r>
          </w:p>
        </w:tc>
        <w:tc>
          <w:tcPr>
            <w:tcW w:w="2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4"/>
        </w:trPr>
        <w:tc>
          <w:tcPr>
            <w:tcW w:w="5020" w:type="dxa"/>
            <w:vAlign w:val="bottom"/>
          </w:tcPr>
          <w:p>
            <w:pPr>
              <w:ind w:left="180"/>
              <w:spacing w:after="0"/>
              <w:rPr>
                <w:sz w:val="20"/>
                <w:szCs w:val="20"/>
                <w:color w:val="auto"/>
              </w:rPr>
            </w:pPr>
            <w:r>
              <w:rPr>
                <w:rFonts w:ascii="Arial" w:cs="Arial" w:eastAsia="Arial" w:hAnsi="Arial"/>
                <w:sz w:val="16"/>
                <w:szCs w:val="16"/>
                <w:color w:val="auto"/>
              </w:rPr>
              <w:t>Foreign currency translation</w:t>
            </w:r>
          </w:p>
        </w:tc>
        <w:tc>
          <w:tcPr>
            <w:tcW w:w="21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25</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0"/>
        </w:trPr>
        <w:tc>
          <w:tcPr>
            <w:tcW w:w="5020" w:type="dxa"/>
            <w:vAlign w:val="bottom"/>
            <w:tcBorders>
              <w:bottom w:val="single" w:sz="8" w:color="7F7F7F"/>
            </w:tcBorders>
          </w:tcPr>
          <w:p>
            <w:pPr>
              <w:spacing w:after="0"/>
              <w:rPr>
                <w:sz w:val="3"/>
                <w:szCs w:val="3"/>
                <w:color w:val="auto"/>
              </w:rPr>
            </w:pPr>
          </w:p>
        </w:tc>
        <w:tc>
          <w:tcPr>
            <w:tcW w:w="212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Total other comprehensive income/(loss) [a]</w:t>
            </w:r>
          </w:p>
        </w:tc>
        <w:tc>
          <w:tcPr>
            <w:tcW w:w="2120" w:type="dxa"/>
            <w:vAlign w:val="bottom"/>
            <w:tcBorders>
              <w:bottom w:val="single" w:sz="8" w:color="7F7F7F"/>
            </w:tcBorders>
            <w:shd w:val="clear" w:color="auto" w:fill="CCEEFF"/>
          </w:tcPr>
          <w:p>
            <w:pPr>
              <w:spacing w:after="0"/>
              <w:rPr>
                <w:sz w:val="21"/>
                <w:szCs w:val="21"/>
                <w:color w:val="auto"/>
              </w:rPr>
            </w:pPr>
          </w:p>
        </w:tc>
        <w:tc>
          <w:tcPr>
            <w:tcW w:w="6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w:t>
            </w:r>
          </w:p>
        </w:tc>
        <w:tc>
          <w:tcPr>
            <w:tcW w:w="380" w:type="dxa"/>
            <w:vAlign w:val="bottom"/>
            <w:tcBorders>
              <w:bottom w:val="single" w:sz="8" w:color="7F7F7F"/>
            </w:tcBorders>
            <w:shd w:val="clear" w:color="auto" w:fill="CCEEFF"/>
          </w:tcPr>
          <w:p>
            <w:pPr>
              <w:spacing w:after="0"/>
              <w:rPr>
                <w:sz w:val="21"/>
                <w:szCs w:val="21"/>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6"/>
                <w:szCs w:val="16"/>
                <w:color w:val="auto"/>
              </w:rPr>
              <w:t>Comprehensive income</w:t>
            </w: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2,291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61"/>
        </w:trPr>
        <w:tc>
          <w:tcPr>
            <w:tcW w:w="5020" w:type="dxa"/>
            <w:vAlign w:val="bottom"/>
            <w:shd w:val="clear" w:color="auto" w:fill="7F7F7F"/>
          </w:tcPr>
          <w:p>
            <w:pPr>
              <w:spacing w:after="0"/>
              <w:rPr>
                <w:sz w:val="5"/>
                <w:szCs w:val="5"/>
                <w:color w:val="auto"/>
              </w:rPr>
            </w:pPr>
          </w:p>
        </w:tc>
        <w:tc>
          <w:tcPr>
            <w:tcW w:w="2120" w:type="dxa"/>
            <w:vAlign w:val="bottom"/>
            <w:shd w:val="clear" w:color="auto" w:fill="7F7F7F"/>
          </w:tcPr>
          <w:p>
            <w:pPr>
              <w:spacing w:after="0"/>
              <w:rPr>
                <w:sz w:val="5"/>
                <w:szCs w:val="5"/>
                <w:color w:val="auto"/>
              </w:rPr>
            </w:pPr>
          </w:p>
        </w:tc>
        <w:tc>
          <w:tcPr>
            <w:tcW w:w="680" w:type="dxa"/>
            <w:vAlign w:val="bottom"/>
            <w:shd w:val="clear" w:color="auto" w:fill="7F7F7F"/>
          </w:tcPr>
          <w:p>
            <w:pPr>
              <w:spacing w:after="0"/>
              <w:rPr>
                <w:sz w:val="5"/>
                <w:szCs w:val="5"/>
                <w:color w:val="auto"/>
              </w:rPr>
            </w:pPr>
          </w:p>
        </w:tc>
        <w:tc>
          <w:tcPr>
            <w:tcW w:w="380" w:type="dxa"/>
            <w:vAlign w:val="bottom"/>
            <w:shd w:val="clear" w:color="auto" w:fill="7F7F7F"/>
          </w:tcPr>
          <w:p>
            <w:pPr>
              <w:spacing w:after="0"/>
              <w:rPr>
                <w:sz w:val="5"/>
                <w:szCs w:val="5"/>
                <w:color w:val="auto"/>
              </w:rPr>
            </w:pPr>
          </w:p>
        </w:tc>
        <w:tc>
          <w:tcPr>
            <w:tcW w:w="620" w:type="dxa"/>
            <w:vAlign w:val="bottom"/>
            <w:shd w:val="clear" w:color="auto" w:fill="7F7F7F"/>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00" w:right="859" w:firstLine="5"/>
        <w:spacing w:after="0" w:line="239" w:lineRule="auto"/>
        <w:tabs>
          <w:tab w:leader="none" w:pos="449"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Net of deferred taxes of $(32) million and $(1) million during the six months ended June 30, 2017, and 2016, respectively. The accompanying notes are an integral part of these unaudited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Financial Position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900" w:type="dxa"/>
            <w:vAlign w:val="bottom"/>
            <w:tcBorders>
              <w:top w:val="single" w:sz="8" w:color="7F7F7F"/>
            </w:tcBorders>
          </w:tcPr>
          <w:p>
            <w:pPr>
              <w:spacing w:after="0"/>
              <w:rPr>
                <w:sz w:val="20"/>
                <w:szCs w:val="20"/>
                <w:color w:val="auto"/>
              </w:rPr>
            </w:pPr>
          </w:p>
        </w:tc>
        <w:tc>
          <w:tcPr>
            <w:tcW w:w="740" w:type="dxa"/>
            <w:vAlign w:val="bottom"/>
            <w:tcBorders>
              <w:top w:val="single" w:sz="8" w:color="7F7F7F"/>
            </w:tcBorders>
          </w:tcPr>
          <w:p>
            <w:pPr>
              <w:spacing w:after="0"/>
              <w:rPr>
                <w:sz w:val="20"/>
                <w:szCs w:val="20"/>
                <w:color w:val="auto"/>
              </w:rPr>
            </w:pPr>
          </w:p>
        </w:tc>
        <w:tc>
          <w:tcPr>
            <w:tcW w:w="980" w:type="dxa"/>
            <w:vAlign w:val="bottom"/>
            <w:tcBorders>
              <w:top w:val="single" w:sz="8" w:color="7F7F7F"/>
            </w:tcBorders>
          </w:tcPr>
          <w:p>
            <w:pPr>
              <w:jc w:val="right"/>
              <w:ind w:right="59"/>
              <w:spacing w:after="0"/>
              <w:rPr>
                <w:sz w:val="20"/>
                <w:szCs w:val="20"/>
                <w:color w:val="auto"/>
              </w:rPr>
            </w:pPr>
            <w:r>
              <w:rPr>
                <w:rFonts w:ascii="Arial" w:cs="Arial" w:eastAsia="Arial" w:hAnsi="Arial"/>
                <w:sz w:val="16"/>
                <w:szCs w:val="16"/>
                <w:b w:val="1"/>
                <w:bCs w:val="1"/>
                <w:i w:val="1"/>
                <w:iCs w:val="1"/>
                <w:color w:val="auto"/>
              </w:rPr>
              <w:t>June 30,</w:t>
            </w:r>
          </w:p>
        </w:tc>
        <w:tc>
          <w:tcPr>
            <w:tcW w:w="1200" w:type="dxa"/>
            <w:vAlign w:val="bottom"/>
            <w:tcBorders>
              <w:top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December 31,</w:t>
            </w:r>
          </w:p>
        </w:tc>
      </w:tr>
      <w:tr>
        <w:trPr>
          <w:trHeight w:val="214"/>
        </w:trPr>
        <w:tc>
          <w:tcPr>
            <w:tcW w:w="59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 Except Share and Per Share Amounts</w:t>
            </w:r>
          </w:p>
        </w:tc>
        <w:tc>
          <w:tcPr>
            <w:tcW w:w="740" w:type="dxa"/>
            <w:vAlign w:val="bottom"/>
            <w:tcBorders>
              <w:bottom w:val="single" w:sz="8" w:color="7F7F7F"/>
            </w:tcBorders>
          </w:tcPr>
          <w:p>
            <w:pPr>
              <w:spacing w:after="0"/>
              <w:rPr>
                <w:sz w:val="18"/>
                <w:szCs w:val="18"/>
                <w:color w:val="auto"/>
              </w:rPr>
            </w:pPr>
          </w:p>
        </w:tc>
        <w:tc>
          <w:tcPr>
            <w:tcW w:w="98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bottom w:val="single" w:sz="8" w:color="7F7F7F"/>
            </w:tcBorders>
          </w:tcPr>
          <w:p>
            <w:pPr>
              <w:spacing w:after="0"/>
              <w:rPr>
                <w:sz w:val="18"/>
                <w:szCs w:val="18"/>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Current assets: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1,286</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Short-term investments (Note 13)</w:t>
            </w:r>
          </w:p>
        </w:tc>
        <w:tc>
          <w:tcPr>
            <w:tcW w:w="7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90</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(Note 10)</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1,357</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Materials and supplies</w:t>
            </w:r>
          </w:p>
        </w:tc>
        <w:tc>
          <w:tcPr>
            <w:tcW w:w="7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726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717</w:t>
            </w:r>
          </w:p>
        </w:tc>
      </w:tr>
      <w:tr>
        <w:trPr>
          <w:trHeight w:val="210"/>
        </w:trPr>
        <w:tc>
          <w:tcPr>
            <w:tcW w:w="590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740" w:type="dxa"/>
            <w:vAlign w:val="bottom"/>
            <w:tcBorders>
              <w:bottom w:val="single" w:sz="8" w:color="7F7F7F"/>
            </w:tcBorders>
            <w:shd w:val="clear" w:color="auto" w:fill="CCEEFF"/>
          </w:tcPr>
          <w:p>
            <w:pPr>
              <w:spacing w:after="0"/>
              <w:rPr>
                <w:sz w:val="18"/>
                <w:szCs w:val="18"/>
                <w:color w:val="auto"/>
              </w:rPr>
            </w:pPr>
          </w:p>
        </w:tc>
        <w:tc>
          <w:tcPr>
            <w:tcW w:w="980" w:type="dxa"/>
            <w:vAlign w:val="bottom"/>
            <w:tcBorders>
              <w:bottom w:val="single" w:sz="8" w:color="7F7F7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410</w:t>
            </w:r>
          </w:p>
        </w:tc>
        <w:tc>
          <w:tcPr>
            <w:tcW w:w="400" w:type="dxa"/>
            <w:vAlign w:val="bottom"/>
            <w:tcBorders>
              <w:bottom w:val="single" w:sz="8" w:color="7F7F7F"/>
            </w:tcBorders>
            <w:shd w:val="clear" w:color="auto" w:fill="CCEEFF"/>
          </w:tcPr>
          <w:p>
            <w:pPr>
              <w:spacing w:after="0"/>
              <w:rPr>
                <w:sz w:val="18"/>
                <w:szCs w:val="18"/>
                <w:color w:val="auto"/>
              </w:rPr>
            </w:pP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51"/>
        </w:trPr>
        <w:tc>
          <w:tcPr>
            <w:tcW w:w="5900" w:type="dxa"/>
            <w:vAlign w:val="bottom"/>
          </w:tcPr>
          <w:p>
            <w:pPr>
              <w:spacing w:after="0"/>
              <w:rPr>
                <w:sz w:val="20"/>
                <w:szCs w:val="20"/>
                <w:color w:val="auto"/>
              </w:rPr>
            </w:pPr>
            <w:r>
              <w:rPr>
                <w:rFonts w:ascii="Arial" w:cs="Arial" w:eastAsia="Arial" w:hAnsi="Arial"/>
                <w:sz w:val="16"/>
                <w:szCs w:val="16"/>
                <w:color w:val="auto"/>
              </w:rPr>
              <w:t>Total current assets</w:t>
            </w:r>
          </w:p>
        </w:tc>
        <w:tc>
          <w:tcPr>
            <w:tcW w:w="740" w:type="dxa"/>
            <w:vAlign w:val="bottom"/>
          </w:tcPr>
          <w:p>
            <w:pPr>
              <w:spacing w:after="0"/>
              <w:rPr>
                <w:sz w:val="21"/>
                <w:szCs w:val="21"/>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3,869</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3,596</w:t>
            </w:r>
          </w:p>
        </w:tc>
      </w:tr>
      <w:tr>
        <w:trPr>
          <w:trHeight w:val="54"/>
        </w:trPr>
        <w:tc>
          <w:tcPr>
            <w:tcW w:w="590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1,504</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Net properties (Note 11)</w:t>
            </w:r>
          </w:p>
        </w:tc>
        <w:tc>
          <w:tcPr>
            <w:tcW w:w="7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50,814</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50,389</w:t>
            </w:r>
          </w:p>
        </w:tc>
      </w:tr>
      <w:tr>
        <w:trPr>
          <w:trHeight w:val="210"/>
        </w:trPr>
        <w:tc>
          <w:tcPr>
            <w:tcW w:w="59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740" w:type="dxa"/>
            <w:vAlign w:val="bottom"/>
            <w:tcBorders>
              <w:bottom w:val="single" w:sz="8" w:color="7F7F7F"/>
            </w:tcBorders>
            <w:shd w:val="clear" w:color="auto" w:fill="CCEEFF"/>
          </w:tcPr>
          <w:p>
            <w:pPr>
              <w:spacing w:after="0"/>
              <w:rPr>
                <w:sz w:val="18"/>
                <w:szCs w:val="18"/>
                <w:color w:val="auto"/>
              </w:rPr>
            </w:pPr>
          </w:p>
        </w:tc>
        <w:tc>
          <w:tcPr>
            <w:tcW w:w="980" w:type="dxa"/>
            <w:vAlign w:val="bottom"/>
            <w:tcBorders>
              <w:bottom w:val="single" w:sz="8" w:color="7F7F7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291</w:t>
            </w:r>
          </w:p>
        </w:tc>
        <w:tc>
          <w:tcPr>
            <w:tcW w:w="400" w:type="dxa"/>
            <w:vAlign w:val="bottom"/>
            <w:tcBorders>
              <w:bottom w:val="single" w:sz="8" w:color="7F7F7F"/>
            </w:tcBorders>
            <w:shd w:val="clear" w:color="auto" w:fill="CCEEFF"/>
          </w:tcPr>
          <w:p>
            <w:pPr>
              <w:spacing w:after="0"/>
              <w:rPr>
                <w:sz w:val="18"/>
                <w:szCs w:val="18"/>
                <w:color w:val="auto"/>
              </w:rPr>
            </w:pP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51"/>
        </w:trPr>
        <w:tc>
          <w:tcPr>
            <w:tcW w:w="5900" w:type="dxa"/>
            <w:vAlign w:val="bottom"/>
          </w:tcPr>
          <w:p>
            <w:pPr>
              <w:spacing w:after="0"/>
              <w:rPr>
                <w:sz w:val="20"/>
                <w:szCs w:val="20"/>
                <w:color w:val="auto"/>
              </w:rPr>
            </w:pPr>
            <w:r>
              <w:rPr>
                <w:rFonts w:ascii="Arial" w:cs="Arial" w:eastAsia="Arial" w:hAnsi="Arial"/>
                <w:sz w:val="16"/>
                <w:szCs w:val="16"/>
                <w:color w:val="auto"/>
              </w:rPr>
              <w:t>Total assets</w:t>
            </w: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56,478</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55,718</w:t>
            </w:r>
          </w:p>
        </w:tc>
      </w:tr>
      <w:tr>
        <w:trPr>
          <w:trHeight w:val="54"/>
        </w:trPr>
        <w:tc>
          <w:tcPr>
            <w:tcW w:w="590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Common Shareholders' Equity</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Current liabilities: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other current liabilities (Note 12)</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2,875</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r>
      <w:tr>
        <w:trPr>
          <w:trHeight w:val="210"/>
        </w:trPr>
        <w:tc>
          <w:tcPr>
            <w:tcW w:w="590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Debt due within one year (Note 14)</w:t>
            </w:r>
          </w:p>
        </w:tc>
        <w:tc>
          <w:tcPr>
            <w:tcW w:w="740" w:type="dxa"/>
            <w:vAlign w:val="bottom"/>
            <w:tcBorders>
              <w:bottom w:val="single" w:sz="8" w:color="7F7F7F"/>
            </w:tcBorders>
          </w:tcPr>
          <w:p>
            <w:pPr>
              <w:spacing w:after="0"/>
              <w:rPr>
                <w:sz w:val="18"/>
                <w:szCs w:val="18"/>
                <w:color w:val="auto"/>
              </w:rPr>
            </w:pPr>
          </w:p>
        </w:tc>
        <w:tc>
          <w:tcPr>
            <w:tcW w:w="98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b w:val="1"/>
                <w:bCs w:val="1"/>
                <w:color w:val="auto"/>
              </w:rPr>
              <w:t>531</w:t>
            </w:r>
          </w:p>
        </w:tc>
        <w:tc>
          <w:tcPr>
            <w:tcW w:w="400" w:type="dxa"/>
            <w:vAlign w:val="bottom"/>
            <w:tcBorders>
              <w:bottom w:val="single" w:sz="8" w:color="7F7F7F"/>
            </w:tcBorders>
          </w:tcPr>
          <w:p>
            <w:pPr>
              <w:spacing w:after="0"/>
              <w:rPr>
                <w:sz w:val="18"/>
                <w:szCs w:val="18"/>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758</w:t>
            </w:r>
          </w:p>
        </w:tc>
      </w:tr>
      <w:tr>
        <w:trPr>
          <w:trHeight w:val="30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7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3,406</w:t>
            </w:r>
          </w:p>
        </w:tc>
        <w:tc>
          <w:tcPr>
            <w:tcW w:w="4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3,640</w:t>
            </w:r>
          </w:p>
        </w:tc>
      </w:tr>
      <w:tr>
        <w:trPr>
          <w:trHeight w:val="203"/>
        </w:trPr>
        <w:tc>
          <w:tcPr>
            <w:tcW w:w="59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Debt due after one year (Note 14)</w:t>
            </w:r>
          </w:p>
        </w:tc>
        <w:tc>
          <w:tcPr>
            <w:tcW w:w="740" w:type="dxa"/>
            <w:vAlign w:val="bottom"/>
            <w:tcBorders>
              <w:top w:val="single" w:sz="8" w:color="7F7F7F"/>
            </w:tcBorders>
          </w:tcPr>
          <w:p>
            <w:pPr>
              <w:spacing w:after="0"/>
              <w:rPr>
                <w:sz w:val="17"/>
                <w:szCs w:val="17"/>
                <w:color w:val="auto"/>
              </w:rPr>
            </w:pPr>
          </w:p>
        </w:tc>
        <w:tc>
          <w:tcPr>
            <w:tcW w:w="980" w:type="dxa"/>
            <w:vAlign w:val="bottom"/>
            <w:tcBorders>
              <w:top w:val="single" w:sz="8" w:color="7F7F7F"/>
            </w:tcBorders>
          </w:tcPr>
          <w:p>
            <w:pPr>
              <w:jc w:val="right"/>
              <w:ind w:right="119"/>
              <w:spacing w:after="0"/>
              <w:rPr>
                <w:sz w:val="20"/>
                <w:szCs w:val="20"/>
                <w:color w:val="auto"/>
              </w:rPr>
            </w:pPr>
            <w:r>
              <w:rPr>
                <w:rFonts w:ascii="Arial" w:cs="Arial" w:eastAsia="Arial" w:hAnsi="Arial"/>
                <w:sz w:val="16"/>
                <w:szCs w:val="16"/>
                <w:b w:val="1"/>
                <w:bCs w:val="1"/>
                <w:color w:val="auto"/>
              </w:rPr>
              <w:t>15,229</w:t>
            </w:r>
          </w:p>
        </w:tc>
        <w:tc>
          <w:tcPr>
            <w:tcW w:w="400" w:type="dxa"/>
            <w:vAlign w:val="bottom"/>
            <w:tcBorders>
              <w:top w:val="single" w:sz="8" w:color="7F7F7F"/>
            </w:tcBorders>
          </w:tcPr>
          <w:p>
            <w:pPr>
              <w:spacing w:after="0"/>
              <w:rPr>
                <w:sz w:val="17"/>
                <w:szCs w:val="17"/>
                <w:color w:val="auto"/>
              </w:rPr>
            </w:pP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14,249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16,329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15,996</w:t>
            </w: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7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1,899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1,901</w:t>
            </w:r>
          </w:p>
        </w:tc>
      </w:tr>
      <w:tr>
        <w:trPr>
          <w:trHeight w:val="210"/>
        </w:trPr>
        <w:tc>
          <w:tcPr>
            <w:tcW w:w="59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16)</w:t>
            </w:r>
          </w:p>
        </w:tc>
        <w:tc>
          <w:tcPr>
            <w:tcW w:w="740" w:type="dxa"/>
            <w:vAlign w:val="bottom"/>
            <w:tcBorders>
              <w:bottom w:val="single" w:sz="8" w:color="7F7F7F"/>
            </w:tcBorders>
            <w:shd w:val="clear" w:color="auto" w:fill="CCEEFF"/>
          </w:tcPr>
          <w:p>
            <w:pPr>
              <w:spacing w:after="0"/>
              <w:rPr>
                <w:sz w:val="18"/>
                <w:szCs w:val="18"/>
                <w:color w:val="auto"/>
              </w:rPr>
            </w:pPr>
          </w:p>
        </w:tc>
        <w:tc>
          <w:tcPr>
            <w:tcW w:w="980" w:type="dxa"/>
            <w:vAlign w:val="bottom"/>
            <w:tcBorders>
              <w:bottom w:val="single" w:sz="8" w:color="7F7F7F"/>
            </w:tcBorders>
            <w:shd w:val="clear" w:color="auto" w:fill="CCEEFF"/>
          </w:tcPr>
          <w:p>
            <w:pPr>
              <w:spacing w:after="0"/>
              <w:rPr>
                <w:sz w:val="18"/>
                <w:szCs w:val="18"/>
                <w:color w:val="auto"/>
              </w:rPr>
            </w:pPr>
          </w:p>
        </w:tc>
        <w:tc>
          <w:tcPr>
            <w:tcW w:w="400" w:type="dxa"/>
            <w:vAlign w:val="bottom"/>
            <w:tcBorders>
              <w:bottom w:val="single" w:sz="8" w:color="7F7F7F"/>
            </w:tcBorders>
            <w:shd w:val="clear" w:color="auto" w:fill="CCEEFF"/>
          </w:tcPr>
          <w:p>
            <w:pPr>
              <w:spacing w:after="0"/>
              <w:rPr>
                <w:sz w:val="18"/>
                <w:szCs w:val="18"/>
                <w:color w:val="auto"/>
              </w:rPr>
            </w:pPr>
          </w:p>
        </w:tc>
        <w:tc>
          <w:tcPr>
            <w:tcW w:w="800" w:type="dxa"/>
            <w:vAlign w:val="bottom"/>
            <w:tcBorders>
              <w:bottom w:val="single" w:sz="8" w:color="7F7F7F"/>
            </w:tcBorders>
            <w:shd w:val="clear" w:color="auto" w:fill="CCEEFF"/>
          </w:tcPr>
          <w:p>
            <w:pPr>
              <w:spacing w:after="0"/>
              <w:rPr>
                <w:sz w:val="18"/>
                <w:szCs w:val="18"/>
                <w:color w:val="auto"/>
              </w:rPr>
            </w:pPr>
          </w:p>
        </w:tc>
      </w:tr>
      <w:tr>
        <w:trPr>
          <w:trHeight w:val="251"/>
        </w:trPr>
        <w:tc>
          <w:tcPr>
            <w:tcW w:w="5900" w:type="dxa"/>
            <w:vAlign w:val="bottom"/>
          </w:tcPr>
          <w:p>
            <w:pPr>
              <w:spacing w:after="0"/>
              <w:rPr>
                <w:sz w:val="20"/>
                <w:szCs w:val="20"/>
                <w:color w:val="auto"/>
              </w:rPr>
            </w:pPr>
            <w:r>
              <w:rPr>
                <w:rFonts w:ascii="Arial" w:cs="Arial" w:eastAsia="Arial" w:hAnsi="Arial"/>
                <w:sz w:val="16"/>
                <w:szCs w:val="16"/>
                <w:color w:val="auto"/>
              </w:rPr>
              <w:t>Total liabilities</w:t>
            </w:r>
          </w:p>
        </w:tc>
        <w:tc>
          <w:tcPr>
            <w:tcW w:w="740" w:type="dxa"/>
            <w:vAlign w:val="bottom"/>
          </w:tcPr>
          <w:p>
            <w:pPr>
              <w:spacing w:after="0"/>
              <w:rPr>
                <w:sz w:val="21"/>
                <w:szCs w:val="21"/>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36,863</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35,786</w:t>
            </w:r>
          </w:p>
        </w:tc>
      </w:tr>
      <w:tr>
        <w:trPr>
          <w:trHeight w:val="54"/>
        </w:trPr>
        <w:tc>
          <w:tcPr>
            <w:tcW w:w="590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Common shareholders' equity:</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5900" w:type="dxa"/>
            <w:vAlign w:val="bottom"/>
          </w:tcPr>
          <w:p>
            <w:pPr>
              <w:ind w:left="220"/>
              <w:spacing w:after="0"/>
              <w:rPr>
                <w:sz w:val="20"/>
                <w:szCs w:val="20"/>
                <w:color w:val="auto"/>
              </w:rPr>
            </w:pPr>
            <w:r>
              <w:rPr>
                <w:rFonts w:ascii="Arial" w:cs="Arial" w:eastAsia="Arial" w:hAnsi="Arial"/>
                <w:sz w:val="16"/>
                <w:szCs w:val="16"/>
                <w:color w:val="auto"/>
              </w:rPr>
              <w:t>Common shares, $2.50 par value, 1,400,000,000 authorized;</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1,111,425,213 and 1,110,986,415 issued; 801,484,015 and 815,824,413</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outstanding, respectively</w:t>
            </w:r>
          </w:p>
        </w:tc>
        <w:tc>
          <w:tcPr>
            <w:tcW w:w="7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2,778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2,777</w:t>
            </w:r>
          </w:p>
        </w:tc>
      </w:tr>
      <w:tr>
        <w:trPr>
          <w:trHeight w:val="217"/>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Paid-in-surplus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4,431</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7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33,847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32,587</w:t>
            </w:r>
          </w:p>
        </w:tc>
      </w:tr>
      <w:tr>
        <w:trPr>
          <w:trHeight w:val="217"/>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(20,220)</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(18,581)</w:t>
            </w:r>
          </w:p>
        </w:tc>
      </w:tr>
      <w:tr>
        <w:trPr>
          <w:trHeight w:val="210"/>
        </w:trPr>
        <w:tc>
          <w:tcPr>
            <w:tcW w:w="590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Accumulated other comprehensive loss (Note 9)</w:t>
            </w:r>
          </w:p>
        </w:tc>
        <w:tc>
          <w:tcPr>
            <w:tcW w:w="740" w:type="dxa"/>
            <w:vAlign w:val="bottom"/>
            <w:tcBorders>
              <w:bottom w:val="single" w:sz="8" w:color="7F7F7F"/>
            </w:tcBorders>
          </w:tcPr>
          <w:p>
            <w:pPr>
              <w:spacing w:after="0"/>
              <w:rPr>
                <w:sz w:val="18"/>
                <w:szCs w:val="18"/>
                <w:color w:val="auto"/>
              </w:rPr>
            </w:pPr>
          </w:p>
        </w:tc>
        <w:tc>
          <w:tcPr>
            <w:tcW w:w="98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b w:val="1"/>
                <w:bCs w:val="1"/>
                <w:color w:val="auto"/>
              </w:rPr>
              <w:t>(1,221)</w:t>
            </w:r>
          </w:p>
        </w:tc>
        <w:tc>
          <w:tcPr>
            <w:tcW w:w="400" w:type="dxa"/>
            <w:vAlign w:val="bottom"/>
            <w:tcBorders>
              <w:bottom w:val="single" w:sz="8" w:color="7F7F7F"/>
            </w:tcBorders>
          </w:tcPr>
          <w:p>
            <w:pPr>
              <w:spacing w:after="0"/>
              <w:rPr>
                <w:sz w:val="18"/>
                <w:szCs w:val="18"/>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(1,272)</w:t>
            </w:r>
          </w:p>
        </w:tc>
      </w:tr>
      <w:tr>
        <w:trPr>
          <w:trHeight w:val="30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common shareholders' equity</w:t>
            </w:r>
          </w:p>
        </w:tc>
        <w:tc>
          <w:tcPr>
            <w:tcW w:w="7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19,615</w:t>
            </w:r>
          </w:p>
        </w:tc>
        <w:tc>
          <w:tcPr>
            <w:tcW w:w="4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19,932</w:t>
            </w:r>
          </w:p>
        </w:tc>
      </w:tr>
      <w:tr>
        <w:trPr>
          <w:trHeight w:val="251"/>
        </w:trPr>
        <w:tc>
          <w:tcPr>
            <w:tcW w:w="59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Total liabilities and common shareholders' equity</w:t>
            </w:r>
          </w:p>
        </w:tc>
        <w:tc>
          <w:tcPr>
            <w:tcW w:w="74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7F7F7F"/>
            </w:tcBorders>
          </w:tcPr>
          <w:p>
            <w:pPr>
              <w:jc w:val="right"/>
              <w:ind w:right="119"/>
              <w:spacing w:after="0"/>
              <w:rPr>
                <w:sz w:val="20"/>
                <w:szCs w:val="20"/>
                <w:color w:val="auto"/>
              </w:rPr>
            </w:pPr>
            <w:r>
              <w:rPr>
                <w:rFonts w:ascii="Arial" w:cs="Arial" w:eastAsia="Arial" w:hAnsi="Arial"/>
                <w:sz w:val="16"/>
                <w:szCs w:val="16"/>
                <w:b w:val="1"/>
                <w:bCs w:val="1"/>
                <w:color w:val="auto"/>
              </w:rPr>
              <w:t>56,478</w:t>
            </w:r>
          </w:p>
        </w:tc>
        <w:tc>
          <w:tcPr>
            <w:tcW w:w="400" w:type="dxa"/>
            <w:vAlign w:val="bottom"/>
            <w:tcBorders>
              <w:top w:val="single" w:sz="8" w:color="7F7F7F"/>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55,718</w:t>
            </w:r>
          </w:p>
        </w:tc>
      </w:tr>
      <w:tr>
        <w:trPr>
          <w:trHeight w:val="54"/>
        </w:trPr>
        <w:tc>
          <w:tcPr>
            <w:tcW w:w="590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bl>
    <w:p>
      <w:pPr>
        <w:spacing w:after="0" w:line="153" w:lineRule="exact"/>
        <w:rPr>
          <w:sz w:val="20"/>
          <w:szCs w:val="20"/>
          <w:color w:val="auto"/>
        </w:rPr>
      </w:pPr>
    </w:p>
    <w:p>
      <w:pPr>
        <w:ind w:left="1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622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920" w:type="dxa"/>
            <w:vAlign w:val="bottom"/>
            <w:tcBorders>
              <w:top w:val="single" w:sz="8" w:color="7F7F7F"/>
            </w:tcBorders>
          </w:tcPr>
          <w:p>
            <w:pPr>
              <w:spacing w:after="0"/>
              <w:rPr>
                <w:sz w:val="22"/>
                <w:szCs w:val="22"/>
                <w:color w:val="auto"/>
              </w:rPr>
            </w:pPr>
          </w:p>
        </w:tc>
        <w:tc>
          <w:tcPr>
            <w:tcW w:w="740" w:type="dxa"/>
            <w:vAlign w:val="bottom"/>
            <w:tcBorders>
              <w:top w:val="single" w:sz="8" w:color="7F7F7F"/>
            </w:tcBorders>
            <w:vMerge w:val="restart"/>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Borders>
              <w:top w:val="single" w:sz="8" w:color="7F7F7F"/>
            </w:tcBorders>
          </w:tcPr>
          <w:p>
            <w:pPr>
              <w:spacing w:after="0"/>
              <w:rPr>
                <w:sz w:val="22"/>
                <w:szCs w:val="22"/>
                <w:color w:val="auto"/>
              </w:rPr>
            </w:pPr>
          </w:p>
        </w:tc>
        <w:tc>
          <w:tcPr>
            <w:tcW w:w="6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62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92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vMerge w:val="continue"/>
          </w:tcPr>
          <w:p>
            <w:pPr>
              <w:spacing w:after="0"/>
              <w:rPr>
                <w:sz w:val="17"/>
                <w:szCs w:val="17"/>
                <w:color w:val="auto"/>
              </w:rPr>
            </w:pPr>
          </w:p>
        </w:tc>
        <w:tc>
          <w:tcPr>
            <w:tcW w:w="32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2,240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00"/>
              <w:spacing w:after="0"/>
              <w:rPr>
                <w:sz w:val="20"/>
                <w:szCs w:val="20"/>
                <w:color w:val="auto"/>
              </w:rPr>
            </w:pPr>
            <w:r>
              <w:rPr>
                <w:rFonts w:ascii="Arial" w:cs="Arial" w:eastAsia="Arial" w:hAnsi="Arial"/>
                <w:sz w:val="16"/>
                <w:szCs w:val="16"/>
                <w:color w:val="auto"/>
              </w:rPr>
              <w:t>Depreciation</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1,045</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and other income taxes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298</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5"/>
        </w:trPr>
        <w:tc>
          <w:tcPr>
            <w:tcW w:w="6220" w:type="dxa"/>
            <w:vAlign w:val="bottom"/>
          </w:tcPr>
          <w:p>
            <w:pPr>
              <w:ind w:left="100"/>
              <w:spacing w:after="0"/>
              <w:rPr>
                <w:sz w:val="20"/>
                <w:szCs w:val="20"/>
                <w:color w:val="auto"/>
              </w:rPr>
            </w:pPr>
            <w:r>
              <w:rPr>
                <w:rFonts w:ascii="Arial" w:cs="Arial" w:eastAsia="Arial" w:hAnsi="Arial"/>
                <w:sz w:val="16"/>
                <w:szCs w:val="16"/>
                <w:color w:val="auto"/>
              </w:rPr>
              <w:t>Other operating activities, net</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119</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current assets and liabilities: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(99)</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Materials and supplies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622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(114)</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other current liabilities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Income and other taxes</w:t>
            </w:r>
          </w:p>
        </w:tc>
        <w:tc>
          <w:tcPr>
            <w:tcW w:w="920" w:type="dxa"/>
            <w:vAlign w:val="bottom"/>
            <w:tcBorders>
              <w:bottom w:val="single" w:sz="8" w:color="7F7F7F"/>
            </w:tcBorders>
          </w:tcPr>
          <w:p>
            <w:pPr>
              <w:spacing w:after="0"/>
              <w:rPr>
                <w:sz w:val="19"/>
                <w:szCs w:val="19"/>
                <w:color w:val="auto"/>
              </w:rPr>
            </w:pPr>
          </w:p>
        </w:tc>
        <w:tc>
          <w:tcPr>
            <w:tcW w:w="7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38</w:t>
            </w:r>
          </w:p>
        </w:tc>
        <w:tc>
          <w:tcPr>
            <w:tcW w:w="3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Cash provided by operating activities</w:t>
            </w:r>
          </w:p>
        </w:tc>
        <w:tc>
          <w:tcPr>
            <w:tcW w:w="920" w:type="dxa"/>
            <w:vAlign w:val="bottom"/>
            <w:tcBorders>
              <w:bottom w:val="single" w:sz="8" w:color="7F7F7F"/>
            </w:tcBorders>
            <w:shd w:val="clear" w:color="auto" w:fill="CCEEFF"/>
          </w:tcPr>
          <w:p>
            <w:pPr>
              <w:spacing w:after="0"/>
              <w:rPr>
                <w:sz w:val="17"/>
                <w:szCs w:val="17"/>
                <w:color w:val="auto"/>
              </w:rPr>
            </w:pPr>
          </w:p>
        </w:tc>
        <w:tc>
          <w:tcPr>
            <w:tcW w:w="74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3,459</w:t>
            </w:r>
          </w:p>
        </w:tc>
        <w:tc>
          <w:tcPr>
            <w:tcW w:w="320" w:type="dxa"/>
            <w:vAlign w:val="bottom"/>
            <w:tcBorders>
              <w:bottom w:val="single" w:sz="8" w:color="7F7F7F"/>
            </w:tcBorders>
            <w:shd w:val="clear" w:color="auto" w:fill="CCEEFF"/>
          </w:tcPr>
          <w:p>
            <w:pPr>
              <w:spacing w:after="0"/>
              <w:rPr>
                <w:sz w:val="17"/>
                <w:szCs w:val="17"/>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Capital investments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(1,589)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Purchases of short-term investments (Note 13)</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(90)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Maturities of short-term investments (Note 13)</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Proceeds from asset sales</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70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Other investing activities, net</w:t>
            </w:r>
          </w:p>
        </w:tc>
        <w:tc>
          <w:tcPr>
            <w:tcW w:w="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w:t>
            </w:r>
          </w:p>
        </w:tc>
        <w:tc>
          <w:tcPr>
            <w:tcW w:w="32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Cash used in investing activities</w:t>
            </w:r>
          </w:p>
        </w:tc>
        <w:tc>
          <w:tcPr>
            <w:tcW w:w="92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(1,564)</w:t>
            </w:r>
          </w:p>
        </w:tc>
        <w:tc>
          <w:tcPr>
            <w:tcW w:w="32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Common share repurchases (Note 17)</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(1,611)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Debt issued (Note 14)</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1,186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Dividends paid</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(980)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Debt repaid</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(444)</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 financing activities, net</w:t>
            </w: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(37)</w:t>
            </w:r>
          </w:p>
        </w:tc>
        <w:tc>
          <w:tcPr>
            <w:tcW w:w="32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Cash used in financing activities</w:t>
            </w:r>
          </w:p>
        </w:tc>
        <w:tc>
          <w:tcPr>
            <w:tcW w:w="920" w:type="dxa"/>
            <w:vAlign w:val="bottom"/>
            <w:tcBorders>
              <w:bottom w:val="single" w:sz="8" w:color="7F7F7F"/>
            </w:tcBorders>
            <w:shd w:val="clear" w:color="auto" w:fill="CCEEFF"/>
          </w:tcPr>
          <w:p>
            <w:pPr>
              <w:spacing w:after="0"/>
              <w:rPr>
                <w:sz w:val="17"/>
                <w:szCs w:val="17"/>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(1,886)</w:t>
            </w:r>
          </w:p>
        </w:tc>
        <w:tc>
          <w:tcPr>
            <w:tcW w:w="320" w:type="dxa"/>
            <w:vAlign w:val="bottom"/>
            <w:tcBorders>
              <w:bottom w:val="single" w:sz="8" w:color="7F7F7F"/>
            </w:tcBorders>
            <w:shd w:val="clear" w:color="auto" w:fill="CCEEFF"/>
          </w:tcPr>
          <w:p>
            <w:pPr>
              <w:spacing w:after="0"/>
              <w:rPr>
                <w:sz w:val="17"/>
                <w:szCs w:val="17"/>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92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9</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1,277</w:t>
            </w:r>
          </w:p>
        </w:tc>
        <w:tc>
          <w:tcPr>
            <w:tcW w:w="32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1,286</w:t>
            </w:r>
          </w:p>
        </w:tc>
        <w:tc>
          <w:tcPr>
            <w:tcW w:w="32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100"/>
              <w:spacing w:after="0"/>
              <w:rPr>
                <w:sz w:val="20"/>
                <w:szCs w:val="20"/>
                <w:color w:val="auto"/>
              </w:rPr>
            </w:pPr>
            <w:r>
              <w:rPr>
                <w:rFonts w:ascii="Arial" w:cs="Arial" w:eastAsia="Arial" w:hAnsi="Arial"/>
                <w:sz w:val="16"/>
                <w:szCs w:val="16"/>
                <w:color w:val="auto"/>
              </w:rPr>
              <w:t>Non-cash investing and financing activities:</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investments accrued but not yet paid</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106</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5"/>
        </w:trPr>
        <w:tc>
          <w:tcPr>
            <w:tcW w:w="6220" w:type="dxa"/>
            <w:vAlign w:val="bottom"/>
          </w:tcPr>
          <w:p>
            <w:pPr>
              <w:ind w:left="220"/>
              <w:spacing w:after="0"/>
              <w:rPr>
                <w:sz w:val="20"/>
                <w:szCs w:val="20"/>
                <w:color w:val="auto"/>
              </w:rPr>
            </w:pPr>
            <w:r>
              <w:rPr>
                <w:rFonts w:ascii="Arial" w:cs="Arial" w:eastAsia="Arial" w:hAnsi="Arial"/>
                <w:sz w:val="16"/>
                <w:szCs w:val="16"/>
                <w:color w:val="auto"/>
              </w:rPr>
              <w:t>Common shares repurchased but not yet paid</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41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(paid for)/received from:</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220"/>
              <w:spacing w:after="0"/>
              <w:rPr>
                <w:sz w:val="20"/>
                <w:szCs w:val="20"/>
                <w:color w:val="auto"/>
              </w:rPr>
            </w:pPr>
            <w:r>
              <w:rPr>
                <w:rFonts w:ascii="Arial" w:cs="Arial" w:eastAsia="Arial" w:hAnsi="Arial"/>
                <w:sz w:val="16"/>
                <w:szCs w:val="16"/>
                <w:color w:val="auto"/>
              </w:rPr>
              <w:t>Income taxes, net of refunds</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(977)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24"/>
        </w:trPr>
        <w:tc>
          <w:tcPr>
            <w:tcW w:w="622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Interest, net of amounts capitalized</w:t>
            </w:r>
          </w:p>
        </w:tc>
        <w:tc>
          <w:tcPr>
            <w:tcW w:w="920" w:type="dxa"/>
            <w:vAlign w:val="bottom"/>
            <w:tcBorders>
              <w:bottom w:val="single" w:sz="8" w:color="7F7F7F"/>
            </w:tcBorders>
            <w:shd w:val="clear" w:color="auto" w:fill="CCEEFF"/>
          </w:tcPr>
          <w:p>
            <w:pPr>
              <w:spacing w:after="0"/>
              <w:rPr>
                <w:sz w:val="19"/>
                <w:szCs w:val="19"/>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(336)</w:t>
            </w:r>
          </w:p>
        </w:tc>
        <w:tc>
          <w:tcPr>
            <w:tcW w:w="320" w:type="dxa"/>
            <w:vAlign w:val="bottom"/>
            <w:tcBorders>
              <w:bottom w:val="single" w:sz="8" w:color="7F7F7F"/>
            </w:tcBorders>
            <w:shd w:val="clear" w:color="auto" w:fill="CCEEFF"/>
          </w:tcPr>
          <w:p>
            <w:pPr>
              <w:spacing w:after="0"/>
              <w:rPr>
                <w:sz w:val="19"/>
                <w:szCs w:val="19"/>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right="759"/>
        <w:spacing w:after="0"/>
        <w:rPr>
          <w:sz w:val="20"/>
          <w:szCs w:val="20"/>
          <w:color w:val="auto"/>
        </w:rPr>
      </w:pPr>
      <w:r>
        <w:rPr>
          <w:rFonts w:ascii="Arial" w:cs="Arial" w:eastAsia="Arial" w:hAnsi="Arial"/>
          <w:sz w:val="18"/>
          <w:szCs w:val="18"/>
          <w:b w:val="1"/>
          <w:bCs w:val="1"/>
          <w:color w:val="auto"/>
        </w:rPr>
        <w:t xml:space="preserve">Condensed Consolidated Statements of Changes in Common Shareholders’ Equity (Unaudited) </w:t>
      </w:r>
      <w:r>
        <w:rPr>
          <w:rFonts w:ascii="Arial" w:cs="Arial" w:eastAsia="Arial" w:hAnsi="Arial"/>
          <w:sz w:val="18"/>
          <w:szCs w:val="18"/>
          <w:i w:val="1"/>
          <w:iCs w:val="1"/>
          <w:color w:val="auto"/>
        </w:rPr>
        <w:t>Union Pacific Corporation and Subsidiary Companies</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2720" w:type="dxa"/>
            <w:vAlign w:val="bottom"/>
            <w:tcBorders>
              <w:top w:val="single" w:sz="8" w:color="7F7F7F"/>
              <w:right w:val="single" w:sz="8" w:color="808080"/>
            </w:tcBorders>
            <w:vMerge w:val="restart"/>
          </w:tcPr>
          <w:p>
            <w:pPr>
              <w:spacing w:after="0"/>
              <w:rPr>
                <w:sz w:val="20"/>
                <w:szCs w:val="20"/>
                <w:color w:val="auto"/>
              </w:rPr>
            </w:pPr>
            <w:r>
              <w:rPr>
                <w:rFonts w:ascii="Arial" w:cs="Arial" w:eastAsia="Arial" w:hAnsi="Arial"/>
                <w:sz w:val="16"/>
                <w:szCs w:val="16"/>
                <w:i w:val="1"/>
                <w:iCs w:val="1"/>
                <w:color w:val="auto"/>
              </w:rPr>
              <w:t>Millions</w:t>
            </w:r>
          </w:p>
        </w:tc>
        <w:tc>
          <w:tcPr>
            <w:tcW w:w="1340" w:type="dxa"/>
            <w:vAlign w:val="bottom"/>
            <w:tcBorders>
              <w:top w:val="single" w:sz="8" w:color="7F7F7F"/>
              <w:right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w w:val="98"/>
              </w:rPr>
              <w:t>Common Treasury</w:t>
            </w:r>
          </w:p>
        </w:tc>
        <w:tc>
          <w:tcPr>
            <w:tcW w:w="720" w:type="dxa"/>
            <w:vAlign w:val="bottom"/>
            <w:tcBorders>
              <w:top w:val="single" w:sz="8" w:color="7F7F7F"/>
            </w:tcBorders>
            <w:gridSpan w:val="2"/>
          </w:tcPr>
          <w:p>
            <w:pPr>
              <w:ind w:left="40"/>
              <w:spacing w:after="0"/>
              <w:rPr>
                <w:sz w:val="20"/>
                <w:szCs w:val="20"/>
                <w:color w:val="auto"/>
              </w:rPr>
            </w:pPr>
            <w:r>
              <w:rPr>
                <w:rFonts w:ascii="Arial" w:cs="Arial" w:eastAsia="Arial" w:hAnsi="Arial"/>
                <w:sz w:val="16"/>
                <w:szCs w:val="16"/>
                <w:i w:val="1"/>
                <w:iCs w:val="1"/>
                <w:color w:val="auto"/>
              </w:rPr>
              <w:t>Common</w:t>
            </w:r>
          </w:p>
        </w:tc>
        <w:tc>
          <w:tcPr>
            <w:tcW w:w="120" w:type="dxa"/>
            <w:vAlign w:val="bottom"/>
            <w:tcBorders>
              <w:top w:val="single" w:sz="8" w:color="7F7F7F"/>
            </w:tcBorders>
          </w:tcPr>
          <w:p>
            <w:pPr>
              <w:spacing w:after="0"/>
              <w:rPr>
                <w:sz w:val="22"/>
                <w:szCs w:val="22"/>
                <w:color w:val="auto"/>
              </w:rPr>
            </w:pPr>
          </w:p>
        </w:tc>
        <w:tc>
          <w:tcPr>
            <w:tcW w:w="1400" w:type="dxa"/>
            <w:vAlign w:val="bottom"/>
            <w:tcBorders>
              <w:top w:val="single" w:sz="8" w:color="7F7F7F"/>
            </w:tcBorders>
            <w:gridSpan w:val="3"/>
          </w:tcPr>
          <w:p>
            <w:pPr>
              <w:jc w:val="right"/>
              <w:spacing w:after="0"/>
              <w:rPr>
                <w:sz w:val="20"/>
                <w:szCs w:val="20"/>
                <w:color w:val="auto"/>
              </w:rPr>
            </w:pPr>
            <w:r>
              <w:rPr>
                <w:rFonts w:ascii="Arial" w:cs="Arial" w:eastAsia="Arial" w:hAnsi="Arial"/>
                <w:sz w:val="16"/>
                <w:szCs w:val="16"/>
                <w:i w:val="1"/>
                <w:iCs w:val="1"/>
                <w:color w:val="auto"/>
              </w:rPr>
              <w:t>Paid-in-  Retained</w:t>
            </w:r>
          </w:p>
        </w:tc>
        <w:tc>
          <w:tcPr>
            <w:tcW w:w="18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Treasury</w:t>
            </w:r>
          </w:p>
        </w:tc>
        <w:tc>
          <w:tcPr>
            <w:tcW w:w="180" w:type="dxa"/>
            <w:vAlign w:val="bottom"/>
            <w:tcBorders>
              <w:top w:val="single" w:sz="8" w:color="7F7F7F"/>
            </w:tcBorders>
          </w:tcPr>
          <w:p>
            <w:pPr>
              <w:spacing w:after="0"/>
              <w:rPr>
                <w:sz w:val="22"/>
                <w:szCs w:val="22"/>
                <w:color w:val="auto"/>
              </w:rPr>
            </w:pPr>
          </w:p>
        </w:tc>
        <w:tc>
          <w:tcPr>
            <w:tcW w:w="62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AOCI</w:t>
            </w:r>
          </w:p>
        </w:tc>
        <w:tc>
          <w:tcPr>
            <w:tcW w:w="220" w:type="dxa"/>
            <w:vAlign w:val="bottom"/>
            <w:tcBorders>
              <w:top w:val="single" w:sz="8" w:color="7F7F7F"/>
            </w:tcBorders>
          </w:tcPr>
          <w:p>
            <w:pPr>
              <w:spacing w:after="0"/>
              <w:rPr>
                <w:sz w:val="22"/>
                <w:szCs w:val="22"/>
                <w:color w:val="auto"/>
              </w:rPr>
            </w:pPr>
          </w:p>
        </w:tc>
        <w:tc>
          <w:tcPr>
            <w:tcW w:w="6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7F7F7F"/>
              <w:right w:val="single" w:sz="8" w:color="808080"/>
            </w:tcBorders>
            <w:vMerge w:val="continue"/>
          </w:tcPr>
          <w:p>
            <w:pPr>
              <w:spacing w:after="0"/>
              <w:rPr>
                <w:sz w:val="17"/>
                <w:szCs w:val="17"/>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Shares</w:t>
            </w:r>
          </w:p>
        </w:tc>
        <w:tc>
          <w:tcPr>
            <w:tcW w:w="60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6"/>
                <w:szCs w:val="16"/>
                <w:i w:val="1"/>
                <w:iCs w:val="1"/>
                <w:color w:val="auto"/>
              </w:rPr>
              <w:t>Shares</w:t>
            </w:r>
          </w:p>
        </w:tc>
        <w:tc>
          <w:tcPr>
            <w:tcW w:w="14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Shares</w:t>
            </w:r>
          </w:p>
        </w:tc>
        <w:tc>
          <w:tcPr>
            <w:tcW w:w="12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Surplus</w:t>
            </w:r>
          </w:p>
        </w:tc>
        <w:tc>
          <w:tcPr>
            <w:tcW w:w="12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Earnings</w:t>
            </w:r>
          </w:p>
        </w:tc>
        <w:tc>
          <w:tcPr>
            <w:tcW w:w="18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Stock</w:t>
            </w:r>
          </w:p>
        </w:tc>
        <w:tc>
          <w:tcPr>
            <w:tcW w:w="1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[a]</w:t>
            </w:r>
          </w:p>
        </w:tc>
        <w:tc>
          <w:tcPr>
            <w:tcW w:w="22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7F7F7F"/>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Balance at January 1, 2016</w:t>
            </w: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1,110.4</w:t>
            </w:r>
          </w:p>
        </w:tc>
        <w:tc>
          <w:tcPr>
            <w:tcW w:w="600" w:type="dxa"/>
            <w:vAlign w:val="bottom"/>
            <w:tcBorders>
              <w:bottom w:val="single" w:sz="8" w:color="7F7F7F"/>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4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4,417</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30,233</w:t>
            </w:r>
          </w:p>
        </w:tc>
        <w:tc>
          <w:tcPr>
            <w:tcW w:w="1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(15,529)</w:t>
            </w:r>
          </w:p>
        </w:tc>
        <w:tc>
          <w:tcPr>
            <w:tcW w:w="1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22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20,702</w:t>
            </w:r>
          </w:p>
        </w:tc>
        <w:tc>
          <w:tcPr>
            <w:tcW w:w="0" w:type="dxa"/>
            <w:vAlign w:val="bottom"/>
          </w:tcPr>
          <w:p>
            <w:pPr>
              <w:spacing w:after="0"/>
              <w:rPr>
                <w:sz w:val="1"/>
                <w:szCs w:val="1"/>
                <w:color w:val="auto"/>
              </w:rPr>
            </w:pPr>
          </w:p>
        </w:tc>
      </w:tr>
      <w:tr>
        <w:trPr>
          <w:trHeight w:val="200"/>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7"/>
                <w:szCs w:val="17"/>
                <w:color w:val="auto"/>
              </w:rPr>
            </w:pPr>
          </w:p>
        </w:tc>
        <w:tc>
          <w:tcPr>
            <w:tcW w:w="600" w:type="dxa"/>
            <w:vAlign w:val="bottom"/>
            <w:tcBorders>
              <w:right w:val="single" w:sz="8" w:color="7F7F7F"/>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1,958</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19"/>
        </w:trPr>
        <w:tc>
          <w:tcPr>
            <w:tcW w:w="2720" w:type="dxa"/>
            <w:vAlign w:val="bottom"/>
            <w:tcBorders>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740" w:type="dxa"/>
            <w:vAlign w:val="bottom"/>
            <w:shd w:val="clear" w:color="auto" w:fill="CCEEFF"/>
          </w:tcPr>
          <w:p>
            <w:pPr>
              <w:spacing w:after="0"/>
              <w:rPr>
                <w:sz w:val="19"/>
                <w:szCs w:val="19"/>
                <w:color w:val="auto"/>
              </w:rPr>
            </w:pPr>
          </w:p>
        </w:tc>
        <w:tc>
          <w:tcPr>
            <w:tcW w:w="600" w:type="dxa"/>
            <w:vAlign w:val="bottom"/>
            <w:tcBorders>
              <w:right w:val="single" w:sz="8" w:color="7F7F7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Conversion, stock option</w:t>
            </w: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color w:val="auto"/>
              </w:rPr>
              <w:t>0.6</w:t>
            </w:r>
          </w:p>
        </w:tc>
        <w:tc>
          <w:tcPr>
            <w:tcW w:w="60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14"/>
        </w:trPr>
        <w:tc>
          <w:tcPr>
            <w:tcW w:w="2720" w:type="dxa"/>
            <w:vAlign w:val="bottom"/>
            <w:tcBorders>
              <w:right w:val="single" w:sz="8" w:color="808080"/>
            </w:tcBorders>
            <w:vMerge w:val="restart"/>
          </w:tcPr>
          <w:p>
            <w:pPr>
              <w:ind w:left="100"/>
              <w:spacing w:after="0"/>
              <w:rPr>
                <w:sz w:val="20"/>
                <w:szCs w:val="20"/>
                <w:color w:val="auto"/>
              </w:rPr>
            </w:pPr>
            <w:r>
              <w:rPr>
                <w:rFonts w:ascii="Arial" w:cs="Arial" w:eastAsia="Arial" w:hAnsi="Arial"/>
                <w:sz w:val="16"/>
                <w:szCs w:val="16"/>
                <w:color w:val="auto"/>
              </w:rPr>
              <w:t>exercises, forfeitures, and other</w:t>
            </w:r>
          </w:p>
        </w:tc>
        <w:tc>
          <w:tcPr>
            <w:tcW w:w="740" w:type="dxa"/>
            <w:vAlign w:val="bottom"/>
            <w:vMerge w:val="continue"/>
          </w:tcPr>
          <w:p>
            <w:pPr>
              <w:spacing w:after="0"/>
              <w:rPr>
                <w:sz w:val="9"/>
                <w:szCs w:val="9"/>
                <w:color w:val="auto"/>
              </w:rPr>
            </w:pPr>
          </w:p>
        </w:tc>
        <w:tc>
          <w:tcPr>
            <w:tcW w:w="600" w:type="dxa"/>
            <w:vAlign w:val="bottom"/>
            <w:tcBorders>
              <w:right w:val="single" w:sz="8" w:color="7F7F7F"/>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720" w:type="dxa"/>
            <w:vAlign w:val="bottom"/>
            <w:tcBorders>
              <w:right w:val="single" w:sz="8" w:color="808080"/>
            </w:tcBorders>
            <w:vMerge w:val="continue"/>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Borders>
              <w:right w:val="single" w:sz="8" w:color="7F7F7F"/>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720" w:type="dxa"/>
            <w:vAlign w:val="bottom"/>
            <w:tcBorders>
              <w:right w:val="single" w:sz="8" w:color="808080"/>
            </w:tcBorders>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Borders>
              <w:right w:val="single" w:sz="8" w:color="7F7F7F"/>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Share repurchases (Note 17)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191"/>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Cash dividends declared</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(925)</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14"/>
        </w:trPr>
        <w:tc>
          <w:tcPr>
            <w:tcW w:w="2720" w:type="dxa"/>
            <w:vAlign w:val="bottom"/>
            <w:tcBorders>
              <w:right w:val="single" w:sz="8" w:color="808080"/>
            </w:tcBorders>
            <w:vMerge w:val="restart"/>
          </w:tcPr>
          <w:p>
            <w:pPr>
              <w:ind w:left="140"/>
              <w:spacing w:after="0"/>
              <w:rPr>
                <w:sz w:val="20"/>
                <w:szCs w:val="20"/>
                <w:color w:val="auto"/>
              </w:rPr>
            </w:pPr>
            <w:r>
              <w:rPr>
                <w:rFonts w:ascii="Arial" w:cs="Arial" w:eastAsia="Arial" w:hAnsi="Arial"/>
                <w:sz w:val="16"/>
                <w:szCs w:val="16"/>
                <w:color w:val="auto"/>
              </w:rPr>
              <w:t>($1.10 per share)</w:t>
            </w:r>
          </w:p>
        </w:tc>
        <w:tc>
          <w:tcPr>
            <w:tcW w:w="740" w:type="dxa"/>
            <w:vAlign w:val="bottom"/>
            <w:vMerge w:val="continue"/>
          </w:tcPr>
          <w:p>
            <w:pPr>
              <w:spacing w:after="0"/>
              <w:rPr>
                <w:sz w:val="9"/>
                <w:szCs w:val="9"/>
                <w:color w:val="auto"/>
              </w:rPr>
            </w:pPr>
          </w:p>
        </w:tc>
        <w:tc>
          <w:tcPr>
            <w:tcW w:w="600" w:type="dxa"/>
            <w:vAlign w:val="bottom"/>
            <w:tcBorders>
              <w:right w:val="single" w:sz="8" w:color="7F7F7F"/>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20" w:type="dxa"/>
            <w:vAlign w:val="bottom"/>
            <w:tcBorders>
              <w:right w:val="single" w:sz="8" w:color="808080"/>
            </w:tcBorders>
            <w:vMerge w:val="continue"/>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Borders>
              <w:right w:val="single" w:sz="8" w:color="7F7F7F"/>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720" w:type="dxa"/>
            <w:vAlign w:val="bottom"/>
            <w:tcBorders>
              <w:top w:val="single" w:sz="8" w:color="7F7F7F"/>
              <w:bottom w:val="single" w:sz="8" w:color="7F7F7F"/>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Balance at June 30, 2016</w:t>
            </w:r>
          </w:p>
        </w:tc>
        <w:tc>
          <w:tcPr>
            <w:tcW w:w="740" w:type="dxa"/>
            <w:vAlign w:val="bottom"/>
            <w:tcBorders>
              <w:top w:val="single" w:sz="8" w:color="7F7F7F"/>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1,111.0</w:t>
            </w:r>
          </w:p>
        </w:tc>
        <w:tc>
          <w:tcPr>
            <w:tcW w:w="600" w:type="dxa"/>
            <w:vAlign w:val="bottom"/>
            <w:tcBorders>
              <w:top w:val="single" w:sz="8" w:color="7F7F7F"/>
              <w:bottom w:val="single" w:sz="8" w:color="7F7F7F"/>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40" w:type="dxa"/>
            <w:vAlign w:val="bottom"/>
            <w:tcBorders>
              <w:top w:val="single" w:sz="8" w:color="7F7F7F"/>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4,393</w:t>
            </w:r>
          </w:p>
        </w:tc>
        <w:tc>
          <w:tcPr>
            <w:tcW w:w="1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31,266</w:t>
            </w:r>
          </w:p>
        </w:tc>
        <w:tc>
          <w:tcPr>
            <w:tcW w:w="1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(16,817)</w:t>
            </w:r>
          </w:p>
        </w:tc>
        <w:tc>
          <w:tcPr>
            <w:tcW w:w="1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220" w:type="dxa"/>
            <w:vAlign w:val="bottom"/>
            <w:tcBorders>
              <w:top w:val="single" w:sz="8" w:color="7F7F7F"/>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20,422</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7F7F7F"/>
              <w:right w:val="single" w:sz="8" w:color="808080"/>
            </w:tcBorders>
          </w:tcPr>
          <w:p>
            <w:pPr>
              <w:spacing w:after="0"/>
              <w:rPr>
                <w:sz w:val="17"/>
                <w:szCs w:val="17"/>
                <w:color w:val="auto"/>
              </w:rPr>
            </w:pPr>
          </w:p>
        </w:tc>
        <w:tc>
          <w:tcPr>
            <w:tcW w:w="74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right w:val="single" w:sz="8" w:color="7F7F7F"/>
            </w:tcBorders>
          </w:tcPr>
          <w:p>
            <w:pPr>
              <w:spacing w:after="0"/>
              <w:rPr>
                <w:sz w:val="17"/>
                <w:szCs w:val="17"/>
                <w:color w:val="auto"/>
              </w:rPr>
            </w:pPr>
          </w:p>
        </w:tc>
        <w:tc>
          <w:tcPr>
            <w:tcW w:w="14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tcPr>
          <w:p>
            <w:pPr>
              <w:spacing w:after="0"/>
              <w:rPr>
                <w:sz w:val="17"/>
                <w:szCs w:val="17"/>
                <w:color w:val="auto"/>
              </w:rPr>
            </w:pPr>
          </w:p>
        </w:tc>
        <w:tc>
          <w:tcPr>
            <w:tcW w:w="12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tcPr>
          <w:p>
            <w:pPr>
              <w:spacing w:after="0"/>
              <w:rPr>
                <w:sz w:val="17"/>
                <w:szCs w:val="17"/>
                <w:color w:val="auto"/>
              </w:rPr>
            </w:pPr>
          </w:p>
        </w:tc>
        <w:tc>
          <w:tcPr>
            <w:tcW w:w="12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7F7F7F"/>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Balance at January 1, 2017</w:t>
            </w: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1,111.0</w:t>
            </w:r>
          </w:p>
        </w:tc>
        <w:tc>
          <w:tcPr>
            <w:tcW w:w="600" w:type="dxa"/>
            <w:vAlign w:val="bottom"/>
            <w:tcBorders>
              <w:bottom w:val="single" w:sz="8" w:color="7F7F7F"/>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4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32,587</w:t>
            </w:r>
          </w:p>
        </w:tc>
        <w:tc>
          <w:tcPr>
            <w:tcW w:w="1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(18,581)</w:t>
            </w:r>
          </w:p>
        </w:tc>
        <w:tc>
          <w:tcPr>
            <w:tcW w:w="1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22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19,932</w:t>
            </w:r>
          </w:p>
        </w:tc>
        <w:tc>
          <w:tcPr>
            <w:tcW w:w="0" w:type="dxa"/>
            <w:vAlign w:val="bottom"/>
          </w:tcPr>
          <w:p>
            <w:pPr>
              <w:spacing w:after="0"/>
              <w:rPr>
                <w:sz w:val="1"/>
                <w:szCs w:val="1"/>
                <w:color w:val="auto"/>
              </w:rPr>
            </w:pPr>
          </w:p>
        </w:tc>
      </w:tr>
      <w:tr>
        <w:trPr>
          <w:trHeight w:val="200"/>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7"/>
                <w:szCs w:val="17"/>
                <w:color w:val="auto"/>
              </w:rPr>
            </w:pPr>
          </w:p>
        </w:tc>
        <w:tc>
          <w:tcPr>
            <w:tcW w:w="600" w:type="dxa"/>
            <w:vAlign w:val="bottom"/>
            <w:tcBorders>
              <w:right w:val="single" w:sz="8" w:color="7F7F7F"/>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2,240</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19"/>
        </w:trPr>
        <w:tc>
          <w:tcPr>
            <w:tcW w:w="2720" w:type="dxa"/>
            <w:vAlign w:val="bottom"/>
            <w:tcBorders>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740" w:type="dxa"/>
            <w:vAlign w:val="bottom"/>
            <w:shd w:val="clear" w:color="auto" w:fill="CCEEFF"/>
          </w:tcPr>
          <w:p>
            <w:pPr>
              <w:spacing w:after="0"/>
              <w:rPr>
                <w:sz w:val="19"/>
                <w:szCs w:val="19"/>
                <w:color w:val="auto"/>
              </w:rPr>
            </w:pPr>
          </w:p>
        </w:tc>
        <w:tc>
          <w:tcPr>
            <w:tcW w:w="600" w:type="dxa"/>
            <w:vAlign w:val="bottom"/>
            <w:tcBorders>
              <w:right w:val="single" w:sz="8" w:color="7F7F7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4"/>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Conversion, stock option</w:t>
            </w: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color w:val="auto"/>
              </w:rPr>
              <w:t>0.4</w:t>
            </w:r>
          </w:p>
        </w:tc>
        <w:tc>
          <w:tcPr>
            <w:tcW w:w="60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14"/>
        </w:trPr>
        <w:tc>
          <w:tcPr>
            <w:tcW w:w="2720" w:type="dxa"/>
            <w:vAlign w:val="bottom"/>
            <w:tcBorders>
              <w:right w:val="single" w:sz="8" w:color="808080"/>
            </w:tcBorders>
            <w:vMerge w:val="restart"/>
          </w:tcPr>
          <w:p>
            <w:pPr>
              <w:ind w:left="100"/>
              <w:spacing w:after="0"/>
              <w:rPr>
                <w:sz w:val="20"/>
                <w:szCs w:val="20"/>
                <w:color w:val="auto"/>
              </w:rPr>
            </w:pPr>
            <w:r>
              <w:rPr>
                <w:rFonts w:ascii="Arial" w:cs="Arial" w:eastAsia="Arial" w:hAnsi="Arial"/>
                <w:sz w:val="16"/>
                <w:szCs w:val="16"/>
                <w:color w:val="auto"/>
              </w:rPr>
              <w:t>exercises, forfeitures, and other</w:t>
            </w:r>
          </w:p>
        </w:tc>
        <w:tc>
          <w:tcPr>
            <w:tcW w:w="740" w:type="dxa"/>
            <w:vAlign w:val="bottom"/>
            <w:vMerge w:val="continue"/>
          </w:tcPr>
          <w:p>
            <w:pPr>
              <w:spacing w:after="0"/>
              <w:rPr>
                <w:sz w:val="9"/>
                <w:szCs w:val="9"/>
                <w:color w:val="auto"/>
              </w:rPr>
            </w:pPr>
          </w:p>
        </w:tc>
        <w:tc>
          <w:tcPr>
            <w:tcW w:w="600" w:type="dxa"/>
            <w:vAlign w:val="bottom"/>
            <w:tcBorders>
              <w:right w:val="single" w:sz="8" w:color="7F7F7F"/>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720" w:type="dxa"/>
            <w:vAlign w:val="bottom"/>
            <w:tcBorders>
              <w:right w:val="single" w:sz="8" w:color="808080"/>
            </w:tcBorders>
            <w:vMerge w:val="continue"/>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Borders>
              <w:right w:val="single" w:sz="8" w:color="7F7F7F"/>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720" w:type="dxa"/>
            <w:vAlign w:val="bottom"/>
            <w:tcBorders>
              <w:right w:val="single" w:sz="8" w:color="808080"/>
            </w:tcBorders>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Borders>
              <w:right w:val="single" w:sz="8" w:color="7F7F7F"/>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Share repurchases (Note 17)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191"/>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Cash dividends declared</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(980)</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14"/>
        </w:trPr>
        <w:tc>
          <w:tcPr>
            <w:tcW w:w="2720" w:type="dxa"/>
            <w:vAlign w:val="bottom"/>
            <w:tcBorders>
              <w:right w:val="single" w:sz="8" w:color="808080"/>
            </w:tcBorders>
            <w:vMerge w:val="restart"/>
          </w:tcPr>
          <w:p>
            <w:pPr>
              <w:ind w:left="140"/>
              <w:spacing w:after="0"/>
              <w:rPr>
                <w:sz w:val="20"/>
                <w:szCs w:val="20"/>
                <w:color w:val="auto"/>
              </w:rPr>
            </w:pPr>
            <w:r>
              <w:rPr>
                <w:rFonts w:ascii="Arial" w:cs="Arial" w:eastAsia="Arial" w:hAnsi="Arial"/>
                <w:sz w:val="16"/>
                <w:szCs w:val="16"/>
                <w:color w:val="auto"/>
              </w:rPr>
              <w:t>($1.21 per share)</w:t>
            </w:r>
          </w:p>
        </w:tc>
        <w:tc>
          <w:tcPr>
            <w:tcW w:w="740" w:type="dxa"/>
            <w:vAlign w:val="bottom"/>
            <w:vMerge w:val="continue"/>
          </w:tcPr>
          <w:p>
            <w:pPr>
              <w:spacing w:after="0"/>
              <w:rPr>
                <w:sz w:val="9"/>
                <w:szCs w:val="9"/>
                <w:color w:val="auto"/>
              </w:rPr>
            </w:pPr>
          </w:p>
        </w:tc>
        <w:tc>
          <w:tcPr>
            <w:tcW w:w="600" w:type="dxa"/>
            <w:vAlign w:val="bottom"/>
            <w:tcBorders>
              <w:right w:val="single" w:sz="8" w:color="7F7F7F"/>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20" w:type="dxa"/>
            <w:vAlign w:val="bottom"/>
            <w:tcBorders>
              <w:right w:val="single" w:sz="8" w:color="808080"/>
            </w:tcBorders>
            <w:vMerge w:val="continue"/>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Borders>
              <w:right w:val="single" w:sz="8" w:color="7F7F7F"/>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7F7F7F"/>
              <w:bottom w:val="single" w:sz="8" w:color="7F7F7F"/>
              <w:right w:val="single" w:sz="8" w:color="808080"/>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2017</w:t>
            </w:r>
          </w:p>
        </w:tc>
        <w:tc>
          <w:tcPr>
            <w:tcW w:w="740" w:type="dxa"/>
            <w:vAlign w:val="bottom"/>
            <w:tcBorders>
              <w:top w:val="single" w:sz="8" w:color="7F7F7F"/>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1,111.4</w:t>
            </w:r>
          </w:p>
        </w:tc>
        <w:tc>
          <w:tcPr>
            <w:tcW w:w="600" w:type="dxa"/>
            <w:vAlign w:val="bottom"/>
            <w:tcBorders>
              <w:top w:val="single" w:sz="8" w:color="7F7F7F"/>
              <w:bottom w:val="single" w:sz="8" w:color="7F7F7F"/>
              <w:right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(309.9)</w:t>
            </w:r>
          </w:p>
        </w:tc>
        <w:tc>
          <w:tcPr>
            <w:tcW w:w="140" w:type="dxa"/>
            <w:vAlign w:val="bottom"/>
            <w:tcBorders>
              <w:top w:val="single" w:sz="8" w:color="7F7F7F"/>
              <w:bottom w:val="single" w:sz="8" w:color="7F7F7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2,778</w:t>
            </w:r>
          </w:p>
        </w:tc>
        <w:tc>
          <w:tcPr>
            <w:tcW w:w="1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4,431</w:t>
            </w:r>
          </w:p>
        </w:tc>
        <w:tc>
          <w:tcPr>
            <w:tcW w:w="1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33,847</w:t>
            </w:r>
          </w:p>
        </w:tc>
        <w:tc>
          <w:tcPr>
            <w:tcW w:w="1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(20,220)</w:t>
            </w:r>
          </w:p>
        </w:tc>
        <w:tc>
          <w:tcPr>
            <w:tcW w:w="1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(1,221)</w:t>
            </w:r>
          </w:p>
        </w:tc>
        <w:tc>
          <w:tcPr>
            <w:tcW w:w="220" w:type="dxa"/>
            <w:vAlign w:val="bottom"/>
            <w:tcBorders>
              <w:top w:val="single" w:sz="8" w:color="7F7F7F"/>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19,615</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hanging="355"/>
        <w:spacing w:after="0"/>
        <w:tabs>
          <w:tab w:leader="none" w:pos="46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AOCI = Accumulated Other Comprehensive Income/(Loss) (Note 9)</w:t>
      </w:r>
    </w:p>
    <w:p>
      <w:pPr>
        <w:ind w:left="1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left="100" w:right="99"/>
        <w:spacing w:after="0" w:line="415" w:lineRule="auto"/>
        <w:rPr>
          <w:sz w:val="20"/>
          <w:szCs w:val="20"/>
          <w:color w:val="auto"/>
        </w:rPr>
      </w:pPr>
      <w:r>
        <w:rPr>
          <w:rFonts w:ascii="Arial" w:cs="Arial" w:eastAsia="Arial" w:hAnsi="Arial"/>
          <w:sz w:val="18"/>
          <w:szCs w:val="18"/>
          <w:b w:val="1"/>
          <w:bCs w:val="1"/>
          <w:color w:val="auto"/>
        </w:rPr>
        <w:t xml:space="preserve">UNION PACIFIC CORPORATION AND SUBSIDIARY COMPANIES NOTES TO THE CONDENSED CONSOLIDATED FINANCIAL STATEMENTS </w:t>
      </w:r>
      <w:r>
        <w:rPr>
          <w:rFonts w:ascii="Arial" w:cs="Arial" w:eastAsia="Arial" w:hAnsi="Arial"/>
          <w:sz w:val="18"/>
          <w:szCs w:val="18"/>
          <w:color w:val="auto"/>
        </w:rPr>
        <w:t>(Unaudited)</w:t>
      </w:r>
    </w:p>
    <w:p>
      <w:pPr>
        <w:spacing w:after="0" w:line="2"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For purposes of this report, unless the context otherwise requires, all references herein to the “Corporation”, “Company”, “UPC”, “we”, “us”, and “our” mean Union Pacific Corporation and its subsidiaries, including Union Pacific Railroad Company, which will be separately referred to herein as “UPRR” or the “Railroad”.</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Basis of Presentation</w:t>
      </w:r>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2016 Annual Report on Form 10-K. Our Consolidated Statement of Financial Position at December 31, 2016, is derived from audited financial statements. The results of operations for the six months ended June 30, 2017, are not necessarily indicative of the results for the entire year ending December 31, 2017.</w:t>
      </w:r>
    </w:p>
    <w:p>
      <w:pPr>
        <w:spacing w:after="0" w:line="137"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The Condensed Consolidated Financial Statements are presented in accordance with GAAP as codified in the Financial Accounting Standards Board (FASB) Accounting Standards Codification (ASC).</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Accounting Pronouncements</w:t>
      </w:r>
    </w:p>
    <w:p>
      <w:pPr>
        <w:spacing w:after="0" w:line="135"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 xml:space="preserve">In May 2014, the FASB issued Accounting Standards Update No. 2014-09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(Topic 606). ASU 2014-09 supersedes the revenue recognition guidance in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605, Revenue Recognition. The core principle of the guidance is that an entity should recognize revenue to depict the transfer of promised goods and services to customers in an amount that reflects the consideration to which the entity expects to be entitled in the exchange for those goods or services. This may require the use of more judgment and estimates in order to correctly recognize the revenue expected as an outcome of each specific performance obligation. Additionally, this guidance will require the disclosure of the nature, amount, and timing of revenue arising from contracts so as to aid in the understanding of the users of financial statements.</w:t>
      </w:r>
    </w:p>
    <w:p>
      <w:pPr>
        <w:spacing w:after="0" w:line="136"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color w:val="auto"/>
        </w:rPr>
        <w:t>This standard is effective for annual reporting periods beginning after December 15, 2017, and we intend to adopt the standard beginning in 2018 using the modified retrospective transition method. The Company has analyzed a significant proportion of our freight and other revenues and we expect to continue to recognize freight revenues as freight moves from origin to destination and to recognize other revenues as identified performance obligations are satisfied. We are currently analyzing freight and other revenues in the context of the new guidance on principal versus agent considerations and evaluating the required new disclosures. At this time, ASU 2014-09 is not expected to have a material impact on our consolidated financial position, results of operations, or cash flows.</w:t>
      </w:r>
    </w:p>
    <w:p>
      <w:pPr>
        <w:spacing w:after="0" w:line="10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 xml:space="preserve">In January 2016, the FASB issued Accounting Standards Update No. 2016-01 (ASU 2016-01), </w:t>
      </w:r>
      <w:r>
        <w:rPr>
          <w:rFonts w:ascii="Arial" w:cs="Arial" w:eastAsia="Arial" w:hAnsi="Arial"/>
          <w:sz w:val="18"/>
          <w:szCs w:val="18"/>
          <w:i w:val="1"/>
          <w:iCs w:val="1"/>
          <w:color w:val="auto"/>
        </w:rPr>
        <w:t>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Measurement of Financial Assets and Financial Liabilities (Subtopic 825-10)</w:t>
      </w:r>
      <w:r>
        <w:rPr>
          <w:rFonts w:ascii="Arial" w:cs="Arial" w:eastAsia="Arial" w:hAnsi="Arial"/>
          <w:sz w:val="18"/>
          <w:szCs w:val="18"/>
          <w:color w:val="auto"/>
        </w:rPr>
        <w:t>. ASU 2016-01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for the recognition, measurement, presentation, and disclosure of financial instruments. This guidance is effective for annual and interim periods beginning after December 15, 2017, and early adoption is not permitted. ASU 2016-01 is not expected to have a material impact on our consolidated financial position, results of operations, or cash flows.</w:t>
      </w:r>
    </w:p>
    <w:p>
      <w:pPr>
        <w:spacing w:after="0" w:line="103"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color w:val="auto"/>
        </w:rPr>
        <w:t xml:space="preserve">In February 2016, the FASB issued Accounting Standards Update No.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842)</w:t>
      </w:r>
      <w:r>
        <w:rPr>
          <w:rFonts w:ascii="Arial" w:cs="Arial" w:eastAsia="Arial" w:hAnsi="Arial"/>
          <w:sz w:val="18"/>
          <w:szCs w:val="18"/>
          <w:color w:val="auto"/>
        </w:rPr>
        <w:t>. ASU 2016-02 will require companies to recognize lease assets and lease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disclose key information about leasing arrangements. For public companies, this standard is effective for annual reporting periods beginning after December 15, 2018, and early adoption is permitted. Management is currently evaluating the impact of this standard on our consolidated financial</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position, results of operations, and cash flows, but expects that the adoption will result in a significant increase in the Company’s assets and liabilities.</w:t>
      </w:r>
    </w:p>
    <w:p>
      <w:pPr>
        <w:spacing w:after="0" w:line="104"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 xml:space="preserve">In March 2017, the FASB issued Accounting Standards Update No. 2017-07 (ASU 2017-07), </w:t>
      </w:r>
      <w:r>
        <w:rPr>
          <w:rFonts w:ascii="Arial" w:cs="Arial" w:eastAsia="Arial" w:hAnsi="Arial"/>
          <w:sz w:val="18"/>
          <w:szCs w:val="18"/>
          <w:i w:val="1"/>
          <w:iCs w:val="1"/>
          <w:color w:val="auto"/>
        </w:rPr>
        <w:t>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of Net Periodic Pension Cost and Net Periodic Postretirement Benefit Cost (Topic 715)</w:t>
      </w:r>
      <w:r>
        <w:rPr>
          <w:rFonts w:ascii="Arial" w:cs="Arial" w:eastAsia="Arial" w:hAnsi="Arial"/>
          <w:sz w:val="18"/>
          <w:szCs w:val="18"/>
          <w:color w:val="auto"/>
        </w:rPr>
        <w: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2017-07 requires the service cost component be reported separately from the other components of net benefit costs in the income statement, provides explicit guidance on the presentation of the service cost component and the other components of net benefit cost in the income statement, and allows only the service cost component of net benefit cost to be eligible for capitalization. This standard is effective for annual and interim reporting periods beginning after December 15, 2017, and requires retrospective adoption. Early adoption is permitted. ASU 2017-07 is not expected to have a material impact on our consolidated financial position, results of operations, or cash flows.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Operations and Segmentation</w:t>
      </w:r>
    </w:p>
    <w:p>
      <w:pPr>
        <w:spacing w:after="0" w:line="16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 by commodity group, we treat the financial results of the Railroad as one segment due to the integrated nature of our rail network. The following table provides freight revenue by commodity group:</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56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1280" w:type="dxa"/>
            <w:vAlign w:val="bottom"/>
            <w:tcBorders>
              <w:top w:val="single" w:sz="8" w:color="7F7F7F"/>
            </w:tcBorders>
            <w:gridSpan w:val="3"/>
          </w:tcPr>
          <w:p>
            <w:pPr>
              <w:jc w:val="center"/>
              <w:ind w:right="119"/>
              <w:spacing w:after="0"/>
              <w:rPr>
                <w:sz w:val="20"/>
                <w:szCs w:val="20"/>
                <w:color w:val="auto"/>
              </w:rPr>
            </w:pPr>
            <w:r>
              <w:rPr>
                <w:rFonts w:ascii="Arial" w:cs="Arial" w:eastAsia="Arial" w:hAnsi="Arial"/>
                <w:sz w:val="16"/>
                <w:szCs w:val="16"/>
                <w:i w:val="1"/>
                <w:iCs w:val="1"/>
                <w:color w:val="auto"/>
              </w:rPr>
              <w:t>Three Months</w:t>
            </w:r>
          </w:p>
        </w:tc>
        <w:tc>
          <w:tcPr>
            <w:tcW w:w="180" w:type="dxa"/>
            <w:vAlign w:val="bottom"/>
            <w:tcBorders>
              <w:top w:val="single" w:sz="8" w:color="808080"/>
            </w:tcBorders>
          </w:tcPr>
          <w:p>
            <w:pPr>
              <w:spacing w:after="0"/>
              <w:rPr>
                <w:sz w:val="16"/>
                <w:szCs w:val="16"/>
                <w:color w:val="auto"/>
              </w:rPr>
            </w:pPr>
          </w:p>
        </w:tc>
        <w:tc>
          <w:tcPr>
            <w:tcW w:w="1600" w:type="dxa"/>
            <w:vAlign w:val="bottom"/>
            <w:tcBorders>
              <w:top w:val="single" w:sz="8" w:color="808080"/>
            </w:tcBorders>
            <w:gridSpan w:val="4"/>
            <w:vMerge w:val="restart"/>
          </w:tcPr>
          <w:p>
            <w:pPr>
              <w:jc w:val="right"/>
              <w:ind w:right="59"/>
              <w:spacing w:after="0"/>
              <w:rPr>
                <w:sz w:val="20"/>
                <w:szCs w:val="20"/>
                <w:color w:val="auto"/>
              </w:rPr>
            </w:pPr>
            <w:r>
              <w:rPr>
                <w:rFonts w:ascii="Arial" w:cs="Arial" w:eastAsia="Arial" w:hAnsi="Arial"/>
                <w:sz w:val="16"/>
                <w:szCs w:val="16"/>
                <w:i w:val="1"/>
                <w:iCs w:val="1"/>
                <w:color w:val="auto"/>
              </w:rPr>
              <w:t>Six Months Ended</w:t>
            </w:r>
          </w:p>
        </w:tc>
        <w:tc>
          <w:tcPr>
            <w:tcW w:w="0" w:type="dxa"/>
            <w:vAlign w:val="bottom"/>
          </w:tcPr>
          <w:p>
            <w:pPr>
              <w:spacing w:after="0"/>
              <w:rPr>
                <w:sz w:val="1"/>
                <w:szCs w:val="1"/>
                <w:color w:val="auto"/>
              </w:rPr>
            </w:pPr>
          </w:p>
        </w:tc>
      </w:tr>
      <w:tr>
        <w:trPr>
          <w:trHeight w:val="202"/>
        </w:trPr>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center"/>
              <w:ind w:left="199"/>
              <w:spacing w:after="0"/>
              <w:rPr>
                <w:sz w:val="20"/>
                <w:szCs w:val="20"/>
                <w:color w:val="auto"/>
              </w:rPr>
            </w:pPr>
            <w:r>
              <w:rPr>
                <w:rFonts w:ascii="Arial" w:cs="Arial" w:eastAsia="Arial" w:hAnsi="Arial"/>
                <w:sz w:val="16"/>
                <w:szCs w:val="16"/>
                <w:i w:val="1"/>
                <w:iCs w:val="1"/>
                <w:color w:val="auto"/>
              </w:rPr>
              <w:t>Ended</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gridSpan w:val="3"/>
          </w:tcPr>
          <w:p>
            <w:pPr>
              <w:jc w:val="center"/>
              <w:ind w:right="139"/>
              <w:spacing w:after="0"/>
              <w:rPr>
                <w:sz w:val="20"/>
                <w:szCs w:val="20"/>
                <w:color w:val="auto"/>
              </w:rPr>
            </w:pPr>
            <w:r>
              <w:rPr>
                <w:rFonts w:ascii="Arial" w:cs="Arial" w:eastAsia="Arial" w:hAnsi="Arial"/>
                <w:sz w:val="16"/>
                <w:szCs w:val="16"/>
                <w:i w:val="1"/>
                <w:iCs w:val="1"/>
                <w:color w:val="auto"/>
              </w:rPr>
              <w:t>June 30,</w:t>
            </w:r>
          </w:p>
        </w:tc>
        <w:tc>
          <w:tcPr>
            <w:tcW w:w="180" w:type="dxa"/>
            <w:vAlign w:val="bottom"/>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4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00" w:type="dxa"/>
            <w:vAlign w:val="bottom"/>
            <w:tcBorders>
              <w:bottom w:val="single" w:sz="8" w:color="7F7F7F"/>
            </w:tcBorders>
          </w:tcPr>
          <w:p>
            <w:pPr>
              <w:spacing w:after="0"/>
              <w:rPr>
                <w:sz w:val="17"/>
                <w:szCs w:val="17"/>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40" w:type="dxa"/>
            <w:vAlign w:val="bottom"/>
            <w:tcBorders>
              <w:bottom w:val="single" w:sz="8" w:color="7F7F7F"/>
            </w:tcBorders>
          </w:tcPr>
          <w:p>
            <w:pPr>
              <w:spacing w:after="0"/>
              <w:rPr>
                <w:sz w:val="17"/>
                <w:szCs w:val="17"/>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Agricultural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1,849</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1,727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513</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1,017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Chemicals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898</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1,742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Coal</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619</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1,267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1,013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1,664</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Intermodal</w:t>
            </w:r>
          </w:p>
        </w:tc>
        <w:tc>
          <w:tcPr>
            <w:tcW w:w="20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939</w:t>
            </w:r>
          </w:p>
        </w:tc>
        <w:tc>
          <w:tcPr>
            <w:tcW w:w="24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909</w:t>
            </w:r>
          </w:p>
        </w:tc>
        <w:tc>
          <w:tcPr>
            <w:tcW w:w="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1,847</w:t>
            </w:r>
          </w:p>
        </w:tc>
        <w:tc>
          <w:tcPr>
            <w:tcW w:w="3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99"/>
              </w:rPr>
              <w:t>1,788</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Total freight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4,906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9,700</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8,932</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344</w:t>
            </w:r>
          </w:p>
        </w:tc>
        <w:tc>
          <w:tcPr>
            <w:tcW w:w="24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340</w:t>
            </w:r>
          </w:p>
        </w:tc>
        <w:tc>
          <w:tcPr>
            <w:tcW w:w="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682</w:t>
            </w:r>
          </w:p>
        </w:tc>
        <w:tc>
          <w:tcPr>
            <w:tcW w:w="3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4,770</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10,382</w:t>
            </w:r>
          </w:p>
        </w:tc>
        <w:tc>
          <w:tcPr>
            <w:tcW w:w="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9,599</w:t>
            </w:r>
          </w:p>
        </w:tc>
        <w:tc>
          <w:tcPr>
            <w:tcW w:w="0" w:type="dxa"/>
            <w:vAlign w:val="bottom"/>
          </w:tcPr>
          <w:p>
            <w:pPr>
              <w:spacing w:after="0"/>
              <w:rPr>
                <w:sz w:val="1"/>
                <w:szCs w:val="1"/>
                <w:color w:val="auto"/>
              </w:rPr>
            </w:pPr>
          </w:p>
        </w:tc>
      </w:tr>
      <w:tr>
        <w:trPr>
          <w:trHeight w:val="54"/>
        </w:trPr>
        <w:tc>
          <w:tcPr>
            <w:tcW w:w="556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560" w:type="dxa"/>
            <w:vAlign w:val="bottom"/>
            <w:shd w:val="clear" w:color="auto" w:fill="7F7F7F"/>
          </w:tcPr>
          <w:p>
            <w:pPr>
              <w:spacing w:after="0"/>
              <w:rPr>
                <w:sz w:val="4"/>
                <w:szCs w:val="4"/>
                <w:color w:val="auto"/>
              </w:rPr>
            </w:pPr>
          </w:p>
        </w:tc>
        <w:tc>
          <w:tcPr>
            <w:tcW w:w="240" w:type="dxa"/>
            <w:vAlign w:val="bottom"/>
            <w:shd w:val="clear" w:color="auto" w:fill="7F7F7F"/>
          </w:tcPr>
          <w:p>
            <w:pPr>
              <w:spacing w:after="0"/>
              <w:rPr>
                <w:sz w:val="4"/>
                <w:szCs w:val="4"/>
                <w:color w:val="auto"/>
              </w:rPr>
            </w:pPr>
          </w:p>
        </w:tc>
        <w:tc>
          <w:tcPr>
            <w:tcW w:w="480" w:type="dxa"/>
            <w:vAlign w:val="bottom"/>
            <w:shd w:val="clear" w:color="auto" w:fill="7F7F7F"/>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220" w:type="dxa"/>
            <w:vAlign w:val="bottom"/>
            <w:shd w:val="clear" w:color="auto" w:fill="808080"/>
          </w:tcPr>
          <w:p>
            <w:pPr>
              <w:spacing w:after="0"/>
              <w:rPr>
                <w:sz w:val="4"/>
                <w:szCs w:val="4"/>
                <w:color w:val="auto"/>
              </w:rPr>
            </w:pPr>
          </w:p>
        </w:tc>
        <w:tc>
          <w:tcPr>
            <w:tcW w:w="600" w:type="dxa"/>
            <w:vAlign w:val="bottom"/>
            <w:shd w:val="clear" w:color="auto" w:fill="808080"/>
          </w:tcPr>
          <w:p>
            <w:pPr>
              <w:spacing w:after="0"/>
              <w:rPr>
                <w:sz w:val="4"/>
                <w:szCs w:val="4"/>
                <w:color w:val="auto"/>
              </w:rPr>
            </w:pPr>
          </w:p>
        </w:tc>
        <w:tc>
          <w:tcPr>
            <w:tcW w:w="320" w:type="dxa"/>
            <w:vAlign w:val="bottom"/>
            <w:shd w:val="clear" w:color="auto" w:fill="808080"/>
          </w:tcPr>
          <w:p>
            <w:pPr>
              <w:spacing w:after="0"/>
              <w:rPr>
                <w:sz w:val="4"/>
                <w:szCs w:val="4"/>
                <w:color w:val="auto"/>
              </w:rPr>
            </w:pPr>
          </w:p>
        </w:tc>
        <w:tc>
          <w:tcPr>
            <w:tcW w:w="460" w:type="dxa"/>
            <w:vAlign w:val="bottom"/>
            <w:shd w:val="clear" w:color="auto" w:fill="808080"/>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Although our revenues are principally derived from customers domiciled in the U.S., the ultimate points of origination or destination for some products we transport are outside the U.S. Each of our commodity groups includes revenue from shipments to and from Mexico. Included in the above table are freight revenues from our Mexico business which amounted to $576 million and $550 million, respectively, for the three months ended June 30, 2017, and June 30, 2016, and $1,142 million and $1,085 million, respectively, for the six months ended June 30, 2017, and June 30, 2016.</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Stock-Based Compensation</w:t>
      </w:r>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We have several stock-based compensation plans under which employees and non-employee directors receive stock options, nonvested retention shares, and nonvested stock units. We refer to the nonvested shares and stock units collectively as “retention awards”. We have elected to issue treasury shares to cover option exercises and stock unit vestings, while new shares are issued when retention shares are granted. Information regarding stock-based compensation appears in the table below:</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60" w:type="dxa"/>
            <w:vAlign w:val="bottom"/>
            <w:tcBorders>
              <w:top w:val="single" w:sz="8" w:color="7F7F7F"/>
            </w:tcBorders>
          </w:tcPr>
          <w:p>
            <w:pPr>
              <w:spacing w:after="0"/>
              <w:rPr>
                <w:sz w:val="22"/>
                <w:szCs w:val="22"/>
                <w:color w:val="auto"/>
              </w:rPr>
            </w:pPr>
          </w:p>
        </w:tc>
        <w:tc>
          <w:tcPr>
            <w:tcW w:w="1880" w:type="dxa"/>
            <w:vAlign w:val="bottom"/>
            <w:tcBorders>
              <w:top w:val="single" w:sz="8" w:color="808080"/>
            </w:tcBorders>
            <w:gridSpan w:val="4"/>
          </w:tcPr>
          <w:p>
            <w:pPr>
              <w:jc w:val="right"/>
              <w:ind w:right="99"/>
              <w:spacing w:after="0"/>
              <w:rPr>
                <w:sz w:val="20"/>
                <w:szCs w:val="20"/>
                <w:color w:val="auto"/>
              </w:rPr>
            </w:pPr>
            <w:r>
              <w:rPr>
                <w:rFonts w:ascii="Arial" w:cs="Arial" w:eastAsia="Arial" w:hAnsi="Arial"/>
                <w:sz w:val="16"/>
                <w:szCs w:val="16"/>
                <w:i w:val="1"/>
                <w:iCs w:val="1"/>
                <w:color w:val="auto"/>
              </w:rPr>
              <w:t>Three Months Ended</w:t>
            </w:r>
          </w:p>
        </w:tc>
        <w:tc>
          <w:tcPr>
            <w:tcW w:w="160" w:type="dxa"/>
            <w:vAlign w:val="bottom"/>
            <w:tcBorders>
              <w:top w:val="single" w:sz="8" w:color="808080"/>
            </w:tcBorders>
          </w:tcPr>
          <w:p>
            <w:pPr>
              <w:spacing w:after="0"/>
              <w:rPr>
                <w:sz w:val="22"/>
                <w:szCs w:val="22"/>
                <w:color w:val="auto"/>
              </w:rPr>
            </w:pPr>
          </w:p>
        </w:tc>
        <w:tc>
          <w:tcPr>
            <w:tcW w:w="180" w:type="dxa"/>
            <w:vAlign w:val="bottom"/>
            <w:tcBorders>
              <w:top w:val="single" w:sz="8" w:color="808080"/>
            </w:tcBorders>
          </w:tcPr>
          <w:p>
            <w:pPr>
              <w:spacing w:after="0"/>
              <w:rPr>
                <w:sz w:val="22"/>
                <w:szCs w:val="22"/>
                <w:color w:val="auto"/>
              </w:rPr>
            </w:pPr>
          </w:p>
        </w:tc>
        <w:tc>
          <w:tcPr>
            <w:tcW w:w="1540" w:type="dxa"/>
            <w:vAlign w:val="bottom"/>
            <w:tcBorders>
              <w:top w:val="single" w:sz="8" w:color="808080"/>
            </w:tcBorders>
            <w:gridSpan w:val="3"/>
          </w:tcPr>
          <w:p>
            <w:pPr>
              <w:jc w:val="right"/>
              <w:ind w:right="119"/>
              <w:spacing w:after="0"/>
              <w:rPr>
                <w:sz w:val="20"/>
                <w:szCs w:val="20"/>
                <w:color w:val="auto"/>
              </w:rPr>
            </w:pPr>
            <w:r>
              <w:rPr>
                <w:rFonts w:ascii="Arial" w:cs="Arial" w:eastAsia="Arial" w:hAnsi="Arial"/>
                <w:sz w:val="16"/>
                <w:szCs w:val="16"/>
                <w:i w:val="1"/>
                <w:iCs w:val="1"/>
                <w:color w:val="auto"/>
              </w:rPr>
              <w:t>Six Months Ended</w:t>
            </w:r>
          </w:p>
        </w:tc>
      </w:tr>
      <w:tr>
        <w:trPr>
          <w:trHeight w:val="197"/>
        </w:trPr>
        <w:tc>
          <w:tcPr>
            <w:tcW w:w="5060" w:type="dxa"/>
            <w:vAlign w:val="bottom"/>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gridSpan w:val="2"/>
          </w:tcPr>
          <w:p>
            <w:pPr>
              <w:jc w:val="right"/>
              <w:ind w:right="19"/>
              <w:spacing w:after="0"/>
              <w:rPr>
                <w:sz w:val="20"/>
                <w:szCs w:val="20"/>
                <w:color w:val="auto"/>
              </w:rPr>
            </w:pPr>
            <w:r>
              <w:rPr>
                <w:rFonts w:ascii="Arial" w:cs="Arial" w:eastAsia="Arial" w:hAnsi="Arial"/>
                <w:sz w:val="16"/>
                <w:szCs w:val="16"/>
                <w:i w:val="1"/>
                <w:iCs w:val="1"/>
                <w:color w:val="auto"/>
              </w:rPr>
              <w:t>June 30,</w:t>
            </w:r>
          </w:p>
        </w:tc>
        <w:tc>
          <w:tcPr>
            <w:tcW w:w="520" w:type="dxa"/>
            <w:vAlign w:val="bottom"/>
            <w:tcBorders>
              <w:bottom w:val="single" w:sz="8" w:color="808080"/>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480" w:type="dxa"/>
            <w:vAlign w:val="bottom"/>
            <w:tcBorders>
              <w:bottom w:val="single" w:sz="8" w:color="808080"/>
            </w:tcBorders>
          </w:tcPr>
          <w:p>
            <w:pPr>
              <w:spacing w:after="0"/>
              <w:rPr>
                <w:sz w:val="17"/>
                <w:szCs w:val="17"/>
                <w:color w:val="auto"/>
              </w:rPr>
            </w:pPr>
          </w:p>
        </w:tc>
      </w:tr>
      <w:tr>
        <w:trPr>
          <w:trHeight w:val="196"/>
        </w:trPr>
        <w:tc>
          <w:tcPr>
            <w:tcW w:w="50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38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bottom w:val="single" w:sz="8" w:color="7F7F7F"/>
            </w:tcBorders>
          </w:tcPr>
          <w:p>
            <w:pPr>
              <w:spacing w:after="0"/>
              <w:rPr>
                <w:sz w:val="17"/>
                <w:szCs w:val="17"/>
                <w:color w:val="auto"/>
              </w:rPr>
            </w:pPr>
          </w:p>
        </w:tc>
        <w:tc>
          <w:tcPr>
            <w:tcW w:w="5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1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before tax:</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Stock options</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506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Retention awards</w:t>
            </w:r>
          </w:p>
        </w:tc>
        <w:tc>
          <w:tcPr>
            <w:tcW w:w="38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380" w:type="dxa"/>
            <w:vAlign w:val="bottom"/>
            <w:tcBorders>
              <w:bottom w:val="single" w:sz="8" w:color="7F7F7F"/>
            </w:tcBorders>
            <w:shd w:val="clear" w:color="auto" w:fill="CCEEFF"/>
          </w:tcPr>
          <w:p>
            <w:pPr>
              <w:spacing w:after="0"/>
              <w:rPr>
                <w:sz w:val="18"/>
                <w:szCs w:val="18"/>
                <w:color w:val="auto"/>
              </w:rPr>
            </w:pPr>
          </w:p>
        </w:tc>
        <w:tc>
          <w:tcPr>
            <w:tcW w:w="5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808080"/>
            </w:tcBorders>
            <w:shd w:val="clear" w:color="auto" w:fill="CCEEFF"/>
          </w:tcPr>
          <w:p>
            <w:pPr>
              <w:spacing w:after="0"/>
              <w:rPr>
                <w:sz w:val="18"/>
                <w:szCs w:val="18"/>
                <w:color w:val="auto"/>
              </w:rPr>
            </w:pPr>
          </w:p>
        </w:tc>
        <w:tc>
          <w:tcPr>
            <w:tcW w:w="180" w:type="dxa"/>
            <w:vAlign w:val="bottom"/>
            <w:tcBorders>
              <w:bottom w:val="single" w:sz="8" w:color="808080"/>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400" w:type="dxa"/>
            <w:vAlign w:val="bottom"/>
            <w:tcBorders>
              <w:bottom w:val="single" w:sz="8" w:color="808080"/>
            </w:tcBorders>
            <w:shd w:val="clear" w:color="auto" w:fill="CCEEFF"/>
          </w:tcPr>
          <w:p>
            <w:pPr>
              <w:spacing w:after="0"/>
              <w:rPr>
                <w:sz w:val="18"/>
                <w:szCs w:val="18"/>
                <w:color w:val="auto"/>
              </w:rPr>
            </w:pPr>
          </w:p>
        </w:tc>
        <w:tc>
          <w:tcPr>
            <w:tcW w:w="4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51"/>
        </w:trPr>
        <w:tc>
          <w:tcPr>
            <w:tcW w:w="5060" w:type="dxa"/>
            <w:vAlign w:val="bottom"/>
          </w:tcPr>
          <w:p>
            <w:pPr>
              <w:spacing w:after="0"/>
              <w:rPr>
                <w:sz w:val="20"/>
                <w:szCs w:val="20"/>
                <w:color w:val="auto"/>
              </w:rPr>
            </w:pPr>
            <w:r>
              <w:rPr>
                <w:rFonts w:ascii="Arial" w:cs="Arial" w:eastAsia="Arial" w:hAnsi="Arial"/>
                <w:sz w:val="16"/>
                <w:szCs w:val="16"/>
                <w:color w:val="auto"/>
              </w:rPr>
              <w:t>Total stock-based compensation, before tax</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54"/>
        </w:trPr>
        <w:tc>
          <w:tcPr>
            <w:tcW w:w="506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Excess tax benefits from equity compensation plans</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54"/>
        </w:trPr>
        <w:tc>
          <w:tcPr>
            <w:tcW w:w="506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520" w:type="dxa"/>
            <w:vAlign w:val="bottom"/>
            <w:shd w:val="clear" w:color="auto" w:fill="7F7F7F"/>
          </w:tcPr>
          <w:p>
            <w:pPr>
              <w:spacing w:after="0"/>
              <w:rPr>
                <w:sz w:val="4"/>
                <w:szCs w:val="4"/>
                <w:color w:val="auto"/>
              </w:rPr>
            </w:pPr>
          </w:p>
        </w:tc>
        <w:tc>
          <w:tcPr>
            <w:tcW w:w="160" w:type="dxa"/>
            <w:vAlign w:val="bottom"/>
            <w:shd w:val="clear" w:color="auto" w:fill="808080"/>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660" w:type="dxa"/>
            <w:vAlign w:val="bottom"/>
            <w:shd w:val="clear" w:color="auto" w:fill="808080"/>
          </w:tcPr>
          <w:p>
            <w:pPr>
              <w:spacing w:after="0"/>
              <w:rPr>
                <w:sz w:val="4"/>
                <w:szCs w:val="4"/>
                <w:color w:val="auto"/>
              </w:rPr>
            </w:pPr>
          </w:p>
        </w:tc>
        <w:tc>
          <w:tcPr>
            <w:tcW w:w="400" w:type="dxa"/>
            <w:vAlign w:val="bottom"/>
            <w:shd w:val="clear" w:color="auto" w:fill="808080"/>
          </w:tcPr>
          <w:p>
            <w:pPr>
              <w:spacing w:after="0"/>
              <w:rPr>
                <w:sz w:val="4"/>
                <w:szCs w:val="4"/>
                <w:color w:val="auto"/>
              </w:rPr>
            </w:pPr>
          </w:p>
        </w:tc>
        <w:tc>
          <w:tcPr>
            <w:tcW w:w="480" w:type="dxa"/>
            <w:vAlign w:val="bottom"/>
            <w:shd w:val="clear" w:color="auto" w:fill="808080"/>
          </w:tcPr>
          <w:p>
            <w:pPr>
              <w:spacing w:after="0"/>
              <w:rPr>
                <w:sz w:val="4"/>
                <w:szCs w:val="4"/>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both"/>
        <w:ind w:left="100" w:right="99"/>
        <w:spacing w:after="0"/>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We estimate the fair value of our stock option awards using the Black-Scholes option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model. The table below shows the annual weighted-average assumptions used for valuation purposes:</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560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6"/>
                <w:szCs w:val="16"/>
                <w:i w:val="1"/>
                <w:iCs w:val="1"/>
                <w:color w:val="auto"/>
              </w:rPr>
              <w:t>Weighted-Average Assumptions</w:t>
            </w:r>
          </w:p>
        </w:tc>
        <w:tc>
          <w:tcPr>
            <w:tcW w:w="1660" w:type="dxa"/>
            <w:vAlign w:val="bottom"/>
            <w:tcBorders>
              <w:top w:val="single" w:sz="8" w:color="7F7F7F"/>
              <w:bottom w:val="single" w:sz="8" w:color="7F7F7F"/>
            </w:tcBorders>
          </w:tcPr>
          <w:p>
            <w:pPr>
              <w:spacing w:after="0"/>
              <w:rPr>
                <w:sz w:val="21"/>
                <w:szCs w:val="21"/>
                <w:color w:val="auto"/>
              </w:rPr>
            </w:pPr>
          </w:p>
        </w:tc>
        <w:tc>
          <w:tcPr>
            <w:tcW w:w="6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top w:val="single" w:sz="8" w:color="7F7F7F"/>
              <w:bottom w:val="single" w:sz="8" w:color="7F7F7F"/>
            </w:tcBorders>
          </w:tcPr>
          <w:p>
            <w:pPr>
              <w:spacing w:after="0"/>
              <w:rPr>
                <w:sz w:val="21"/>
                <w:szCs w:val="21"/>
                <w:color w:val="auto"/>
              </w:rPr>
            </w:pPr>
          </w:p>
        </w:tc>
        <w:tc>
          <w:tcPr>
            <w:tcW w:w="6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5600" w:type="dxa"/>
            <w:vAlign w:val="bottom"/>
          </w:tcPr>
          <w:p>
            <w:pPr>
              <w:spacing w:after="0"/>
              <w:rPr>
                <w:sz w:val="20"/>
                <w:szCs w:val="20"/>
                <w:color w:val="auto"/>
              </w:rPr>
            </w:pPr>
            <w:r>
              <w:rPr>
                <w:rFonts w:ascii="Arial" w:cs="Arial" w:eastAsia="Arial" w:hAnsi="Arial"/>
                <w:sz w:val="16"/>
                <w:szCs w:val="16"/>
                <w:color w:val="auto"/>
              </w:rPr>
              <w:t>Dividend yield</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Expected life (years)</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23"/>
        </w:trPr>
        <w:tc>
          <w:tcPr>
            <w:tcW w:w="56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Volatility</w:t>
            </w:r>
          </w:p>
        </w:tc>
        <w:tc>
          <w:tcPr>
            <w:tcW w:w="1660" w:type="dxa"/>
            <w:vAlign w:val="bottom"/>
            <w:tcBorders>
              <w:bottom w:val="single" w:sz="8" w:color="7F7F7F"/>
            </w:tcBorders>
          </w:tcPr>
          <w:p>
            <w:pPr>
              <w:spacing w:after="0"/>
              <w:rPr>
                <w:sz w:val="19"/>
                <w:szCs w:val="19"/>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21.7%</w:t>
            </w:r>
          </w:p>
        </w:tc>
        <w:tc>
          <w:tcPr>
            <w:tcW w:w="300" w:type="dxa"/>
            <w:vAlign w:val="bottom"/>
            <w:tcBorders>
              <w:bottom w:val="single" w:sz="8" w:color="7F7F7F"/>
            </w:tcBorders>
          </w:tcPr>
          <w:p>
            <w:pPr>
              <w:spacing w:after="0"/>
              <w:rPr>
                <w:sz w:val="19"/>
                <w:szCs w:val="19"/>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23.2%</w:t>
            </w: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Weighted-average grant-date fair value of options granted</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r>
      <w:tr>
        <w:trPr>
          <w:trHeight w:val="54"/>
        </w:trPr>
        <w:tc>
          <w:tcPr>
            <w:tcW w:w="5600" w:type="dxa"/>
            <w:vAlign w:val="bottom"/>
            <w:shd w:val="clear" w:color="auto" w:fill="7F7F7F"/>
          </w:tcPr>
          <w:p>
            <w:pPr>
              <w:spacing w:after="0"/>
              <w:rPr>
                <w:sz w:val="4"/>
                <w:szCs w:val="4"/>
                <w:color w:val="auto"/>
              </w:rPr>
            </w:pPr>
          </w:p>
        </w:tc>
        <w:tc>
          <w:tcPr>
            <w:tcW w:w="1660" w:type="dxa"/>
            <w:vAlign w:val="bottom"/>
            <w:shd w:val="clear" w:color="auto" w:fill="7F7F7F"/>
          </w:tcPr>
          <w:p>
            <w:pPr>
              <w:spacing w:after="0"/>
              <w:rPr>
                <w:sz w:val="4"/>
                <w:szCs w:val="4"/>
                <w:color w:val="auto"/>
              </w:rPr>
            </w:pPr>
          </w:p>
        </w:tc>
        <w:tc>
          <w:tcPr>
            <w:tcW w:w="660" w:type="dxa"/>
            <w:vAlign w:val="bottom"/>
            <w:shd w:val="clear" w:color="auto" w:fill="7F7F7F"/>
          </w:tcPr>
          <w:p>
            <w:pPr>
              <w:spacing w:after="0"/>
              <w:rPr>
                <w:sz w:val="4"/>
                <w:szCs w:val="4"/>
                <w:color w:val="auto"/>
              </w:rPr>
            </w:pPr>
          </w:p>
        </w:tc>
        <w:tc>
          <w:tcPr>
            <w:tcW w:w="30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option.</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summary of stock option activity during the six months ended June 30, 2017,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118110</wp:posOffset>
            </wp:positionV>
            <wp:extent cx="560006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9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6"/>
                <w:szCs w:val="16"/>
                <w:i w:val="1"/>
                <w:iCs w:val="1"/>
                <w:color w:val="auto"/>
              </w:rPr>
              <w:t>Options</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Weighted-</w:t>
            </w:r>
          </w:p>
        </w:tc>
        <w:tc>
          <w:tcPr>
            <w:tcW w:w="158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Weighted-Average</w:t>
            </w:r>
          </w:p>
        </w:tc>
        <w:tc>
          <w:tcPr>
            <w:tcW w:w="1120" w:type="dxa"/>
            <w:vAlign w:val="bottom"/>
            <w:gridSpan w:val="2"/>
          </w:tcPr>
          <w:p>
            <w:pPr>
              <w:jc w:val="right"/>
              <w:spacing w:after="0"/>
              <w:rPr>
                <w:sz w:val="20"/>
                <w:szCs w:val="20"/>
                <w:color w:val="auto"/>
              </w:rPr>
            </w:pPr>
            <w:r>
              <w:rPr>
                <w:rFonts w:ascii="Arial" w:cs="Arial" w:eastAsia="Arial" w:hAnsi="Arial"/>
                <w:sz w:val="16"/>
                <w:szCs w:val="16"/>
                <w:i w:val="1"/>
                <w:iCs w:val="1"/>
                <w:color w:val="auto"/>
              </w:rPr>
              <w:t>Aggregate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79"/>
              <w:spacing w:after="0" w:line="162" w:lineRule="exact"/>
              <w:rPr>
                <w:sz w:val="20"/>
                <w:szCs w:val="20"/>
                <w:color w:val="auto"/>
              </w:rPr>
            </w:pPr>
            <w:r>
              <w:rPr>
                <w:rFonts w:ascii="Arial" w:cs="Arial" w:eastAsia="Arial" w:hAnsi="Arial"/>
                <w:sz w:val="16"/>
                <w:szCs w:val="16"/>
                <w:i w:val="1"/>
                <w:iCs w:val="1"/>
                <w:color w:val="auto"/>
              </w:rPr>
              <w:t>Average</w:t>
            </w:r>
          </w:p>
        </w:tc>
        <w:tc>
          <w:tcPr>
            <w:tcW w:w="1580" w:type="dxa"/>
            <w:vAlign w:val="bottom"/>
            <w:gridSpan w:val="2"/>
          </w:tcPr>
          <w:p>
            <w:pPr>
              <w:jc w:val="right"/>
              <w:ind w:right="39"/>
              <w:spacing w:after="0" w:line="162" w:lineRule="exact"/>
              <w:rPr>
                <w:sz w:val="20"/>
                <w:szCs w:val="20"/>
                <w:color w:val="auto"/>
              </w:rPr>
            </w:pPr>
            <w:r>
              <w:rPr>
                <w:rFonts w:ascii="Arial" w:cs="Arial" w:eastAsia="Arial" w:hAnsi="Arial"/>
                <w:sz w:val="16"/>
                <w:szCs w:val="16"/>
                <w:i w:val="1"/>
                <w:iCs w:val="1"/>
                <w:color w:val="auto"/>
              </w:rPr>
              <w:t>Remaining</w:t>
            </w:r>
          </w:p>
        </w:tc>
        <w:tc>
          <w:tcPr>
            <w:tcW w:w="1120" w:type="dxa"/>
            <w:vAlign w:val="bottom"/>
            <w:gridSpan w:val="2"/>
          </w:tcPr>
          <w:p>
            <w:pPr>
              <w:jc w:val="right"/>
              <w:spacing w:after="0" w:line="162" w:lineRule="exact"/>
              <w:rPr>
                <w:sz w:val="20"/>
                <w:szCs w:val="20"/>
                <w:color w:val="auto"/>
              </w:rPr>
            </w:pPr>
            <w:r>
              <w:rPr>
                <w:rFonts w:ascii="Arial" w:cs="Arial" w:eastAsia="Arial" w:hAnsi="Arial"/>
                <w:sz w:val="16"/>
                <w:szCs w:val="16"/>
                <w:i w:val="1"/>
                <w:iCs w:val="1"/>
                <w:color w:val="auto"/>
              </w:rPr>
              <w:t>Intrinsic Value</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7F7F7F"/>
            </w:tcBorders>
          </w:tcPr>
          <w:p>
            <w:pPr>
              <w:spacing w:after="0"/>
              <w:rPr>
                <w:sz w:val="17"/>
                <w:szCs w:val="17"/>
                <w:color w:val="auto"/>
              </w:rPr>
            </w:pPr>
          </w:p>
        </w:tc>
        <w:tc>
          <w:tcPr>
            <w:tcW w:w="940" w:type="dxa"/>
            <w:vAlign w:val="bottom"/>
            <w:tcBorders>
              <w:bottom w:val="single" w:sz="8" w:color="7F7F7F"/>
            </w:tcBorders>
            <w:gridSpan w:val="2"/>
          </w:tcPr>
          <w:p>
            <w:pPr>
              <w:jc w:val="right"/>
              <w:ind w:right="100"/>
              <w:spacing w:after="0"/>
              <w:rPr>
                <w:sz w:val="20"/>
                <w:szCs w:val="20"/>
                <w:color w:val="auto"/>
              </w:rPr>
            </w:pPr>
            <w:r>
              <w:rPr>
                <w:rFonts w:ascii="Arial" w:cs="Arial" w:eastAsia="Arial" w:hAnsi="Arial"/>
                <w:sz w:val="16"/>
                <w:szCs w:val="16"/>
                <w:i w:val="1"/>
                <w:iCs w:val="1"/>
                <w:color w:val="auto"/>
              </w:rPr>
              <w:t>(thous.)</w:t>
            </w:r>
          </w:p>
        </w:tc>
        <w:tc>
          <w:tcPr>
            <w:tcW w:w="1280" w:type="dxa"/>
            <w:vAlign w:val="bottom"/>
            <w:tcBorders>
              <w:bottom w:val="single" w:sz="8" w:color="7F7F7F"/>
            </w:tcBorders>
            <w:gridSpan w:val="2"/>
          </w:tcPr>
          <w:p>
            <w:pPr>
              <w:jc w:val="right"/>
              <w:ind w:right="39"/>
              <w:spacing w:after="0"/>
              <w:rPr>
                <w:sz w:val="20"/>
                <w:szCs w:val="20"/>
                <w:color w:val="auto"/>
              </w:rPr>
            </w:pPr>
            <w:r>
              <w:rPr>
                <w:rFonts w:ascii="Arial" w:cs="Arial" w:eastAsia="Arial" w:hAnsi="Arial"/>
                <w:sz w:val="16"/>
                <w:szCs w:val="16"/>
                <w:i w:val="1"/>
                <w:iCs w:val="1"/>
                <w:color w:val="auto"/>
              </w:rPr>
              <w:t>Exercise Price</w:t>
            </w:r>
          </w:p>
        </w:tc>
        <w:tc>
          <w:tcPr>
            <w:tcW w:w="1580" w:type="dxa"/>
            <w:vAlign w:val="bottom"/>
            <w:tcBorders>
              <w:bottom w:val="single" w:sz="8" w:color="7F7F7F"/>
            </w:tcBorders>
            <w:gridSpan w:val="2"/>
          </w:tcPr>
          <w:p>
            <w:pPr>
              <w:jc w:val="right"/>
              <w:ind w:right="39"/>
              <w:spacing w:after="0"/>
              <w:rPr>
                <w:sz w:val="20"/>
                <w:szCs w:val="20"/>
                <w:color w:val="auto"/>
              </w:rPr>
            </w:pPr>
            <w:r>
              <w:rPr>
                <w:rFonts w:ascii="Arial" w:cs="Arial" w:eastAsia="Arial" w:hAnsi="Arial"/>
                <w:sz w:val="16"/>
                <w:szCs w:val="16"/>
                <w:i w:val="1"/>
                <w:iCs w:val="1"/>
                <w:color w:val="auto"/>
              </w:rPr>
              <w:t>Contractual Term</w:t>
            </w:r>
          </w:p>
        </w:tc>
        <w:tc>
          <w:tcPr>
            <w:tcW w:w="44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(millions)</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73.13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yrs.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Granted</w:t>
            </w:r>
          </w:p>
        </w:tc>
        <w:tc>
          <w:tcPr>
            <w:tcW w:w="84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107.30</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(478)</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46.33</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N/A</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6"/>
                <w:szCs w:val="16"/>
                <w:color w:val="auto"/>
              </w:rPr>
              <w:t>Forfeited or expired</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(90)</w:t>
            </w:r>
          </w:p>
        </w:tc>
        <w:tc>
          <w:tcPr>
            <w:tcW w:w="48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91.17</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9"/>
        </w:trPr>
        <w:tc>
          <w:tcPr>
            <w:tcW w:w="390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June 30, 2017</w:t>
            </w:r>
          </w:p>
        </w:tc>
        <w:tc>
          <w:tcPr>
            <w:tcW w:w="84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6,680</w:t>
            </w:r>
          </w:p>
        </w:tc>
        <w:tc>
          <w:tcPr>
            <w:tcW w:w="100" w:type="dxa"/>
            <w:vAlign w:val="bottom"/>
            <w:tcBorders>
              <w:top w:val="single" w:sz="8" w:color="7F7F7F"/>
              <w:bottom w:val="single" w:sz="8" w:color="CCEEFF"/>
            </w:tcBorders>
            <w:shd w:val="clear" w:color="auto" w:fill="CCEEFF"/>
          </w:tcPr>
          <w:p>
            <w:pPr>
              <w:spacing w:after="0"/>
              <w:rPr>
                <w:sz w:val="24"/>
                <w:szCs w:val="24"/>
                <w:color w:val="auto"/>
              </w:rPr>
            </w:pPr>
          </w:p>
        </w:tc>
        <w:tc>
          <w:tcPr>
            <w:tcW w:w="4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7F7F7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80.36</w:t>
            </w:r>
          </w:p>
        </w:tc>
        <w:tc>
          <w:tcPr>
            <w:tcW w:w="112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60" w:type="dxa"/>
            <w:vAlign w:val="bottom"/>
            <w:tcBorders>
              <w:top w:val="single" w:sz="8" w:color="7F7F7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yrs.</w:t>
            </w:r>
          </w:p>
        </w:tc>
        <w:tc>
          <w:tcPr>
            <w:tcW w:w="44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51"/>
        </w:trPr>
        <w:tc>
          <w:tcPr>
            <w:tcW w:w="39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Vested or expected to vest at June 30, 2017</w:t>
            </w:r>
          </w:p>
        </w:tc>
        <w:tc>
          <w:tcPr>
            <w:tcW w:w="840" w:type="dxa"/>
            <w:vAlign w:val="bottom"/>
            <w:tcBorders>
              <w:top w:val="single" w:sz="8" w:color="808080"/>
            </w:tcBorders>
          </w:tcPr>
          <w:p>
            <w:pPr>
              <w:jc w:val="right"/>
              <w:spacing w:after="0"/>
              <w:rPr>
                <w:sz w:val="20"/>
                <w:szCs w:val="20"/>
                <w:color w:val="auto"/>
              </w:rPr>
            </w:pPr>
            <w:r>
              <w:rPr>
                <w:rFonts w:ascii="Arial" w:cs="Arial" w:eastAsia="Arial" w:hAnsi="Arial"/>
                <w:sz w:val="16"/>
                <w:szCs w:val="16"/>
                <w:color w:val="auto"/>
              </w:rPr>
              <w:t>6,648</w:t>
            </w:r>
          </w:p>
        </w:tc>
        <w:tc>
          <w:tcPr>
            <w:tcW w:w="100" w:type="dxa"/>
            <w:vAlign w:val="bottom"/>
            <w:tcBorders>
              <w:top w:val="single" w:sz="8" w:color="7F7F7F"/>
            </w:tcBorders>
          </w:tcPr>
          <w:p>
            <w:pPr>
              <w:spacing w:after="0"/>
              <w:rPr>
                <w:sz w:val="21"/>
                <w:szCs w:val="21"/>
                <w:color w:val="auto"/>
              </w:rPr>
            </w:pPr>
          </w:p>
        </w:tc>
        <w:tc>
          <w:tcPr>
            <w:tcW w:w="48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color w:val="auto"/>
              </w:rPr>
              <w:t>80.22</w:t>
            </w:r>
          </w:p>
        </w:tc>
        <w:tc>
          <w:tcPr>
            <w:tcW w:w="112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6.2</w:t>
            </w:r>
          </w:p>
        </w:tc>
        <w:tc>
          <w:tcPr>
            <w:tcW w:w="460" w:type="dxa"/>
            <w:vAlign w:val="bottom"/>
            <w:tcBorders>
              <w:top w:val="single" w:sz="8" w:color="7F7F7F"/>
            </w:tcBorders>
          </w:tcPr>
          <w:p>
            <w:pPr>
              <w:jc w:val="right"/>
              <w:ind w:right="39"/>
              <w:spacing w:after="0"/>
              <w:rPr>
                <w:sz w:val="20"/>
                <w:szCs w:val="20"/>
                <w:color w:val="auto"/>
              </w:rPr>
            </w:pPr>
            <w:r>
              <w:rPr>
                <w:rFonts w:ascii="Arial" w:cs="Arial" w:eastAsia="Arial" w:hAnsi="Arial"/>
                <w:sz w:val="16"/>
                <w:szCs w:val="16"/>
                <w:color w:val="auto"/>
              </w:rPr>
              <w:t>yrs.</w:t>
            </w:r>
          </w:p>
        </w:tc>
        <w:tc>
          <w:tcPr>
            <w:tcW w:w="44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54"/>
        </w:trPr>
        <w:tc>
          <w:tcPr>
            <w:tcW w:w="3900" w:type="dxa"/>
            <w:vAlign w:val="bottom"/>
            <w:tcBorders>
              <w:bottom w:val="single" w:sz="8" w:color="7F7F7F"/>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exercisable at June 30, 2017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72.09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yrs.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54"/>
        </w:trPr>
        <w:tc>
          <w:tcPr>
            <w:tcW w:w="3900" w:type="dxa"/>
            <w:vAlign w:val="bottom"/>
            <w:shd w:val="clear" w:color="auto" w:fill="7F7F7F"/>
          </w:tcPr>
          <w:p>
            <w:pPr>
              <w:spacing w:after="0"/>
              <w:rPr>
                <w:sz w:val="4"/>
                <w:szCs w:val="4"/>
                <w:color w:val="auto"/>
              </w:rPr>
            </w:pPr>
          </w:p>
        </w:tc>
        <w:tc>
          <w:tcPr>
            <w:tcW w:w="840" w:type="dxa"/>
            <w:vAlign w:val="bottom"/>
            <w:shd w:val="clear" w:color="auto" w:fill="808080"/>
          </w:tcPr>
          <w:p>
            <w:pPr>
              <w:spacing w:after="0"/>
              <w:rPr>
                <w:sz w:val="4"/>
                <w:szCs w:val="4"/>
                <w:color w:val="auto"/>
              </w:rPr>
            </w:pPr>
          </w:p>
        </w:tc>
        <w:tc>
          <w:tcPr>
            <w:tcW w:w="100" w:type="dxa"/>
            <w:vAlign w:val="bottom"/>
            <w:shd w:val="clear" w:color="auto" w:fill="7F7F7F"/>
          </w:tcPr>
          <w:p>
            <w:pPr>
              <w:spacing w:after="0"/>
              <w:rPr>
                <w:sz w:val="4"/>
                <w:szCs w:val="4"/>
                <w:color w:val="auto"/>
              </w:rPr>
            </w:pPr>
          </w:p>
        </w:tc>
        <w:tc>
          <w:tcPr>
            <w:tcW w:w="480" w:type="dxa"/>
            <w:vAlign w:val="bottom"/>
            <w:shd w:val="clear" w:color="auto" w:fill="7F7F7F"/>
          </w:tcPr>
          <w:p>
            <w:pPr>
              <w:spacing w:after="0"/>
              <w:rPr>
                <w:sz w:val="4"/>
                <w:szCs w:val="4"/>
                <w:color w:val="auto"/>
              </w:rPr>
            </w:pPr>
          </w:p>
        </w:tc>
        <w:tc>
          <w:tcPr>
            <w:tcW w:w="800" w:type="dxa"/>
            <w:vAlign w:val="bottom"/>
            <w:shd w:val="clear" w:color="auto" w:fill="7F7F7F"/>
          </w:tcPr>
          <w:p>
            <w:pPr>
              <w:spacing w:after="0"/>
              <w:rPr>
                <w:sz w:val="4"/>
                <w:szCs w:val="4"/>
                <w:color w:val="auto"/>
              </w:rPr>
            </w:pPr>
          </w:p>
        </w:tc>
        <w:tc>
          <w:tcPr>
            <w:tcW w:w="1120" w:type="dxa"/>
            <w:vAlign w:val="bottom"/>
            <w:shd w:val="clear" w:color="auto" w:fill="7F7F7F"/>
          </w:tcPr>
          <w:p>
            <w:pPr>
              <w:spacing w:after="0"/>
              <w:rPr>
                <w:sz w:val="4"/>
                <w:szCs w:val="4"/>
                <w:color w:val="auto"/>
              </w:rPr>
            </w:pPr>
          </w:p>
        </w:tc>
        <w:tc>
          <w:tcPr>
            <w:tcW w:w="460" w:type="dxa"/>
            <w:vAlign w:val="bottom"/>
            <w:shd w:val="clear" w:color="auto" w:fill="7F7F7F"/>
          </w:tcPr>
          <w:p>
            <w:pPr>
              <w:spacing w:after="0"/>
              <w:rPr>
                <w:sz w:val="4"/>
                <w:szCs w:val="4"/>
                <w:color w:val="auto"/>
              </w:rPr>
            </w:pPr>
          </w:p>
        </w:tc>
        <w:tc>
          <w:tcPr>
            <w:tcW w:w="440" w:type="dxa"/>
            <w:vAlign w:val="bottom"/>
            <w:shd w:val="clear" w:color="auto" w:fill="7F7F7F"/>
          </w:tcPr>
          <w:p>
            <w:pPr>
              <w:spacing w:after="0"/>
              <w:rPr>
                <w:sz w:val="4"/>
                <w:szCs w:val="4"/>
                <w:color w:val="auto"/>
              </w:rPr>
            </w:pPr>
          </w:p>
        </w:tc>
        <w:tc>
          <w:tcPr>
            <w:tcW w:w="68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Stock options are granted at the closing price on the date of grant, have ten-year contractual terms, and vest no later than three years from the date of grant. None of the stock options outstanding at June 30, 2017, are subject to performance or market-based vesting conditions.</w:t>
      </w:r>
    </w:p>
    <w:p>
      <w:pPr>
        <w:spacing w:after="0" w:line="13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At June 30, 2017, there was $28 million of unrecognized compensation expense related to nonvested stock options, which is expected to be recognized over a weighted-average period of 1.6 years. Additional information regarding stock option exercises appears in the table below:</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40" w:type="dxa"/>
            <w:vAlign w:val="bottom"/>
            <w:tcBorders>
              <w:top w:val="single" w:sz="8" w:color="7F7F7F"/>
            </w:tcBorders>
          </w:tcPr>
          <w:p>
            <w:pPr>
              <w:spacing w:after="0"/>
              <w:rPr>
                <w:sz w:val="22"/>
                <w:szCs w:val="22"/>
                <w:color w:val="auto"/>
              </w:rPr>
            </w:pPr>
          </w:p>
        </w:tc>
        <w:tc>
          <w:tcPr>
            <w:tcW w:w="1860" w:type="dxa"/>
            <w:vAlign w:val="bottom"/>
            <w:tcBorders>
              <w:top w:val="single" w:sz="8" w:color="7F7F7F"/>
            </w:tcBorders>
            <w:gridSpan w:val="4"/>
          </w:tcPr>
          <w:p>
            <w:pPr>
              <w:jc w:val="center"/>
              <w:spacing w:after="0"/>
              <w:rPr>
                <w:sz w:val="20"/>
                <w:szCs w:val="20"/>
                <w:color w:val="auto"/>
              </w:rPr>
            </w:pPr>
            <w:r>
              <w:rPr>
                <w:rFonts w:ascii="Arial" w:cs="Arial" w:eastAsia="Arial" w:hAnsi="Arial"/>
                <w:sz w:val="16"/>
                <w:szCs w:val="16"/>
                <w:i w:val="1"/>
                <w:iCs w:val="1"/>
                <w:color w:val="auto"/>
              </w:rPr>
              <w:t>Three Months Ended</w:t>
            </w:r>
          </w:p>
        </w:tc>
        <w:tc>
          <w:tcPr>
            <w:tcW w:w="180" w:type="dxa"/>
            <w:vAlign w:val="bottom"/>
            <w:tcBorders>
              <w:top w:val="single" w:sz="8" w:color="808080"/>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c>
          <w:tcPr>
            <w:tcW w:w="1540" w:type="dxa"/>
            <w:vAlign w:val="bottom"/>
            <w:tcBorders>
              <w:top w:val="single" w:sz="8" w:color="808080"/>
            </w:tcBorders>
            <w:gridSpan w:val="3"/>
          </w:tcPr>
          <w:p>
            <w:pPr>
              <w:jc w:val="center"/>
              <w:ind w:right="99"/>
              <w:spacing w:after="0"/>
              <w:rPr>
                <w:sz w:val="20"/>
                <w:szCs w:val="20"/>
                <w:color w:val="auto"/>
              </w:rPr>
            </w:pPr>
            <w:r>
              <w:rPr>
                <w:rFonts w:ascii="Arial" w:cs="Arial" w:eastAsia="Arial" w:hAnsi="Arial"/>
                <w:sz w:val="16"/>
                <w:szCs w:val="16"/>
                <w:i w:val="1"/>
                <w:iCs w:val="1"/>
                <w:color w:val="auto"/>
              </w:rPr>
              <w:t>Six Months Ended</w:t>
            </w:r>
          </w:p>
        </w:tc>
      </w:tr>
      <w:tr>
        <w:trPr>
          <w:trHeight w:val="197"/>
        </w:trPr>
        <w:tc>
          <w:tcPr>
            <w:tcW w:w="5040" w:type="dxa"/>
            <w:vAlign w:val="bottom"/>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gridSpan w:val="2"/>
          </w:tcPr>
          <w:p>
            <w:pPr>
              <w:jc w:val="center"/>
              <w:ind w:left="39"/>
              <w:spacing w:after="0"/>
              <w:rPr>
                <w:sz w:val="20"/>
                <w:szCs w:val="20"/>
                <w:color w:val="auto"/>
              </w:rPr>
            </w:pPr>
            <w:r>
              <w:rPr>
                <w:rFonts w:ascii="Arial" w:cs="Arial" w:eastAsia="Arial" w:hAnsi="Arial"/>
                <w:sz w:val="16"/>
                <w:szCs w:val="16"/>
                <w:i w:val="1"/>
                <w:iCs w:val="1"/>
                <w:color w:val="auto"/>
              </w:rPr>
              <w:t>June 30,</w:t>
            </w:r>
          </w:p>
        </w:tc>
        <w:tc>
          <w:tcPr>
            <w:tcW w:w="500" w:type="dxa"/>
            <w:vAlign w:val="bottom"/>
            <w:tcBorders>
              <w:bottom w:val="single" w:sz="8" w:color="808080"/>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gridSpan w:val="2"/>
          </w:tcPr>
          <w:p>
            <w:pPr>
              <w:jc w:val="center"/>
              <w:ind w:left="199"/>
              <w:spacing w:after="0"/>
              <w:rPr>
                <w:sz w:val="20"/>
                <w:szCs w:val="20"/>
                <w:color w:val="auto"/>
              </w:rPr>
            </w:pPr>
            <w:r>
              <w:rPr>
                <w:rFonts w:ascii="Arial" w:cs="Arial" w:eastAsia="Arial" w:hAnsi="Arial"/>
                <w:sz w:val="16"/>
                <w:szCs w:val="16"/>
                <w:i w:val="1"/>
                <w:iCs w:val="1"/>
                <w:color w:val="auto"/>
              </w:rPr>
              <w:t>June 30,</w:t>
            </w:r>
          </w:p>
        </w:tc>
        <w:tc>
          <w:tcPr>
            <w:tcW w:w="480" w:type="dxa"/>
            <w:vAlign w:val="bottom"/>
            <w:tcBorders>
              <w:bottom w:val="single" w:sz="8" w:color="808080"/>
            </w:tcBorders>
          </w:tcPr>
          <w:p>
            <w:pPr>
              <w:spacing w:after="0"/>
              <w:rPr>
                <w:sz w:val="17"/>
                <w:szCs w:val="17"/>
                <w:color w:val="auto"/>
              </w:rPr>
            </w:pPr>
          </w:p>
        </w:tc>
      </w:tr>
      <w:tr>
        <w:trPr>
          <w:trHeight w:val="196"/>
        </w:trPr>
        <w:tc>
          <w:tcPr>
            <w:tcW w:w="504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3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60" w:type="dxa"/>
            <w:vAlign w:val="bottom"/>
            <w:tcBorders>
              <w:bottom w:val="single" w:sz="8" w:color="7F7F7F"/>
            </w:tcBorders>
          </w:tcPr>
          <w:p>
            <w:pPr>
              <w:spacing w:after="0"/>
              <w:rPr>
                <w:sz w:val="17"/>
                <w:szCs w:val="17"/>
                <w:color w:val="auto"/>
              </w:rPr>
            </w:pPr>
          </w:p>
        </w:tc>
        <w:tc>
          <w:tcPr>
            <w:tcW w:w="5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1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Intrinsic value of stock options exercised</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Cash received from option exercises</w:t>
            </w:r>
          </w:p>
        </w:tc>
        <w:tc>
          <w:tcPr>
            <w:tcW w:w="3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b w:val="1"/>
                <w:bCs w:val="1"/>
                <w:color w:val="auto"/>
              </w:rPr>
              <w:t>8</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28</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 repurchased for employee payroll taxes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Tax benefit realized from option exercises</w:t>
            </w:r>
          </w:p>
        </w:tc>
        <w:tc>
          <w:tcPr>
            <w:tcW w:w="3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0"/>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Aggregate grant-date fair value of stock options vested</w:t>
            </w: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54"/>
        </w:trPr>
        <w:tc>
          <w:tcPr>
            <w:tcW w:w="504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c>
          <w:tcPr>
            <w:tcW w:w="360" w:type="dxa"/>
            <w:vAlign w:val="bottom"/>
            <w:shd w:val="clear" w:color="auto" w:fill="7F7F7F"/>
          </w:tcPr>
          <w:p>
            <w:pPr>
              <w:spacing w:after="0"/>
              <w:rPr>
                <w:sz w:val="4"/>
                <w:szCs w:val="4"/>
                <w:color w:val="auto"/>
              </w:rPr>
            </w:pPr>
          </w:p>
        </w:tc>
        <w:tc>
          <w:tcPr>
            <w:tcW w:w="500" w:type="dxa"/>
            <w:vAlign w:val="bottom"/>
            <w:shd w:val="clear" w:color="auto" w:fill="7F7F7F"/>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200" w:type="dxa"/>
            <w:vAlign w:val="bottom"/>
            <w:shd w:val="clear" w:color="auto" w:fill="808080"/>
          </w:tcPr>
          <w:p>
            <w:pPr>
              <w:spacing w:after="0"/>
              <w:rPr>
                <w:sz w:val="4"/>
                <w:szCs w:val="4"/>
                <w:color w:val="auto"/>
              </w:rPr>
            </w:pPr>
          </w:p>
        </w:tc>
        <w:tc>
          <w:tcPr>
            <w:tcW w:w="700" w:type="dxa"/>
            <w:vAlign w:val="bottom"/>
            <w:shd w:val="clear" w:color="auto" w:fill="808080"/>
          </w:tcPr>
          <w:p>
            <w:pPr>
              <w:spacing w:after="0"/>
              <w:rPr>
                <w:sz w:val="4"/>
                <w:szCs w:val="4"/>
                <w:color w:val="auto"/>
              </w:rPr>
            </w:pPr>
          </w:p>
        </w:tc>
        <w:tc>
          <w:tcPr>
            <w:tcW w:w="360" w:type="dxa"/>
            <w:vAlign w:val="bottom"/>
            <w:shd w:val="clear" w:color="auto" w:fill="808080"/>
          </w:tcPr>
          <w:p>
            <w:pPr>
              <w:spacing w:after="0"/>
              <w:rPr>
                <w:sz w:val="4"/>
                <w:szCs w:val="4"/>
                <w:color w:val="auto"/>
              </w:rPr>
            </w:pPr>
          </w:p>
        </w:tc>
        <w:tc>
          <w:tcPr>
            <w:tcW w:w="480" w:type="dxa"/>
            <w:vAlign w:val="bottom"/>
            <w:shd w:val="clear" w:color="auto" w:fill="808080"/>
          </w:tcPr>
          <w:p>
            <w:pPr>
              <w:spacing w:after="0"/>
              <w:rPr>
                <w:sz w:val="4"/>
                <w:szCs w:val="4"/>
                <w:color w:val="auto"/>
              </w:rPr>
            </w:pPr>
          </w:p>
        </w:tc>
      </w:tr>
    </w:tbl>
    <w:p>
      <w:pPr>
        <w:spacing w:after="0" w:line="139" w:lineRule="exact"/>
        <w:rPr>
          <w:sz w:val="20"/>
          <w:szCs w:val="20"/>
          <w:color w:val="auto"/>
        </w:rPr>
      </w:pPr>
    </w:p>
    <w:p>
      <w:pPr>
        <w:jc w:val="both"/>
        <w:ind w:left="100" w:right="99"/>
        <w:spacing w:after="0"/>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The fair value of retention awards is based on the closing price of the stock on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date. Dividends and dividend equivalents are paid to participants during the vesting periods.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Changes in our retention awards during the six months ended June 30,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126365</wp:posOffset>
            </wp:positionV>
            <wp:extent cx="560006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gridSpan w:val="2"/>
          </w:tcPr>
          <w:p>
            <w:pPr>
              <w:ind w:left="460"/>
              <w:spacing w:after="0"/>
              <w:rPr>
                <w:sz w:val="20"/>
                <w:szCs w:val="20"/>
                <w:color w:val="auto"/>
              </w:rPr>
            </w:pPr>
            <w:r>
              <w:rPr>
                <w:rFonts w:ascii="Arial" w:cs="Arial" w:eastAsia="Arial" w:hAnsi="Arial"/>
                <w:sz w:val="16"/>
                <w:szCs w:val="16"/>
                <w:i w:val="1"/>
                <w:iCs w:val="1"/>
                <w:color w:val="auto"/>
              </w:rPr>
              <w:t>Shares</w:t>
            </w:r>
          </w:p>
        </w:tc>
        <w:tc>
          <w:tcPr>
            <w:tcW w:w="1740" w:type="dxa"/>
            <w:vAlign w:val="bottom"/>
            <w:gridSpan w:val="2"/>
          </w:tcPr>
          <w:p>
            <w:pPr>
              <w:jc w:val="right"/>
              <w:spacing w:after="0"/>
              <w:rPr>
                <w:sz w:val="20"/>
                <w:szCs w:val="20"/>
                <w:color w:val="auto"/>
              </w:rPr>
            </w:pPr>
            <w:r>
              <w:rPr>
                <w:rFonts w:ascii="Arial" w:cs="Arial" w:eastAsia="Arial" w:hAnsi="Arial"/>
                <w:sz w:val="16"/>
                <w:szCs w:val="16"/>
                <w:i w:val="1"/>
                <w:iCs w:val="1"/>
                <w:color w:val="auto"/>
              </w:rPr>
              <w:t>Weighted-Average</w:t>
            </w:r>
          </w:p>
        </w:tc>
      </w:tr>
      <w:tr>
        <w:trPr>
          <w:trHeight w:val="196"/>
        </w:trPr>
        <w:tc>
          <w:tcPr>
            <w:tcW w:w="5900" w:type="dxa"/>
            <w:vAlign w:val="bottom"/>
            <w:tcBorders>
              <w:bottom w:val="single" w:sz="8" w:color="7F7F7F"/>
            </w:tcBorders>
          </w:tcPr>
          <w:p>
            <w:pPr>
              <w:spacing w:after="0"/>
              <w:rPr>
                <w:sz w:val="17"/>
                <w:szCs w:val="17"/>
                <w:color w:val="auto"/>
              </w:rPr>
            </w:pPr>
          </w:p>
        </w:tc>
        <w:tc>
          <w:tcPr>
            <w:tcW w:w="1180" w:type="dxa"/>
            <w:vAlign w:val="bottom"/>
            <w:tcBorders>
              <w:bottom w:val="single" w:sz="8" w:color="7F7F7F"/>
            </w:tcBorders>
            <w:gridSpan w:val="2"/>
          </w:tcPr>
          <w:p>
            <w:pPr>
              <w:ind w:left="480"/>
              <w:spacing w:after="0"/>
              <w:rPr>
                <w:sz w:val="20"/>
                <w:szCs w:val="20"/>
                <w:color w:val="auto"/>
              </w:rPr>
            </w:pPr>
            <w:r>
              <w:rPr>
                <w:rFonts w:ascii="Arial" w:cs="Arial" w:eastAsia="Arial" w:hAnsi="Arial"/>
                <w:sz w:val="16"/>
                <w:szCs w:val="16"/>
                <w:i w:val="1"/>
                <w:iCs w:val="1"/>
                <w:color w:val="auto"/>
              </w:rPr>
              <w:t>(thous.)</w:t>
            </w:r>
          </w:p>
        </w:tc>
        <w:tc>
          <w:tcPr>
            <w:tcW w:w="174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Grant-Date Fair Value</w:t>
            </w: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Nonvested at January 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84.68</w:t>
            </w: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spacing w:after="0"/>
              <w:rPr>
                <w:sz w:val="20"/>
                <w:szCs w:val="20"/>
                <w:color w:val="auto"/>
              </w:rPr>
            </w:pPr>
            <w:r>
              <w:rPr>
                <w:rFonts w:ascii="Arial" w:cs="Arial" w:eastAsia="Arial" w:hAnsi="Arial"/>
                <w:sz w:val="16"/>
                <w:szCs w:val="16"/>
                <w:color w:val="auto"/>
              </w:rPr>
              <w:t>562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107.30</w:t>
            </w:r>
          </w:p>
        </w:tc>
      </w:tr>
      <w:tr>
        <w:trPr>
          <w:trHeight w:val="219"/>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(799)</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68.06</w:t>
            </w:r>
          </w:p>
        </w:tc>
      </w:tr>
      <w:tr>
        <w:trPr>
          <w:trHeight w:val="210"/>
        </w:trPr>
        <w:tc>
          <w:tcPr>
            <w:tcW w:w="5900" w:type="dxa"/>
            <w:vAlign w:val="bottom"/>
          </w:tcPr>
          <w:p>
            <w:pPr>
              <w:spacing w:after="0"/>
              <w:rPr>
                <w:sz w:val="20"/>
                <w:szCs w:val="20"/>
                <w:color w:val="auto"/>
              </w:rPr>
            </w:pPr>
            <w:r>
              <w:rPr>
                <w:rFonts w:ascii="Arial" w:cs="Arial" w:eastAsia="Arial" w:hAnsi="Arial"/>
                <w:sz w:val="16"/>
                <w:szCs w:val="16"/>
                <w:color w:val="auto"/>
              </w:rPr>
              <w:t>Forfeited</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(67)</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92.46</w:t>
            </w:r>
          </w:p>
        </w:tc>
      </w:tr>
      <w:tr>
        <w:trPr>
          <w:trHeight w:val="264"/>
        </w:trPr>
        <w:tc>
          <w:tcPr>
            <w:tcW w:w="590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at June 30, 2017</w:t>
            </w:r>
          </w:p>
        </w:tc>
        <w:tc>
          <w:tcPr>
            <w:tcW w:w="102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60" w:type="dxa"/>
            <w:vAlign w:val="bottom"/>
            <w:tcBorders>
              <w:top w:val="single" w:sz="8" w:color="7F7F7F"/>
              <w:bottom w:val="single" w:sz="8" w:color="CCEEFF"/>
            </w:tcBorders>
            <w:shd w:val="clear" w:color="auto" w:fill="CCEEFF"/>
          </w:tcPr>
          <w:p>
            <w:pPr>
              <w:spacing w:after="0"/>
              <w:rPr>
                <w:sz w:val="22"/>
                <w:szCs w:val="22"/>
                <w:color w:val="auto"/>
              </w:rPr>
            </w:pPr>
          </w:p>
        </w:tc>
        <w:tc>
          <w:tcPr>
            <w:tcW w:w="1120" w:type="dxa"/>
            <w:vAlign w:val="bottom"/>
            <w:tcBorders>
              <w:top w:val="single" w:sz="8" w:color="7F7F7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94.93</w:t>
            </w:r>
          </w:p>
        </w:tc>
      </w:tr>
      <w:tr>
        <w:trPr>
          <w:trHeight w:val="54"/>
        </w:trPr>
        <w:tc>
          <w:tcPr>
            <w:tcW w:w="5900" w:type="dxa"/>
            <w:vAlign w:val="bottom"/>
            <w:shd w:val="clear" w:color="auto" w:fill="7F7F7F"/>
          </w:tcPr>
          <w:p>
            <w:pPr>
              <w:spacing w:after="0"/>
              <w:rPr>
                <w:sz w:val="4"/>
                <w:szCs w:val="4"/>
                <w:color w:val="auto"/>
              </w:rPr>
            </w:pPr>
          </w:p>
        </w:tc>
        <w:tc>
          <w:tcPr>
            <w:tcW w:w="1020" w:type="dxa"/>
            <w:vAlign w:val="bottom"/>
            <w:shd w:val="clear" w:color="auto" w:fill="808080"/>
          </w:tcPr>
          <w:p>
            <w:pPr>
              <w:spacing w:after="0"/>
              <w:rPr>
                <w:sz w:val="4"/>
                <w:szCs w:val="4"/>
                <w:color w:val="auto"/>
              </w:rPr>
            </w:pPr>
          </w:p>
        </w:tc>
        <w:tc>
          <w:tcPr>
            <w:tcW w:w="160" w:type="dxa"/>
            <w:vAlign w:val="bottom"/>
            <w:shd w:val="clear" w:color="auto" w:fill="7F7F7F"/>
          </w:tcPr>
          <w:p>
            <w:pPr>
              <w:spacing w:after="0"/>
              <w:rPr>
                <w:sz w:val="4"/>
                <w:szCs w:val="4"/>
                <w:color w:val="auto"/>
              </w:rPr>
            </w:pPr>
          </w:p>
        </w:tc>
        <w:tc>
          <w:tcPr>
            <w:tcW w:w="112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Retention awards are granted at no cost to the employee or non-employee director and vest over periods lasting up to four years. At June 30, 2017, there was $113 million of total unrecognized compensation expense related to nonvested retention awards, which is expected to be recognized over a weighted-average period of 2.1 years.</w:t>
      </w:r>
    </w:p>
    <w:p>
      <w:pPr>
        <w:spacing w:after="0" w:line="114" w:lineRule="exact"/>
        <w:rPr>
          <w:sz w:val="20"/>
          <w:szCs w:val="20"/>
          <w:color w:val="auto"/>
        </w:rPr>
      </w:pPr>
    </w:p>
    <w:p>
      <w:pPr>
        <w:jc w:val="both"/>
        <w:ind w:left="100" w:right="99"/>
        <w:spacing w:after="0" w:line="212" w:lineRule="auto"/>
        <w:rPr>
          <w:sz w:val="20"/>
          <w:szCs w:val="20"/>
          <w:color w:val="auto"/>
        </w:rPr>
      </w:pPr>
      <w:r>
        <w:rPr>
          <w:rFonts w:ascii="Arial" w:cs="Arial" w:eastAsia="Arial" w:hAnsi="Arial"/>
          <w:sz w:val="18"/>
          <w:szCs w:val="18"/>
          <w:b w:val="1"/>
          <w:bCs w:val="1"/>
          <w:color w:val="auto"/>
        </w:rPr>
        <w:t xml:space="preserve">Performance Retention Awards </w:t>
      </w:r>
      <w:r>
        <w:rPr>
          <w:rFonts w:ascii="Arial" w:cs="Arial" w:eastAsia="Arial" w:hAnsi="Arial"/>
          <w:sz w:val="18"/>
          <w:szCs w:val="18"/>
          <w:color w:val="auto"/>
        </w:rPr>
        <w:t>– In February 2017, our Board of Directors approved performance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grants. The basic terms of these performance stock units are identical to those granted in February 2016, except for different annual return on invested capital (ROIC) performance targets. The 2016 and 2017 plans also include relative operating income growth (OIG) as a modifier compared to the companies included in the S&amp;P 500 Industrials Index. We define ROIC as net operating profit adjusted for interest expense (including interest on the present value of operating leases) and taxes on interest divided by average invested capital adjusted for the present value of operating leases. The modifier can be up to +/- 25% of the award earned based on the ROIC achieved.</w:t>
      </w:r>
    </w:p>
    <w:p>
      <w:pPr>
        <w:spacing w:after="0" w:line="139"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Stock units awarded to selected employees under these grants are subject to continued employment for 37 months and the attainment of certain levels of ROIC, and for the 2016 and 2017 plans, modified for the relative OIG. We expense the fair value of the units that are probable of being earned based on our forecasted ROIC over the 3-year performance period, and with respect to the third year of the 2016 and 2017 plans, the relative OIG modifier. We measure the fair value of these performance stock units based upon the closing price of the underlying common stock as of the date of grant, reduced by the present value of estimated future dividends. Dividend equivalents are paid to participants only after the units are earned.</w:t>
      </w:r>
    </w:p>
    <w:p>
      <w:pPr>
        <w:spacing w:after="0" w:line="137" w:lineRule="exact"/>
        <w:rPr>
          <w:sz w:val="20"/>
          <w:szCs w:val="20"/>
          <w:color w:val="auto"/>
        </w:rPr>
      </w:pPr>
    </w:p>
    <w:p>
      <w:pPr>
        <w:ind w:left="100" w:right="99"/>
        <w:spacing w:after="0" w:line="227" w:lineRule="auto"/>
        <w:rPr>
          <w:sz w:val="20"/>
          <w:szCs w:val="20"/>
          <w:color w:val="auto"/>
        </w:rPr>
      </w:pPr>
      <w:r>
        <w:rPr>
          <w:rFonts w:ascii="Arial" w:cs="Arial" w:eastAsia="Arial" w:hAnsi="Arial"/>
          <w:sz w:val="18"/>
          <w:szCs w:val="18"/>
          <w:color w:val="auto"/>
        </w:rPr>
        <w:t>The assumptions used to calculate the present value of estimated future dividends related to the February 2017 grant were as follows:</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5340" w:type="dxa"/>
            <w:vAlign w:val="bottom"/>
            <w:tcBorders>
              <w:top w:val="single" w:sz="8" w:color="7F7F7F"/>
              <w:bottom w:val="single" w:sz="8" w:color="7F7F7F"/>
            </w:tcBorders>
          </w:tcPr>
          <w:p>
            <w:pPr>
              <w:spacing w:after="0"/>
              <w:rPr>
                <w:sz w:val="21"/>
                <w:szCs w:val="21"/>
                <w:color w:val="auto"/>
              </w:rPr>
            </w:pPr>
          </w:p>
        </w:tc>
        <w:tc>
          <w:tcPr>
            <w:tcW w:w="2900" w:type="dxa"/>
            <w:vAlign w:val="bottom"/>
            <w:tcBorders>
              <w:top w:val="single" w:sz="8" w:color="7F7F7F"/>
              <w:bottom w:val="single" w:sz="8" w:color="7F7F7F"/>
            </w:tcBorders>
          </w:tcPr>
          <w:p>
            <w:pPr>
              <w:spacing w:after="0"/>
              <w:rPr>
                <w:sz w:val="21"/>
                <w:szCs w:val="21"/>
                <w:color w:val="auto"/>
              </w:rPr>
            </w:pPr>
          </w:p>
        </w:tc>
        <w:tc>
          <w:tcPr>
            <w:tcW w:w="58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2017</w:t>
            </w: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Dividend per share per quarter</w:t>
            </w:r>
          </w:p>
        </w:tc>
        <w:tc>
          <w:tcPr>
            <w:tcW w:w="2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0.605</w:t>
            </w:r>
          </w:p>
        </w:tc>
      </w:tr>
      <w:tr>
        <w:trPr>
          <w:trHeight w:val="223"/>
        </w:trPr>
        <w:tc>
          <w:tcPr>
            <w:tcW w:w="53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Risk-free interest rate at date of grant</w:t>
            </w:r>
          </w:p>
        </w:tc>
        <w:tc>
          <w:tcPr>
            <w:tcW w:w="2900" w:type="dxa"/>
            <w:vAlign w:val="bottom"/>
            <w:tcBorders>
              <w:bottom w:val="single" w:sz="8" w:color="7F7F7F"/>
            </w:tcBorders>
          </w:tcPr>
          <w:p>
            <w:pPr>
              <w:spacing w:after="0"/>
              <w:rPr>
                <w:sz w:val="19"/>
                <w:szCs w:val="19"/>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1.5%</w:t>
            </w:r>
          </w:p>
        </w:tc>
      </w:tr>
    </w:tbl>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Changes in our performance retention awards during the six months ended June 30,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126365</wp:posOffset>
            </wp:positionV>
            <wp:extent cx="560006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20" w:type="dxa"/>
            <w:vAlign w:val="bottom"/>
          </w:tcPr>
          <w:p>
            <w:pPr>
              <w:jc w:val="right"/>
              <w:ind w:right="119"/>
              <w:spacing w:after="0"/>
              <w:rPr>
                <w:sz w:val="20"/>
                <w:szCs w:val="20"/>
                <w:color w:val="auto"/>
              </w:rPr>
            </w:pPr>
            <w:r>
              <w:rPr>
                <w:rFonts w:ascii="Arial" w:cs="Arial" w:eastAsia="Arial" w:hAnsi="Arial"/>
                <w:sz w:val="16"/>
                <w:szCs w:val="16"/>
                <w:i w:val="1"/>
                <w:iCs w:val="1"/>
                <w:color w:val="auto"/>
              </w:rPr>
              <w:t>Shares</w:t>
            </w:r>
          </w:p>
        </w:tc>
        <w:tc>
          <w:tcPr>
            <w:tcW w:w="1740" w:type="dxa"/>
            <w:vAlign w:val="bottom"/>
            <w:gridSpan w:val="2"/>
          </w:tcPr>
          <w:p>
            <w:pPr>
              <w:jc w:val="right"/>
              <w:spacing w:after="0"/>
              <w:rPr>
                <w:sz w:val="20"/>
                <w:szCs w:val="20"/>
                <w:color w:val="auto"/>
              </w:rPr>
            </w:pPr>
            <w:r>
              <w:rPr>
                <w:rFonts w:ascii="Arial" w:cs="Arial" w:eastAsia="Arial" w:hAnsi="Arial"/>
                <w:sz w:val="16"/>
                <w:szCs w:val="16"/>
                <w:i w:val="1"/>
                <w:iCs w:val="1"/>
                <w:color w:val="auto"/>
              </w:rPr>
              <w:t>Weighted-Average</w:t>
            </w:r>
          </w:p>
        </w:tc>
      </w:tr>
      <w:tr>
        <w:trPr>
          <w:trHeight w:val="196"/>
        </w:trPr>
        <w:tc>
          <w:tcPr>
            <w:tcW w:w="4260" w:type="dxa"/>
            <w:vAlign w:val="bottom"/>
            <w:tcBorders>
              <w:bottom w:val="single" w:sz="8" w:color="7F7F7F"/>
            </w:tcBorders>
          </w:tcPr>
          <w:p>
            <w:pPr>
              <w:spacing w:after="0"/>
              <w:rPr>
                <w:sz w:val="17"/>
                <w:szCs w:val="17"/>
                <w:color w:val="auto"/>
              </w:rPr>
            </w:pPr>
          </w:p>
        </w:tc>
        <w:tc>
          <w:tcPr>
            <w:tcW w:w="282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i w:val="1"/>
                <w:iCs w:val="1"/>
                <w:color w:val="auto"/>
              </w:rPr>
              <w:t>(thous.)</w:t>
            </w:r>
          </w:p>
        </w:tc>
        <w:tc>
          <w:tcPr>
            <w:tcW w:w="174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Grant-Date Fair Value</w:t>
            </w: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Nonvested at January 1, 2017</w:t>
            </w:r>
          </w:p>
        </w:tc>
        <w:tc>
          <w:tcPr>
            <w:tcW w:w="2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1,145</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w:t>
            </w: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Granted</w:t>
            </w:r>
          </w:p>
        </w:tc>
        <w:tc>
          <w:tcPr>
            <w:tcW w:w="2820" w:type="dxa"/>
            <w:vAlign w:val="bottom"/>
          </w:tcPr>
          <w:p>
            <w:pPr>
              <w:jc w:val="right"/>
              <w:ind w:right="119"/>
              <w:spacing w:after="0"/>
              <w:rPr>
                <w:sz w:val="20"/>
                <w:szCs w:val="20"/>
                <w:color w:val="auto"/>
              </w:rPr>
            </w:pPr>
            <w:r>
              <w:rPr>
                <w:rFonts w:ascii="Arial" w:cs="Arial" w:eastAsia="Arial" w:hAnsi="Arial"/>
                <w:sz w:val="16"/>
                <w:szCs w:val="16"/>
                <w:color w:val="auto"/>
              </w:rPr>
              <w:t>461</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101.38</w:t>
            </w:r>
          </w:p>
        </w:tc>
      </w:tr>
      <w:tr>
        <w:trPr>
          <w:trHeight w:val="21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2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(255)</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83.06</w:t>
            </w: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Unearned</w:t>
            </w:r>
          </w:p>
        </w:tc>
        <w:tc>
          <w:tcPr>
            <w:tcW w:w="282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83.06</w:t>
            </w:r>
          </w:p>
        </w:tc>
      </w:tr>
      <w:tr>
        <w:trPr>
          <w:trHeight w:val="213"/>
        </w:trPr>
        <w:tc>
          <w:tcPr>
            <w:tcW w:w="4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282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112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92.20</w:t>
            </w:r>
          </w:p>
        </w:tc>
      </w:tr>
      <w:tr>
        <w:trPr>
          <w:trHeight w:val="237"/>
        </w:trPr>
        <w:tc>
          <w:tcPr>
            <w:tcW w:w="4260" w:type="dxa"/>
            <w:vAlign w:val="bottom"/>
          </w:tcPr>
          <w:p>
            <w:pPr>
              <w:spacing w:after="0"/>
              <w:rPr>
                <w:sz w:val="20"/>
                <w:szCs w:val="20"/>
                <w:color w:val="auto"/>
              </w:rPr>
            </w:pPr>
            <w:r>
              <w:rPr>
                <w:rFonts w:ascii="Arial" w:cs="Arial" w:eastAsia="Arial" w:hAnsi="Arial"/>
                <w:sz w:val="16"/>
                <w:szCs w:val="16"/>
                <w:color w:val="auto"/>
              </w:rPr>
              <w:t>Nonvested at June 30, 2017</w:t>
            </w:r>
          </w:p>
        </w:tc>
        <w:tc>
          <w:tcPr>
            <w:tcW w:w="2820" w:type="dxa"/>
            <w:vAlign w:val="bottom"/>
          </w:tcPr>
          <w:p>
            <w:pPr>
              <w:jc w:val="right"/>
              <w:ind w:right="119"/>
              <w:spacing w:after="0"/>
              <w:rPr>
                <w:sz w:val="20"/>
                <w:szCs w:val="20"/>
                <w:color w:val="auto"/>
              </w:rPr>
            </w:pPr>
            <w:r>
              <w:rPr>
                <w:rFonts w:ascii="Arial" w:cs="Arial" w:eastAsia="Arial" w:hAnsi="Arial"/>
                <w:sz w:val="16"/>
                <w:szCs w:val="16"/>
                <w:color w:val="auto"/>
              </w:rPr>
              <w:t>1,189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92.82</w:t>
            </w:r>
          </w:p>
        </w:tc>
      </w:tr>
      <w:tr>
        <w:trPr>
          <w:trHeight w:val="81"/>
        </w:trPr>
        <w:tc>
          <w:tcPr>
            <w:tcW w:w="4260" w:type="dxa"/>
            <w:vAlign w:val="bottom"/>
            <w:tcBorders>
              <w:bottom w:val="single" w:sz="8" w:color="7F7F7F"/>
            </w:tcBorders>
          </w:tcPr>
          <w:p>
            <w:pPr>
              <w:spacing w:after="0"/>
              <w:rPr>
                <w:sz w:val="7"/>
                <w:szCs w:val="7"/>
                <w:color w:val="auto"/>
              </w:rPr>
            </w:pPr>
          </w:p>
        </w:tc>
        <w:tc>
          <w:tcPr>
            <w:tcW w:w="2820" w:type="dxa"/>
            <w:vAlign w:val="bottom"/>
            <w:tcBorders>
              <w:bottom w:val="single" w:sz="8" w:color="7F7F7F"/>
            </w:tcBorders>
          </w:tcPr>
          <w:p>
            <w:pPr>
              <w:spacing w:after="0"/>
              <w:rPr>
                <w:sz w:val="7"/>
                <w:szCs w:val="7"/>
                <w:color w:val="auto"/>
              </w:rPr>
            </w:pPr>
          </w:p>
        </w:tc>
        <w:tc>
          <w:tcPr>
            <w:tcW w:w="1120" w:type="dxa"/>
            <w:vAlign w:val="bottom"/>
            <w:tcBorders>
              <w:bottom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At June 30, 2017, there was $ 55 million of total unrecognized compensation expense related to nonvested performance retention awards, which is expected to be recognized over a weighted-average period of 2.0 years. This expense is subject to achievement of the performance measures established for the performance stock unit grants.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Retirement Plans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148"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Pension Plans </w:t>
      </w:r>
      <w:r>
        <w:rPr>
          <w:rFonts w:ascii="Arial" w:cs="Arial" w:eastAsia="Arial" w:hAnsi="Arial"/>
          <w:sz w:val="18"/>
          <w:szCs w:val="18"/>
          <w:color w:val="auto"/>
        </w:rPr>
        <w:t>– We provide defined benefit retirement income to eligible non-union employees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and non-qualified (supplemental) pension plans. Qualified and non-qualified pension benefits are based on years of service and the highest compensation during the latest years of employment, with specific reductions made for early retirements.</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 xml:space="preserve">Other Postretirement Benefits (OPEB) </w:t>
      </w:r>
      <w:r>
        <w:rPr>
          <w:rFonts w:ascii="Arial" w:cs="Arial" w:eastAsia="Arial" w:hAnsi="Arial"/>
          <w:sz w:val="18"/>
          <w:szCs w:val="18"/>
          <w:color w:val="auto"/>
        </w:rPr>
        <w:t>– We provide medical and life insurance benefits for eligible retirees.</w:t>
      </w:r>
    </w:p>
    <w:p>
      <w:pPr>
        <w:ind w:left="100"/>
        <w:spacing w:after="0"/>
        <w:rPr>
          <w:sz w:val="20"/>
          <w:szCs w:val="20"/>
          <w:color w:val="auto"/>
        </w:rPr>
      </w:pPr>
      <w:r>
        <w:rPr>
          <w:rFonts w:ascii="Arial" w:cs="Arial" w:eastAsia="Arial" w:hAnsi="Arial"/>
          <w:sz w:val="18"/>
          <w:szCs w:val="18"/>
          <w:color w:val="auto"/>
        </w:rPr>
        <w:t>These benefits are funded as medical claims and life insurance premiums are paid.</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Expense</w:t>
      </w:r>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Both pension and OPEB expense are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five-year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 and, if necessary, amortized as pension or OPEB expense.</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components of our net periodic pension cost were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660" w:type="dxa"/>
            <w:vAlign w:val="bottom"/>
            <w:tcBorders>
              <w:top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980" w:type="dxa"/>
            <w:vAlign w:val="bottom"/>
            <w:tcBorders>
              <w:top w:val="single" w:sz="8" w:color="7F7F7F"/>
            </w:tcBorders>
            <w:gridSpan w:val="4"/>
          </w:tcPr>
          <w:p>
            <w:pPr>
              <w:jc w:val="right"/>
              <w:ind w:right="460"/>
              <w:spacing w:after="0"/>
              <w:rPr>
                <w:sz w:val="20"/>
                <w:szCs w:val="20"/>
                <w:color w:val="auto"/>
              </w:rPr>
            </w:pPr>
            <w:r>
              <w:rPr>
                <w:rFonts w:ascii="Arial" w:cs="Arial" w:eastAsia="Arial" w:hAnsi="Arial"/>
                <w:sz w:val="16"/>
                <w:szCs w:val="16"/>
                <w:i w:val="1"/>
                <w:iCs w:val="1"/>
                <w:color w:val="auto"/>
              </w:rPr>
              <w:t>Three Months Ended</w:t>
            </w:r>
          </w:p>
        </w:tc>
        <w:tc>
          <w:tcPr>
            <w:tcW w:w="240" w:type="dxa"/>
            <w:vAlign w:val="bottom"/>
            <w:tcBorders>
              <w:top w:val="single" w:sz="8" w:color="7F7F7F"/>
            </w:tcBorders>
          </w:tcPr>
          <w:p>
            <w:pPr>
              <w:spacing w:after="0"/>
              <w:rPr>
                <w:sz w:val="19"/>
                <w:szCs w:val="19"/>
                <w:color w:val="auto"/>
              </w:rPr>
            </w:pPr>
          </w:p>
        </w:tc>
        <w:tc>
          <w:tcPr>
            <w:tcW w:w="1680" w:type="dxa"/>
            <w:vAlign w:val="bottom"/>
            <w:tcBorders>
              <w:top w:val="single" w:sz="8" w:color="7F7F7F"/>
            </w:tcBorders>
            <w:gridSpan w:val="3"/>
          </w:tcPr>
          <w:p>
            <w:pPr>
              <w:jc w:val="right"/>
              <w:ind w:right="219"/>
              <w:spacing w:after="0"/>
              <w:rPr>
                <w:sz w:val="20"/>
                <w:szCs w:val="20"/>
                <w:color w:val="auto"/>
              </w:rPr>
            </w:pPr>
            <w:r>
              <w:rPr>
                <w:rFonts w:ascii="Arial" w:cs="Arial" w:eastAsia="Arial" w:hAnsi="Arial"/>
                <w:sz w:val="16"/>
                <w:szCs w:val="16"/>
                <w:i w:val="1"/>
                <w:iCs w:val="1"/>
                <w:color w:val="auto"/>
              </w:rPr>
              <w:t>Six Months Ended</w:t>
            </w:r>
          </w:p>
        </w:tc>
      </w:tr>
      <w:tr>
        <w:trPr>
          <w:trHeight w:val="224"/>
        </w:trPr>
        <w:tc>
          <w:tcPr>
            <w:tcW w:w="4660" w:type="dxa"/>
            <w:vAlign w:val="bottom"/>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1220" w:type="dxa"/>
            <w:vAlign w:val="bottom"/>
            <w:tcBorders>
              <w:bottom w:val="single" w:sz="8" w:color="7F7F7F"/>
            </w:tcBorders>
            <w:gridSpan w:val="2"/>
          </w:tcPr>
          <w:p>
            <w:pPr>
              <w:jc w:val="right"/>
              <w:ind w:right="79"/>
              <w:spacing w:after="0"/>
              <w:rPr>
                <w:sz w:val="20"/>
                <w:szCs w:val="20"/>
                <w:color w:val="auto"/>
              </w:rPr>
            </w:pPr>
            <w:r>
              <w:rPr>
                <w:rFonts w:ascii="Arial" w:cs="Arial" w:eastAsia="Arial" w:hAnsi="Arial"/>
                <w:sz w:val="16"/>
                <w:szCs w:val="16"/>
                <w:i w:val="1"/>
                <w:iCs w:val="1"/>
                <w:color w:val="auto"/>
              </w:rPr>
              <w:t>June 30,</w:t>
            </w:r>
          </w:p>
        </w:tc>
        <w:tc>
          <w:tcPr>
            <w:tcW w:w="540" w:type="dxa"/>
            <w:vAlign w:val="bottom"/>
            <w:tcBorders>
              <w:bottom w:val="single" w:sz="8" w:color="7F7F7F"/>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160" w:type="dxa"/>
            <w:vAlign w:val="bottom"/>
            <w:tcBorders>
              <w:bottom w:val="single" w:sz="8" w:color="7F7F7F"/>
            </w:tcBorders>
            <w:gridSpan w:val="2"/>
          </w:tcPr>
          <w:p>
            <w:pPr>
              <w:jc w:val="right"/>
              <w:ind w:right="59"/>
              <w:spacing w:after="0"/>
              <w:rPr>
                <w:sz w:val="20"/>
                <w:szCs w:val="20"/>
                <w:color w:val="auto"/>
              </w:rPr>
            </w:pPr>
            <w:r>
              <w:rPr>
                <w:rFonts w:ascii="Arial" w:cs="Arial" w:eastAsia="Arial" w:hAnsi="Arial"/>
                <w:sz w:val="16"/>
                <w:szCs w:val="16"/>
                <w:i w:val="1"/>
                <w:iCs w:val="1"/>
                <w:color w:val="auto"/>
              </w:rPr>
              <w:t>June 30,</w:t>
            </w:r>
          </w:p>
        </w:tc>
        <w:tc>
          <w:tcPr>
            <w:tcW w:w="520" w:type="dxa"/>
            <w:vAlign w:val="bottom"/>
            <w:tcBorders>
              <w:bottom w:val="single" w:sz="8" w:color="7F7F7F"/>
            </w:tcBorders>
          </w:tcPr>
          <w:p>
            <w:pPr>
              <w:spacing w:after="0"/>
              <w:rPr>
                <w:sz w:val="19"/>
                <w:szCs w:val="19"/>
                <w:color w:val="auto"/>
              </w:rPr>
            </w:pPr>
          </w:p>
        </w:tc>
      </w:tr>
      <w:tr>
        <w:trPr>
          <w:trHeight w:val="196"/>
        </w:trPr>
        <w:tc>
          <w:tcPr>
            <w:tcW w:w="46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60" w:type="dxa"/>
            <w:vAlign w:val="bottom"/>
            <w:tcBorders>
              <w:bottom w:val="single" w:sz="8" w:color="7F7F7F"/>
            </w:tcBorders>
          </w:tcPr>
          <w:p>
            <w:pPr>
              <w:spacing w:after="0"/>
              <w:rPr>
                <w:sz w:val="17"/>
                <w:szCs w:val="17"/>
                <w:color w:val="auto"/>
              </w:rPr>
            </w:pPr>
          </w:p>
        </w:tc>
        <w:tc>
          <w:tcPr>
            <w:tcW w:w="8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220" w:type="dxa"/>
            <w:vAlign w:val="bottom"/>
            <w:tcBorders>
              <w:bottom w:val="single" w:sz="8" w:color="7F7F7F"/>
            </w:tcBorders>
          </w:tcPr>
          <w:p>
            <w:pPr>
              <w:spacing w:after="0"/>
              <w:rPr>
                <w:sz w:val="17"/>
                <w:szCs w:val="17"/>
                <w:color w:val="auto"/>
              </w:rPr>
            </w:pPr>
          </w:p>
        </w:tc>
        <w:tc>
          <w:tcPr>
            <w:tcW w:w="240" w:type="dxa"/>
            <w:vAlign w:val="bottom"/>
            <w:tcBorders>
              <w:bottom w:val="single" w:sz="8" w:color="7F7F7F"/>
            </w:tcBorders>
          </w:tcPr>
          <w:p>
            <w:pPr>
              <w:spacing w:after="0"/>
              <w:rPr>
                <w:sz w:val="17"/>
                <w:szCs w:val="17"/>
                <w:color w:val="auto"/>
              </w:rPr>
            </w:pPr>
          </w:p>
        </w:tc>
        <w:tc>
          <w:tcPr>
            <w:tcW w:w="76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bottom w:val="single" w:sz="8" w:color="7F7F7F"/>
            </w:tcBorders>
          </w:tcPr>
          <w:p>
            <w:pPr>
              <w:spacing w:after="0"/>
              <w:rPr>
                <w:sz w:val="17"/>
                <w:szCs w:val="17"/>
                <w:color w:val="auto"/>
              </w:rPr>
            </w:pPr>
          </w:p>
        </w:tc>
        <w:tc>
          <w:tcPr>
            <w:tcW w:w="5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4660" w:type="dxa"/>
            <w:vAlign w:val="bottom"/>
          </w:tcPr>
          <w:p>
            <w:pPr>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36</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71</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Amortization of:</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3"/>
        </w:trPr>
        <w:tc>
          <w:tcPr>
            <w:tcW w:w="466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Actuarial loss</w:t>
            </w:r>
          </w:p>
        </w:tc>
        <w:tc>
          <w:tcPr>
            <w:tcW w:w="260" w:type="dxa"/>
            <w:vAlign w:val="bottom"/>
            <w:tcBorders>
              <w:bottom w:val="single" w:sz="8" w:color="7F7F7F"/>
            </w:tcBorders>
            <w:shd w:val="clear" w:color="auto" w:fill="CCEEFF"/>
          </w:tcPr>
          <w:p>
            <w:pPr>
              <w:spacing w:after="0"/>
              <w:rPr>
                <w:sz w:val="18"/>
                <w:szCs w:val="18"/>
                <w:color w:val="auto"/>
              </w:rPr>
            </w:pPr>
          </w:p>
        </w:tc>
        <w:tc>
          <w:tcPr>
            <w:tcW w:w="8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w:t>
            </w:r>
          </w:p>
        </w:tc>
        <w:tc>
          <w:tcPr>
            <w:tcW w:w="380" w:type="dxa"/>
            <w:vAlign w:val="bottom"/>
            <w:tcBorders>
              <w:bottom w:val="single" w:sz="8" w:color="7F7F7F"/>
            </w:tcBorders>
            <w:shd w:val="clear" w:color="auto" w:fill="CCEEFF"/>
          </w:tcPr>
          <w:p>
            <w:pPr>
              <w:spacing w:after="0"/>
              <w:rPr>
                <w:sz w:val="18"/>
                <w:szCs w:val="18"/>
                <w:color w:val="auto"/>
              </w:rPr>
            </w:pPr>
          </w:p>
        </w:tc>
        <w:tc>
          <w:tcPr>
            <w:tcW w:w="5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7F7F7F"/>
            </w:tcBorders>
            <w:shd w:val="clear" w:color="auto" w:fill="CCEEFF"/>
          </w:tcPr>
          <w:p>
            <w:pPr>
              <w:spacing w:after="0"/>
              <w:rPr>
                <w:sz w:val="18"/>
                <w:szCs w:val="18"/>
                <w:color w:val="auto"/>
              </w:rPr>
            </w:pPr>
          </w:p>
        </w:tc>
        <w:tc>
          <w:tcPr>
            <w:tcW w:w="240" w:type="dxa"/>
            <w:vAlign w:val="bottom"/>
            <w:tcBorders>
              <w:bottom w:val="single" w:sz="8" w:color="7F7F7F"/>
            </w:tcBorders>
            <w:shd w:val="clear" w:color="auto" w:fill="CCEEFF"/>
          </w:tcPr>
          <w:p>
            <w:pPr>
              <w:spacing w:after="0"/>
              <w:rPr>
                <w:sz w:val="18"/>
                <w:szCs w:val="18"/>
                <w:color w:val="auto"/>
              </w:rPr>
            </w:pPr>
          </w:p>
        </w:tc>
        <w:tc>
          <w:tcPr>
            <w:tcW w:w="76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w:t>
            </w:r>
          </w:p>
        </w:tc>
        <w:tc>
          <w:tcPr>
            <w:tcW w:w="400" w:type="dxa"/>
            <w:vAlign w:val="bottom"/>
            <w:tcBorders>
              <w:bottom w:val="single" w:sz="8" w:color="7F7F7F"/>
            </w:tcBorders>
            <w:shd w:val="clear" w:color="auto" w:fill="CCEEFF"/>
          </w:tcPr>
          <w:p>
            <w:pPr>
              <w:spacing w:after="0"/>
              <w:rPr>
                <w:sz w:val="18"/>
                <w:szCs w:val="18"/>
                <w:color w:val="auto"/>
              </w:rPr>
            </w:pPr>
          </w:p>
        </w:tc>
        <w:tc>
          <w:tcPr>
            <w:tcW w:w="5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4660" w:type="dxa"/>
            <w:vAlign w:val="bottom"/>
          </w:tcPr>
          <w:p>
            <w:pPr>
              <w:spacing w:after="0"/>
              <w:rPr>
                <w:sz w:val="20"/>
                <w:szCs w:val="20"/>
                <w:color w:val="auto"/>
              </w:rPr>
            </w:pPr>
            <w:r>
              <w:rPr>
                <w:rFonts w:ascii="Arial" w:cs="Arial" w:eastAsia="Arial" w:hAnsi="Arial"/>
                <w:sz w:val="16"/>
                <w:szCs w:val="16"/>
                <w:color w:val="auto"/>
              </w:rPr>
              <w:t>Net periodic pension cost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81"/>
        </w:trPr>
        <w:tc>
          <w:tcPr>
            <w:tcW w:w="466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tcPr>
          <w:p>
            <w:pPr>
              <w:spacing w:after="0"/>
              <w:rPr>
                <w:sz w:val="7"/>
                <w:szCs w:val="7"/>
                <w:color w:val="auto"/>
              </w:rPr>
            </w:pPr>
          </w:p>
        </w:tc>
        <w:tc>
          <w:tcPr>
            <w:tcW w:w="840" w:type="dxa"/>
            <w:vAlign w:val="bottom"/>
            <w:tcBorders>
              <w:bottom w:val="single" w:sz="8" w:color="7F7F7F"/>
            </w:tcBorders>
          </w:tcPr>
          <w:p>
            <w:pPr>
              <w:spacing w:after="0"/>
              <w:rPr>
                <w:sz w:val="7"/>
                <w:szCs w:val="7"/>
                <w:color w:val="auto"/>
              </w:rPr>
            </w:pPr>
          </w:p>
        </w:tc>
        <w:tc>
          <w:tcPr>
            <w:tcW w:w="380" w:type="dxa"/>
            <w:vAlign w:val="bottom"/>
            <w:tcBorders>
              <w:bottom w:val="single" w:sz="8" w:color="7F7F7F"/>
            </w:tcBorders>
          </w:tcPr>
          <w:p>
            <w:pPr>
              <w:spacing w:after="0"/>
              <w:rPr>
                <w:sz w:val="7"/>
                <w:szCs w:val="7"/>
                <w:color w:val="auto"/>
              </w:rPr>
            </w:pPr>
          </w:p>
        </w:tc>
        <w:tc>
          <w:tcPr>
            <w:tcW w:w="540" w:type="dxa"/>
            <w:vAlign w:val="bottom"/>
            <w:tcBorders>
              <w:bottom w:val="single" w:sz="8" w:color="7F7F7F"/>
            </w:tcBorders>
          </w:tcPr>
          <w:p>
            <w:pPr>
              <w:spacing w:after="0"/>
              <w:rPr>
                <w:sz w:val="7"/>
                <w:szCs w:val="7"/>
                <w:color w:val="auto"/>
              </w:rPr>
            </w:pPr>
          </w:p>
        </w:tc>
        <w:tc>
          <w:tcPr>
            <w:tcW w:w="220" w:type="dxa"/>
            <w:vAlign w:val="bottom"/>
            <w:tcBorders>
              <w:bottom w:val="single" w:sz="8" w:color="7F7F7F"/>
            </w:tcBorders>
          </w:tcPr>
          <w:p>
            <w:pPr>
              <w:spacing w:after="0"/>
              <w:rPr>
                <w:sz w:val="7"/>
                <w:szCs w:val="7"/>
                <w:color w:val="auto"/>
              </w:rPr>
            </w:pPr>
          </w:p>
        </w:tc>
        <w:tc>
          <w:tcPr>
            <w:tcW w:w="24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520" w:type="dxa"/>
            <w:vAlign w:val="bottom"/>
            <w:tcBorders>
              <w:bottom w:val="single" w:sz="8" w:color="7F7F7F"/>
            </w:tcBorders>
          </w:tcPr>
          <w:p>
            <w:pPr>
              <w:spacing w:after="0"/>
              <w:rPr>
                <w:sz w:val="7"/>
                <w:szCs w:val="7"/>
                <w:color w:val="auto"/>
              </w:rPr>
            </w:pPr>
          </w:p>
        </w:tc>
      </w:tr>
    </w:tbl>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components of our net periodic OPEB cost were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660" w:type="dxa"/>
            <w:vAlign w:val="bottom"/>
            <w:tcBorders>
              <w:top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980" w:type="dxa"/>
            <w:vAlign w:val="bottom"/>
            <w:tcBorders>
              <w:top w:val="single" w:sz="8" w:color="7F7F7F"/>
            </w:tcBorders>
            <w:gridSpan w:val="4"/>
          </w:tcPr>
          <w:p>
            <w:pPr>
              <w:jc w:val="right"/>
              <w:ind w:right="460"/>
              <w:spacing w:after="0"/>
              <w:rPr>
                <w:sz w:val="20"/>
                <w:szCs w:val="20"/>
                <w:color w:val="auto"/>
              </w:rPr>
            </w:pPr>
            <w:r>
              <w:rPr>
                <w:rFonts w:ascii="Arial" w:cs="Arial" w:eastAsia="Arial" w:hAnsi="Arial"/>
                <w:sz w:val="16"/>
                <w:szCs w:val="16"/>
                <w:i w:val="1"/>
                <w:iCs w:val="1"/>
                <w:color w:val="auto"/>
              </w:rPr>
              <w:t>Three Months Ended</w:t>
            </w:r>
          </w:p>
        </w:tc>
        <w:tc>
          <w:tcPr>
            <w:tcW w:w="240" w:type="dxa"/>
            <w:vAlign w:val="bottom"/>
            <w:tcBorders>
              <w:top w:val="single" w:sz="8" w:color="7F7F7F"/>
            </w:tcBorders>
          </w:tcPr>
          <w:p>
            <w:pPr>
              <w:spacing w:after="0"/>
              <w:rPr>
                <w:sz w:val="19"/>
                <w:szCs w:val="19"/>
                <w:color w:val="auto"/>
              </w:rPr>
            </w:pPr>
          </w:p>
        </w:tc>
        <w:tc>
          <w:tcPr>
            <w:tcW w:w="1680" w:type="dxa"/>
            <w:vAlign w:val="bottom"/>
            <w:tcBorders>
              <w:top w:val="single" w:sz="8" w:color="7F7F7F"/>
            </w:tcBorders>
            <w:gridSpan w:val="3"/>
          </w:tcPr>
          <w:p>
            <w:pPr>
              <w:jc w:val="right"/>
              <w:ind w:right="219"/>
              <w:spacing w:after="0"/>
              <w:rPr>
                <w:sz w:val="20"/>
                <w:szCs w:val="20"/>
                <w:color w:val="auto"/>
              </w:rPr>
            </w:pPr>
            <w:r>
              <w:rPr>
                <w:rFonts w:ascii="Arial" w:cs="Arial" w:eastAsia="Arial" w:hAnsi="Arial"/>
                <w:sz w:val="16"/>
                <w:szCs w:val="16"/>
                <w:i w:val="1"/>
                <w:iCs w:val="1"/>
                <w:color w:val="auto"/>
              </w:rPr>
              <w:t>Six Months Ended</w:t>
            </w:r>
          </w:p>
        </w:tc>
      </w:tr>
      <w:tr>
        <w:trPr>
          <w:trHeight w:val="224"/>
        </w:trPr>
        <w:tc>
          <w:tcPr>
            <w:tcW w:w="4660" w:type="dxa"/>
            <w:vAlign w:val="bottom"/>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1220" w:type="dxa"/>
            <w:vAlign w:val="bottom"/>
            <w:tcBorders>
              <w:bottom w:val="single" w:sz="8" w:color="7F7F7F"/>
            </w:tcBorders>
            <w:gridSpan w:val="2"/>
          </w:tcPr>
          <w:p>
            <w:pPr>
              <w:jc w:val="right"/>
              <w:ind w:right="79"/>
              <w:spacing w:after="0"/>
              <w:rPr>
                <w:sz w:val="20"/>
                <w:szCs w:val="20"/>
                <w:color w:val="auto"/>
              </w:rPr>
            </w:pPr>
            <w:r>
              <w:rPr>
                <w:rFonts w:ascii="Arial" w:cs="Arial" w:eastAsia="Arial" w:hAnsi="Arial"/>
                <w:sz w:val="16"/>
                <w:szCs w:val="16"/>
                <w:i w:val="1"/>
                <w:iCs w:val="1"/>
                <w:color w:val="auto"/>
              </w:rPr>
              <w:t>June 30,</w:t>
            </w:r>
          </w:p>
        </w:tc>
        <w:tc>
          <w:tcPr>
            <w:tcW w:w="540" w:type="dxa"/>
            <w:vAlign w:val="bottom"/>
            <w:tcBorders>
              <w:bottom w:val="single" w:sz="8" w:color="7F7F7F"/>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160" w:type="dxa"/>
            <w:vAlign w:val="bottom"/>
            <w:tcBorders>
              <w:bottom w:val="single" w:sz="8" w:color="7F7F7F"/>
            </w:tcBorders>
            <w:gridSpan w:val="2"/>
          </w:tcPr>
          <w:p>
            <w:pPr>
              <w:jc w:val="right"/>
              <w:ind w:right="59"/>
              <w:spacing w:after="0"/>
              <w:rPr>
                <w:sz w:val="20"/>
                <w:szCs w:val="20"/>
                <w:color w:val="auto"/>
              </w:rPr>
            </w:pPr>
            <w:r>
              <w:rPr>
                <w:rFonts w:ascii="Arial" w:cs="Arial" w:eastAsia="Arial" w:hAnsi="Arial"/>
                <w:sz w:val="16"/>
                <w:szCs w:val="16"/>
                <w:i w:val="1"/>
                <w:iCs w:val="1"/>
                <w:color w:val="auto"/>
              </w:rPr>
              <w:t>June 30,</w:t>
            </w:r>
          </w:p>
        </w:tc>
        <w:tc>
          <w:tcPr>
            <w:tcW w:w="520" w:type="dxa"/>
            <w:vAlign w:val="bottom"/>
            <w:tcBorders>
              <w:bottom w:val="single" w:sz="8" w:color="7F7F7F"/>
            </w:tcBorders>
          </w:tcPr>
          <w:p>
            <w:pPr>
              <w:spacing w:after="0"/>
              <w:rPr>
                <w:sz w:val="19"/>
                <w:szCs w:val="19"/>
                <w:color w:val="auto"/>
              </w:rPr>
            </w:pPr>
          </w:p>
        </w:tc>
      </w:tr>
      <w:tr>
        <w:trPr>
          <w:trHeight w:val="196"/>
        </w:trPr>
        <w:tc>
          <w:tcPr>
            <w:tcW w:w="46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60" w:type="dxa"/>
            <w:vAlign w:val="bottom"/>
            <w:tcBorders>
              <w:bottom w:val="single" w:sz="8" w:color="7F7F7F"/>
            </w:tcBorders>
          </w:tcPr>
          <w:p>
            <w:pPr>
              <w:spacing w:after="0"/>
              <w:rPr>
                <w:sz w:val="17"/>
                <w:szCs w:val="17"/>
                <w:color w:val="auto"/>
              </w:rPr>
            </w:pPr>
          </w:p>
        </w:tc>
        <w:tc>
          <w:tcPr>
            <w:tcW w:w="8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220" w:type="dxa"/>
            <w:vAlign w:val="bottom"/>
            <w:tcBorders>
              <w:bottom w:val="single" w:sz="8" w:color="7F7F7F"/>
            </w:tcBorders>
          </w:tcPr>
          <w:p>
            <w:pPr>
              <w:spacing w:after="0"/>
              <w:rPr>
                <w:sz w:val="17"/>
                <w:szCs w:val="17"/>
                <w:color w:val="auto"/>
              </w:rPr>
            </w:pPr>
          </w:p>
        </w:tc>
        <w:tc>
          <w:tcPr>
            <w:tcW w:w="240" w:type="dxa"/>
            <w:vAlign w:val="bottom"/>
            <w:tcBorders>
              <w:bottom w:val="single" w:sz="8" w:color="7F7F7F"/>
            </w:tcBorders>
          </w:tcPr>
          <w:p>
            <w:pPr>
              <w:spacing w:after="0"/>
              <w:rPr>
                <w:sz w:val="17"/>
                <w:szCs w:val="17"/>
                <w:color w:val="auto"/>
              </w:rPr>
            </w:pPr>
          </w:p>
        </w:tc>
        <w:tc>
          <w:tcPr>
            <w:tcW w:w="76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bottom w:val="single" w:sz="8" w:color="7F7F7F"/>
            </w:tcBorders>
          </w:tcPr>
          <w:p>
            <w:pPr>
              <w:spacing w:after="0"/>
              <w:rPr>
                <w:sz w:val="17"/>
                <w:szCs w:val="17"/>
                <w:color w:val="auto"/>
              </w:rPr>
            </w:pPr>
          </w:p>
        </w:tc>
        <w:tc>
          <w:tcPr>
            <w:tcW w:w="5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4660" w:type="dxa"/>
            <w:vAlign w:val="bottom"/>
          </w:tcPr>
          <w:p>
            <w:pPr>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4660" w:type="dxa"/>
            <w:vAlign w:val="bottom"/>
          </w:tcPr>
          <w:p>
            <w:pPr>
              <w:ind w:left="280"/>
              <w:spacing w:after="0"/>
              <w:rPr>
                <w:sz w:val="20"/>
                <w:szCs w:val="20"/>
                <w:color w:val="auto"/>
              </w:rPr>
            </w:pPr>
            <w:r>
              <w:rPr>
                <w:rFonts w:ascii="Arial" w:cs="Arial" w:eastAsia="Arial" w:hAnsi="Arial"/>
                <w:sz w:val="16"/>
                <w:szCs w:val="16"/>
                <w:color w:val="auto"/>
              </w:rPr>
              <w:t>Prior service credit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466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Actuarial loss</w:t>
            </w:r>
          </w:p>
        </w:tc>
        <w:tc>
          <w:tcPr>
            <w:tcW w:w="260" w:type="dxa"/>
            <w:vAlign w:val="bottom"/>
            <w:tcBorders>
              <w:bottom w:val="single" w:sz="8" w:color="7F7F7F"/>
            </w:tcBorders>
            <w:shd w:val="clear" w:color="auto" w:fill="CCEEFF"/>
          </w:tcPr>
          <w:p>
            <w:pPr>
              <w:spacing w:after="0"/>
              <w:rPr>
                <w:sz w:val="18"/>
                <w:szCs w:val="18"/>
                <w:color w:val="auto"/>
              </w:rPr>
            </w:pPr>
          </w:p>
        </w:tc>
        <w:tc>
          <w:tcPr>
            <w:tcW w:w="8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380" w:type="dxa"/>
            <w:vAlign w:val="bottom"/>
            <w:tcBorders>
              <w:bottom w:val="single" w:sz="8" w:color="7F7F7F"/>
            </w:tcBorders>
            <w:shd w:val="clear" w:color="auto" w:fill="CCEEFF"/>
          </w:tcPr>
          <w:p>
            <w:pPr>
              <w:spacing w:after="0"/>
              <w:rPr>
                <w:sz w:val="18"/>
                <w:szCs w:val="18"/>
                <w:color w:val="auto"/>
              </w:rPr>
            </w:pPr>
          </w:p>
        </w:tc>
        <w:tc>
          <w:tcPr>
            <w:tcW w:w="5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7F7F7F"/>
            </w:tcBorders>
            <w:shd w:val="clear" w:color="auto" w:fill="CCEEFF"/>
          </w:tcPr>
          <w:p>
            <w:pPr>
              <w:spacing w:after="0"/>
              <w:rPr>
                <w:sz w:val="18"/>
                <w:szCs w:val="18"/>
                <w:color w:val="auto"/>
              </w:rPr>
            </w:pPr>
          </w:p>
        </w:tc>
        <w:tc>
          <w:tcPr>
            <w:tcW w:w="240" w:type="dxa"/>
            <w:vAlign w:val="bottom"/>
            <w:tcBorders>
              <w:bottom w:val="single" w:sz="8" w:color="7F7F7F"/>
            </w:tcBorders>
            <w:shd w:val="clear" w:color="auto" w:fill="CCEEFF"/>
          </w:tcPr>
          <w:p>
            <w:pPr>
              <w:spacing w:after="0"/>
              <w:rPr>
                <w:sz w:val="18"/>
                <w:szCs w:val="18"/>
                <w:color w:val="auto"/>
              </w:rPr>
            </w:pPr>
          </w:p>
        </w:tc>
        <w:tc>
          <w:tcPr>
            <w:tcW w:w="76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w:t>
            </w:r>
          </w:p>
        </w:tc>
        <w:tc>
          <w:tcPr>
            <w:tcW w:w="400" w:type="dxa"/>
            <w:vAlign w:val="bottom"/>
            <w:tcBorders>
              <w:bottom w:val="single" w:sz="8" w:color="7F7F7F"/>
            </w:tcBorders>
            <w:shd w:val="clear" w:color="auto" w:fill="CCEEFF"/>
          </w:tcPr>
          <w:p>
            <w:pPr>
              <w:spacing w:after="0"/>
              <w:rPr>
                <w:sz w:val="18"/>
                <w:szCs w:val="18"/>
                <w:color w:val="auto"/>
              </w:rPr>
            </w:pPr>
          </w:p>
        </w:tc>
        <w:tc>
          <w:tcPr>
            <w:tcW w:w="5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660" w:type="dxa"/>
            <w:vAlign w:val="bottom"/>
          </w:tcPr>
          <w:p>
            <w:pPr>
              <w:spacing w:after="0"/>
              <w:rPr>
                <w:sz w:val="20"/>
                <w:szCs w:val="20"/>
                <w:color w:val="auto"/>
              </w:rPr>
            </w:pPr>
            <w:r>
              <w:rPr>
                <w:rFonts w:ascii="Arial" w:cs="Arial" w:eastAsia="Arial" w:hAnsi="Arial"/>
                <w:sz w:val="16"/>
                <w:szCs w:val="16"/>
                <w:color w:val="auto"/>
              </w:rPr>
              <w:t>Net periodic OPEB cost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1"/>
        </w:trPr>
        <w:tc>
          <w:tcPr>
            <w:tcW w:w="466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tcPr>
          <w:p>
            <w:pPr>
              <w:spacing w:after="0"/>
              <w:rPr>
                <w:sz w:val="7"/>
                <w:szCs w:val="7"/>
                <w:color w:val="auto"/>
              </w:rPr>
            </w:pPr>
          </w:p>
        </w:tc>
        <w:tc>
          <w:tcPr>
            <w:tcW w:w="840" w:type="dxa"/>
            <w:vAlign w:val="bottom"/>
            <w:tcBorders>
              <w:bottom w:val="single" w:sz="8" w:color="7F7F7F"/>
            </w:tcBorders>
          </w:tcPr>
          <w:p>
            <w:pPr>
              <w:spacing w:after="0"/>
              <w:rPr>
                <w:sz w:val="7"/>
                <w:szCs w:val="7"/>
                <w:color w:val="auto"/>
              </w:rPr>
            </w:pPr>
          </w:p>
        </w:tc>
        <w:tc>
          <w:tcPr>
            <w:tcW w:w="380" w:type="dxa"/>
            <w:vAlign w:val="bottom"/>
            <w:tcBorders>
              <w:bottom w:val="single" w:sz="8" w:color="7F7F7F"/>
            </w:tcBorders>
          </w:tcPr>
          <w:p>
            <w:pPr>
              <w:spacing w:after="0"/>
              <w:rPr>
                <w:sz w:val="7"/>
                <w:szCs w:val="7"/>
                <w:color w:val="auto"/>
              </w:rPr>
            </w:pPr>
          </w:p>
        </w:tc>
        <w:tc>
          <w:tcPr>
            <w:tcW w:w="540" w:type="dxa"/>
            <w:vAlign w:val="bottom"/>
            <w:tcBorders>
              <w:bottom w:val="single" w:sz="8" w:color="7F7F7F"/>
            </w:tcBorders>
          </w:tcPr>
          <w:p>
            <w:pPr>
              <w:spacing w:after="0"/>
              <w:rPr>
                <w:sz w:val="7"/>
                <w:szCs w:val="7"/>
                <w:color w:val="auto"/>
              </w:rPr>
            </w:pPr>
          </w:p>
        </w:tc>
        <w:tc>
          <w:tcPr>
            <w:tcW w:w="220" w:type="dxa"/>
            <w:vAlign w:val="bottom"/>
            <w:tcBorders>
              <w:bottom w:val="single" w:sz="8" w:color="7F7F7F"/>
            </w:tcBorders>
          </w:tcPr>
          <w:p>
            <w:pPr>
              <w:spacing w:after="0"/>
              <w:rPr>
                <w:sz w:val="7"/>
                <w:szCs w:val="7"/>
                <w:color w:val="auto"/>
              </w:rPr>
            </w:pPr>
          </w:p>
        </w:tc>
        <w:tc>
          <w:tcPr>
            <w:tcW w:w="24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520" w:type="dxa"/>
            <w:vAlign w:val="bottom"/>
            <w:tcBorders>
              <w:bottom w:val="single" w:sz="8" w:color="7F7F7F"/>
            </w:tcBorders>
          </w:tcPr>
          <w:p>
            <w:pPr>
              <w:spacing w:after="0"/>
              <w:rPr>
                <w:sz w:val="7"/>
                <w:szCs w:val="7"/>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Cash Contributions</w:t>
      </w:r>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For the six months ended June 30, 2017, we did not make any cash contributions to the qualified pension plan. Any contributions made during 2017 will be based on cash generated from operations and financial market considerations. Our policy with respect to funding the qualified plans is to fund at least the minimum required by law and not more than the maximum amount deductible for tax purposes. At June 30, 2017, we do not have minimum cash funding requirements for 2017.</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Other Income</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income included the following:</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5000" w:type="dxa"/>
            <w:vAlign w:val="bottom"/>
            <w:tcBorders>
              <w:top w:val="single" w:sz="8" w:color="808080"/>
            </w:tcBorders>
          </w:tcPr>
          <w:p>
            <w:pPr>
              <w:spacing w:after="0"/>
              <w:rPr>
                <w:sz w:val="19"/>
                <w:szCs w:val="19"/>
                <w:color w:val="auto"/>
              </w:rPr>
            </w:pPr>
          </w:p>
        </w:tc>
        <w:tc>
          <w:tcPr>
            <w:tcW w:w="2020" w:type="dxa"/>
            <w:vAlign w:val="bottom"/>
            <w:tcBorders>
              <w:top w:val="single" w:sz="8" w:color="808080"/>
            </w:tcBorders>
            <w:gridSpan w:val="5"/>
          </w:tcPr>
          <w:p>
            <w:pPr>
              <w:ind w:left="140"/>
              <w:spacing w:after="0"/>
              <w:rPr>
                <w:sz w:val="20"/>
                <w:szCs w:val="20"/>
                <w:color w:val="auto"/>
              </w:rPr>
            </w:pPr>
            <w:r>
              <w:rPr>
                <w:rFonts w:ascii="Arial" w:cs="Arial" w:eastAsia="Arial" w:hAnsi="Arial"/>
                <w:sz w:val="16"/>
                <w:szCs w:val="16"/>
                <w:i w:val="1"/>
                <w:iCs w:val="1"/>
                <w:color w:val="auto"/>
              </w:rPr>
              <w:t>Three Months Ended</w:t>
            </w:r>
          </w:p>
        </w:tc>
        <w:tc>
          <w:tcPr>
            <w:tcW w:w="220" w:type="dxa"/>
            <w:vAlign w:val="bottom"/>
            <w:tcBorders>
              <w:top w:val="single" w:sz="8" w:color="808080"/>
            </w:tcBorders>
          </w:tcPr>
          <w:p>
            <w:pPr>
              <w:spacing w:after="0"/>
              <w:rPr>
                <w:sz w:val="19"/>
                <w:szCs w:val="19"/>
                <w:color w:val="auto"/>
              </w:rPr>
            </w:pPr>
          </w:p>
        </w:tc>
        <w:tc>
          <w:tcPr>
            <w:tcW w:w="1580" w:type="dxa"/>
            <w:vAlign w:val="bottom"/>
            <w:tcBorders>
              <w:top w:val="single" w:sz="8" w:color="808080"/>
            </w:tcBorders>
            <w:gridSpan w:val="3"/>
          </w:tcPr>
          <w:p>
            <w:pPr>
              <w:jc w:val="right"/>
              <w:ind w:right="159"/>
              <w:spacing w:after="0"/>
              <w:rPr>
                <w:sz w:val="20"/>
                <w:szCs w:val="20"/>
                <w:color w:val="auto"/>
              </w:rPr>
            </w:pPr>
            <w:r>
              <w:rPr>
                <w:rFonts w:ascii="Arial" w:cs="Arial" w:eastAsia="Arial" w:hAnsi="Arial"/>
                <w:sz w:val="16"/>
                <w:szCs w:val="16"/>
                <w:i w:val="1"/>
                <w:iCs w:val="1"/>
                <w:color w:val="auto"/>
              </w:rPr>
              <w:t>Six Months Ended</w:t>
            </w:r>
          </w:p>
        </w:tc>
      </w:tr>
      <w:tr>
        <w:trPr>
          <w:trHeight w:val="224"/>
        </w:trPr>
        <w:tc>
          <w:tcPr>
            <w:tcW w:w="500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gridSpan w:val="2"/>
          </w:tcPr>
          <w:p>
            <w:pPr>
              <w:jc w:val="right"/>
              <w:ind w:right="19"/>
              <w:spacing w:after="0"/>
              <w:rPr>
                <w:sz w:val="20"/>
                <w:szCs w:val="20"/>
                <w:color w:val="auto"/>
              </w:rPr>
            </w:pPr>
            <w:r>
              <w:rPr>
                <w:rFonts w:ascii="Arial" w:cs="Arial" w:eastAsia="Arial" w:hAnsi="Arial"/>
                <w:sz w:val="16"/>
                <w:szCs w:val="16"/>
                <w:i w:val="1"/>
                <w:iCs w:val="1"/>
                <w:color w:val="auto"/>
              </w:rPr>
              <w:t>June 30,</w:t>
            </w:r>
          </w:p>
        </w:tc>
        <w:tc>
          <w:tcPr>
            <w:tcW w:w="500" w:type="dxa"/>
            <w:vAlign w:val="bottom"/>
            <w:tcBorders>
              <w:bottom w:val="single" w:sz="8" w:color="808080"/>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500" w:type="dxa"/>
            <w:vAlign w:val="bottom"/>
            <w:tcBorders>
              <w:bottom w:val="single" w:sz="8" w:color="808080"/>
            </w:tcBorders>
          </w:tcPr>
          <w:p>
            <w:pPr>
              <w:spacing w:after="0"/>
              <w:rPr>
                <w:sz w:val="19"/>
                <w:szCs w:val="19"/>
                <w:color w:val="auto"/>
              </w:rPr>
            </w:pPr>
          </w:p>
        </w:tc>
      </w:tr>
      <w:tr>
        <w:trPr>
          <w:trHeight w:val="196"/>
        </w:trPr>
        <w:tc>
          <w:tcPr>
            <w:tcW w:w="500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3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2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6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Rental income</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5000" w:type="dxa"/>
            <w:vAlign w:val="bottom"/>
          </w:tcPr>
          <w:p>
            <w:pPr>
              <w:spacing w:after="0"/>
              <w:rPr>
                <w:sz w:val="20"/>
                <w:szCs w:val="20"/>
                <w:color w:val="auto"/>
              </w:rPr>
            </w:pPr>
            <w:r>
              <w:rPr>
                <w:rFonts w:ascii="Arial" w:cs="Arial" w:eastAsia="Arial" w:hAnsi="Arial"/>
                <w:sz w:val="16"/>
                <w:szCs w:val="16"/>
                <w:color w:val="auto"/>
              </w:rPr>
              <w:t>Net gain on non-operating asset dispositions [a] [b]</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45</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7"/>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5000" w:type="dxa"/>
            <w:vAlign w:val="bottom"/>
          </w:tcPr>
          <w:p>
            <w:pPr>
              <w:spacing w:after="0"/>
              <w:rPr>
                <w:sz w:val="20"/>
                <w:szCs w:val="20"/>
                <w:color w:val="auto"/>
              </w:rPr>
            </w:pPr>
            <w:r>
              <w:rPr>
                <w:rFonts w:ascii="Arial" w:cs="Arial" w:eastAsia="Arial" w:hAnsi="Arial"/>
                <w:sz w:val="16"/>
                <w:szCs w:val="16"/>
                <w:color w:val="auto"/>
              </w:rPr>
              <w:t>Non-operating environmental costs and other</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500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7F7F7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380" w:type="dxa"/>
            <w:vAlign w:val="bottom"/>
            <w:tcBorders>
              <w:top w:val="single" w:sz="8" w:color="7F7F7F"/>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tcBorders>
              <w:top w:val="single" w:sz="8" w:color="808080"/>
              <w:bottom w:val="single" w:sz="8" w:color="CCEEFF"/>
            </w:tcBorders>
            <w:shd w:val="clear" w:color="auto" w:fill="CCEEFF"/>
          </w:tcPr>
          <w:p>
            <w:pPr>
              <w:spacing w:after="0"/>
              <w:rPr>
                <w:sz w:val="22"/>
                <w:szCs w:val="22"/>
                <w:color w:val="auto"/>
              </w:rPr>
            </w:pPr>
          </w:p>
        </w:tc>
        <w:tc>
          <w:tcPr>
            <w:tcW w:w="22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808080"/>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w:t>
            </w:r>
          </w:p>
        </w:tc>
        <w:tc>
          <w:tcPr>
            <w:tcW w:w="360" w:type="dxa"/>
            <w:vAlign w:val="bottom"/>
            <w:tcBorders>
              <w:top w:val="single" w:sz="8" w:color="808080"/>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54"/>
        </w:trPr>
        <w:tc>
          <w:tcPr>
            <w:tcW w:w="5000" w:type="dxa"/>
            <w:vAlign w:val="bottom"/>
            <w:shd w:val="clear" w:color="auto" w:fill="7F7F7F"/>
          </w:tcPr>
          <w:p>
            <w:pPr>
              <w:spacing w:after="0"/>
              <w:rPr>
                <w:sz w:val="4"/>
                <w:szCs w:val="4"/>
                <w:color w:val="auto"/>
              </w:rPr>
            </w:pPr>
          </w:p>
        </w:tc>
        <w:tc>
          <w:tcPr>
            <w:tcW w:w="36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500" w:type="dxa"/>
            <w:vAlign w:val="bottom"/>
            <w:shd w:val="clear" w:color="auto" w:fill="7F7F7F"/>
          </w:tcPr>
          <w:p>
            <w:pPr>
              <w:spacing w:after="0"/>
              <w:rPr>
                <w:sz w:val="4"/>
                <w:szCs w:val="4"/>
                <w:color w:val="auto"/>
              </w:rPr>
            </w:pPr>
          </w:p>
        </w:tc>
        <w:tc>
          <w:tcPr>
            <w:tcW w:w="200" w:type="dxa"/>
            <w:vAlign w:val="bottom"/>
            <w:shd w:val="clear" w:color="auto" w:fill="808080"/>
          </w:tcPr>
          <w:p>
            <w:pPr>
              <w:spacing w:after="0"/>
              <w:rPr>
                <w:sz w:val="4"/>
                <w:szCs w:val="4"/>
                <w:color w:val="auto"/>
              </w:rPr>
            </w:pPr>
          </w:p>
        </w:tc>
        <w:tc>
          <w:tcPr>
            <w:tcW w:w="220" w:type="dxa"/>
            <w:vAlign w:val="bottom"/>
            <w:shd w:val="clear" w:color="auto" w:fill="808080"/>
          </w:tcPr>
          <w:p>
            <w:pPr>
              <w:spacing w:after="0"/>
              <w:rPr>
                <w:sz w:val="4"/>
                <w:szCs w:val="4"/>
                <w:color w:val="auto"/>
              </w:rPr>
            </w:pPr>
          </w:p>
        </w:tc>
        <w:tc>
          <w:tcPr>
            <w:tcW w:w="720" w:type="dxa"/>
            <w:vAlign w:val="bottom"/>
            <w:shd w:val="clear" w:color="auto" w:fill="808080"/>
          </w:tcPr>
          <w:p>
            <w:pPr>
              <w:spacing w:after="0"/>
              <w:rPr>
                <w:sz w:val="4"/>
                <w:szCs w:val="4"/>
                <w:color w:val="auto"/>
              </w:rPr>
            </w:pPr>
          </w:p>
        </w:tc>
        <w:tc>
          <w:tcPr>
            <w:tcW w:w="360" w:type="dxa"/>
            <w:vAlign w:val="bottom"/>
            <w:shd w:val="clear" w:color="auto" w:fill="808080"/>
          </w:tcPr>
          <w:p>
            <w:pPr>
              <w:spacing w:after="0"/>
              <w:rPr>
                <w:sz w:val="4"/>
                <w:szCs w:val="4"/>
                <w:color w:val="auto"/>
              </w:rPr>
            </w:pPr>
          </w:p>
        </w:tc>
        <w:tc>
          <w:tcPr>
            <w:tcW w:w="500" w:type="dxa"/>
            <w:vAlign w:val="bottom"/>
            <w:shd w:val="clear" w:color="auto" w:fill="808080"/>
          </w:tcPr>
          <w:p>
            <w:pPr>
              <w:spacing w:after="0"/>
              <w:rPr>
                <w:sz w:val="4"/>
                <w:szCs w:val="4"/>
                <w:color w:val="auto"/>
              </w:rPr>
            </w:pPr>
          </w:p>
        </w:tc>
      </w:tr>
    </w:tbl>
    <w:p>
      <w:pPr>
        <w:spacing w:after="0" w:line="112" w:lineRule="exact"/>
        <w:rPr>
          <w:sz w:val="20"/>
          <w:szCs w:val="20"/>
          <w:color w:val="auto"/>
        </w:rPr>
      </w:pPr>
    </w:p>
    <w:p>
      <w:pPr>
        <w:ind w:left="460" w:hanging="355"/>
        <w:spacing w:after="0"/>
        <w:tabs>
          <w:tab w:leader="none" w:pos="4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2017 includes $26 million related to a real estate sale in the first quarter.</w:t>
      </w:r>
    </w:p>
    <w:p>
      <w:pPr>
        <w:spacing w:after="0" w:line="28" w:lineRule="exact"/>
        <w:rPr>
          <w:rFonts w:ascii="Arial" w:cs="Arial" w:eastAsia="Arial" w:hAnsi="Arial"/>
          <w:sz w:val="14"/>
          <w:szCs w:val="14"/>
          <w:i w:val="1"/>
          <w:iCs w:val="1"/>
          <w:color w:val="auto"/>
        </w:rPr>
      </w:pPr>
    </w:p>
    <w:p>
      <w:pPr>
        <w:ind w:left="420" w:right="99" w:hanging="315"/>
        <w:spacing w:after="0" w:line="239" w:lineRule="auto"/>
        <w:tabs>
          <w:tab w:leader="none" w:pos="445"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2016 includes $17 million related to a real estate sale in the first quarter and $50 million related to a real estate sale in the second quarter.</w:t>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7. Income Taxes</w:t>
      </w:r>
    </w:p>
    <w:p>
      <w:pPr>
        <w:spacing w:after="0" w:line="153"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Internal Revenue Service (IRS) examinations have been completed and settled for all years prior to 2011, and UPC is not currently under examination by the IRS. In 2016, UPC amended its 2011 and 2012 income tax returns to claim deductions resulting from the resolution of IRS examinations for years prior to 2011. The IRS has completed its review of these amended returns, and because the returns request refunds, they are currently being reviewed by the Joint Committee on Taxation.</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Several state tax authorities are examining our state tax returns for years 2006 through 2014.</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 June 30, 2017, we had a net liability for unrecognized tax benefits of $122 million.</w:t>
      </w:r>
    </w:p>
    <w:p>
      <w:pPr>
        <w:spacing w:after="0" w:line="144"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On July 6, 2017, the State of Illinois increased its corporate income tax rate effective July 1, 2017. In the third quarter of 2017, we will increase our deferred tax expense by approximately $33 million to reflect the increased tax rate.</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Earnings Per Share</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5040" w:type="dxa"/>
            <w:vAlign w:val="bottom"/>
            <w:tcBorders>
              <w:top w:val="single" w:sz="8" w:color="7F7F7F"/>
            </w:tcBorders>
          </w:tcPr>
          <w:p>
            <w:pPr>
              <w:spacing w:after="0"/>
              <w:rPr>
                <w:sz w:val="19"/>
                <w:szCs w:val="19"/>
                <w:color w:val="auto"/>
              </w:rPr>
            </w:pPr>
          </w:p>
        </w:tc>
        <w:tc>
          <w:tcPr>
            <w:tcW w:w="1860" w:type="dxa"/>
            <w:vAlign w:val="bottom"/>
            <w:tcBorders>
              <w:top w:val="single" w:sz="8" w:color="7F7F7F"/>
            </w:tcBorders>
            <w:gridSpan w:val="4"/>
          </w:tcPr>
          <w:p>
            <w:pPr>
              <w:jc w:val="right"/>
              <w:ind w:right="79"/>
              <w:spacing w:after="0"/>
              <w:rPr>
                <w:sz w:val="20"/>
                <w:szCs w:val="20"/>
                <w:color w:val="auto"/>
              </w:rPr>
            </w:pPr>
            <w:r>
              <w:rPr>
                <w:rFonts w:ascii="Arial" w:cs="Arial" w:eastAsia="Arial" w:hAnsi="Arial"/>
                <w:sz w:val="16"/>
                <w:szCs w:val="16"/>
                <w:i w:val="1"/>
                <w:iCs w:val="1"/>
                <w:color w:val="auto"/>
              </w:rPr>
              <w:t>Three Months Ended</w:t>
            </w:r>
          </w:p>
        </w:tc>
        <w:tc>
          <w:tcPr>
            <w:tcW w:w="180" w:type="dxa"/>
            <w:vAlign w:val="bottom"/>
            <w:tcBorders>
              <w:top w:val="single" w:sz="8" w:color="808080"/>
            </w:tcBorders>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1540" w:type="dxa"/>
            <w:vAlign w:val="bottom"/>
            <w:tcBorders>
              <w:top w:val="single" w:sz="8" w:color="808080"/>
            </w:tcBorders>
            <w:gridSpan w:val="3"/>
          </w:tcPr>
          <w:p>
            <w:pPr>
              <w:jc w:val="right"/>
              <w:ind w:right="119"/>
              <w:spacing w:after="0"/>
              <w:rPr>
                <w:sz w:val="20"/>
                <w:szCs w:val="20"/>
                <w:color w:val="auto"/>
              </w:rPr>
            </w:pPr>
            <w:r>
              <w:rPr>
                <w:rFonts w:ascii="Arial" w:cs="Arial" w:eastAsia="Arial" w:hAnsi="Arial"/>
                <w:sz w:val="16"/>
                <w:szCs w:val="16"/>
                <w:i w:val="1"/>
                <w:iCs w:val="1"/>
                <w:color w:val="auto"/>
              </w:rPr>
              <w:t>Six Months Ended</w:t>
            </w:r>
          </w:p>
        </w:tc>
      </w:tr>
      <w:tr>
        <w:trPr>
          <w:trHeight w:val="224"/>
        </w:trPr>
        <w:tc>
          <w:tcPr>
            <w:tcW w:w="504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54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500" w:type="dxa"/>
            <w:vAlign w:val="bottom"/>
            <w:tcBorders>
              <w:bottom w:val="single" w:sz="8" w:color="808080"/>
            </w:tcBorders>
          </w:tcPr>
          <w:p>
            <w:pPr>
              <w:spacing w:after="0"/>
              <w:rPr>
                <w:sz w:val="19"/>
                <w:szCs w:val="19"/>
                <w:color w:val="auto"/>
              </w:rPr>
            </w:pPr>
          </w:p>
        </w:tc>
      </w:tr>
      <w:tr>
        <w:trPr>
          <w:trHeight w:val="196"/>
        </w:trPr>
        <w:tc>
          <w:tcPr>
            <w:tcW w:w="504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 Except Per Share Amounts</w:t>
            </w:r>
          </w:p>
        </w:tc>
        <w:tc>
          <w:tcPr>
            <w:tcW w:w="36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4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1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6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309"/>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2,240</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w:t>
            </w:r>
          </w:p>
        </w:tc>
      </w:tr>
      <w:tr>
        <w:trPr>
          <w:trHeight w:val="200"/>
        </w:trPr>
        <w:tc>
          <w:tcPr>
            <w:tcW w:w="504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Weighted-average number of shares outstanding:</w:t>
            </w:r>
          </w:p>
        </w:tc>
        <w:tc>
          <w:tcPr>
            <w:tcW w:w="360" w:type="dxa"/>
            <w:vAlign w:val="bottom"/>
            <w:tcBorders>
              <w:top w:val="single" w:sz="8" w:color="7F7F7F"/>
            </w:tcBorders>
          </w:tcPr>
          <w:p>
            <w:pPr>
              <w:spacing w:after="0"/>
              <w:rPr>
                <w:sz w:val="17"/>
                <w:szCs w:val="17"/>
                <w:color w:val="auto"/>
              </w:rPr>
            </w:pPr>
          </w:p>
        </w:tc>
        <w:tc>
          <w:tcPr>
            <w:tcW w:w="62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540" w:type="dxa"/>
            <w:vAlign w:val="bottom"/>
            <w:tcBorders>
              <w:top w:val="single" w:sz="8" w:color="7F7F7F"/>
            </w:tcBorders>
          </w:tcPr>
          <w:p>
            <w:pPr>
              <w:spacing w:after="0"/>
              <w:rPr>
                <w:sz w:val="17"/>
                <w:szCs w:val="17"/>
                <w:color w:val="auto"/>
              </w:rPr>
            </w:pPr>
          </w:p>
        </w:tc>
        <w:tc>
          <w:tcPr>
            <w:tcW w:w="180" w:type="dxa"/>
            <w:vAlign w:val="bottom"/>
            <w:tcBorders>
              <w:top w:val="single" w:sz="8" w:color="808080"/>
            </w:tcBorders>
          </w:tcPr>
          <w:p>
            <w:pPr>
              <w:spacing w:after="0"/>
              <w:rPr>
                <w:sz w:val="17"/>
                <w:szCs w:val="17"/>
                <w:color w:val="auto"/>
              </w:rPr>
            </w:pPr>
          </w:p>
        </w:tc>
        <w:tc>
          <w:tcPr>
            <w:tcW w:w="200" w:type="dxa"/>
            <w:vAlign w:val="bottom"/>
            <w:tcBorders>
              <w:top w:val="single" w:sz="8" w:color="808080"/>
            </w:tcBorders>
          </w:tcPr>
          <w:p>
            <w:pPr>
              <w:spacing w:after="0"/>
              <w:rPr>
                <w:sz w:val="17"/>
                <w:szCs w:val="17"/>
                <w:color w:val="auto"/>
              </w:rPr>
            </w:pPr>
          </w:p>
        </w:tc>
        <w:tc>
          <w:tcPr>
            <w:tcW w:w="680" w:type="dxa"/>
            <w:vAlign w:val="bottom"/>
            <w:tcBorders>
              <w:top w:val="single" w:sz="8" w:color="808080"/>
            </w:tcBorders>
          </w:tcPr>
          <w:p>
            <w:pPr>
              <w:spacing w:after="0"/>
              <w:rPr>
                <w:sz w:val="17"/>
                <w:szCs w:val="17"/>
                <w:color w:val="auto"/>
              </w:rPr>
            </w:pPr>
          </w:p>
        </w:tc>
        <w:tc>
          <w:tcPr>
            <w:tcW w:w="360" w:type="dxa"/>
            <w:vAlign w:val="bottom"/>
            <w:tcBorders>
              <w:top w:val="single" w:sz="8" w:color="808080"/>
            </w:tcBorders>
          </w:tcPr>
          <w:p>
            <w:pPr>
              <w:spacing w:after="0"/>
              <w:rPr>
                <w:sz w:val="17"/>
                <w:szCs w:val="17"/>
                <w:color w:val="auto"/>
              </w:rPr>
            </w:pPr>
          </w:p>
        </w:tc>
        <w:tc>
          <w:tcPr>
            <w:tcW w:w="500" w:type="dxa"/>
            <w:vAlign w:val="bottom"/>
            <w:tcBorders>
              <w:top w:val="single" w:sz="8" w:color="808080"/>
            </w:tcBorders>
          </w:tcPr>
          <w:p>
            <w:pPr>
              <w:spacing w:after="0"/>
              <w:rPr>
                <w:sz w:val="17"/>
                <w:szCs w:val="17"/>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804.1</w:t>
            </w: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807.8</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840.7</w:t>
            </w:r>
          </w:p>
        </w:tc>
      </w:tr>
      <w:tr>
        <w:trPr>
          <w:trHeight w:val="215"/>
        </w:trPr>
        <w:tc>
          <w:tcPr>
            <w:tcW w:w="5040" w:type="dxa"/>
            <w:vAlign w:val="bottom"/>
          </w:tcPr>
          <w:p>
            <w:pPr>
              <w:ind w:left="180"/>
              <w:spacing w:after="0"/>
              <w:rPr>
                <w:sz w:val="20"/>
                <w:szCs w:val="20"/>
                <w:color w:val="auto"/>
              </w:rPr>
            </w:pPr>
            <w:r>
              <w:rPr>
                <w:rFonts w:ascii="Arial" w:cs="Arial" w:eastAsia="Arial" w:hAnsi="Arial"/>
                <w:sz w:val="16"/>
                <w:szCs w:val="16"/>
                <w:color w:val="auto"/>
              </w:rPr>
              <w:t>Dilutive effect of stock options</w:t>
            </w:r>
          </w:p>
        </w:tc>
        <w:tc>
          <w:tcPr>
            <w:tcW w:w="3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1.8</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504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Dilutive effect of retention shares and units</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c>
          <w:tcPr>
            <w:tcW w:w="340" w:type="dxa"/>
            <w:vAlign w:val="bottom"/>
            <w:tcBorders>
              <w:bottom w:val="single" w:sz="8" w:color="7F7F7F"/>
            </w:tcBorders>
            <w:shd w:val="clear" w:color="auto" w:fill="CCEEFF"/>
          </w:tcPr>
          <w:p>
            <w:pPr>
              <w:spacing w:after="0"/>
              <w:rPr>
                <w:sz w:val="18"/>
                <w:szCs w:val="18"/>
                <w:color w:val="auto"/>
              </w:rPr>
            </w:pPr>
          </w:p>
        </w:tc>
        <w:tc>
          <w:tcPr>
            <w:tcW w:w="5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808080"/>
            </w:tcBorders>
            <w:shd w:val="clear" w:color="auto" w:fill="CCEEFF"/>
          </w:tcPr>
          <w:p>
            <w:pPr>
              <w:spacing w:after="0"/>
              <w:rPr>
                <w:sz w:val="18"/>
                <w:szCs w:val="18"/>
                <w:color w:val="auto"/>
              </w:rPr>
            </w:pPr>
          </w:p>
        </w:tc>
        <w:tc>
          <w:tcPr>
            <w:tcW w:w="200" w:type="dxa"/>
            <w:vAlign w:val="bottom"/>
            <w:tcBorders>
              <w:bottom w:val="single" w:sz="8" w:color="808080"/>
            </w:tcBorders>
            <w:shd w:val="clear" w:color="auto" w:fill="CCEEFF"/>
          </w:tcPr>
          <w:p>
            <w:pPr>
              <w:spacing w:after="0"/>
              <w:rPr>
                <w:sz w:val="18"/>
                <w:szCs w:val="18"/>
                <w:color w:val="auto"/>
              </w:rPr>
            </w:pPr>
          </w:p>
        </w:tc>
        <w:tc>
          <w:tcPr>
            <w:tcW w:w="6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360" w:type="dxa"/>
            <w:vAlign w:val="bottom"/>
            <w:tcBorders>
              <w:bottom w:val="single" w:sz="8" w:color="808080"/>
            </w:tcBorders>
            <w:shd w:val="clear" w:color="auto" w:fill="CCEEFF"/>
          </w:tcPr>
          <w:p>
            <w:pPr>
              <w:spacing w:after="0"/>
              <w:rPr>
                <w:sz w:val="18"/>
                <w:szCs w:val="18"/>
                <w:color w:val="auto"/>
              </w:rPr>
            </w:pPr>
          </w:p>
        </w:tc>
        <w:tc>
          <w:tcPr>
            <w:tcW w:w="5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5040" w:type="dxa"/>
            <w:vAlign w:val="bottom"/>
          </w:tcPr>
          <w:p>
            <w:pPr>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807.2</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840.1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811.0</w:t>
            </w:r>
          </w:p>
        </w:tc>
        <w:tc>
          <w:tcPr>
            <w:tcW w:w="3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843.4</w:t>
            </w:r>
          </w:p>
        </w:tc>
      </w:tr>
      <w:tr>
        <w:trPr>
          <w:trHeight w:val="54"/>
        </w:trPr>
        <w:tc>
          <w:tcPr>
            <w:tcW w:w="504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r>
      <w:tr>
        <w:trPr>
          <w:trHeight w:val="20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3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24"/>
        </w:trPr>
        <w:tc>
          <w:tcPr>
            <w:tcW w:w="5040" w:type="dxa"/>
            <w:vAlign w:val="bottom"/>
            <w:tcBorders>
              <w:bottom w:val="single" w:sz="8" w:color="808080"/>
            </w:tcBorders>
            <w:shd w:val="clear" w:color="auto" w:fill="CCEEFF"/>
          </w:tcPr>
          <w:p>
            <w:pPr>
              <w:spacing w:after="0"/>
              <w:rPr>
                <w:sz w:val="20"/>
                <w:szCs w:val="20"/>
                <w:color w:val="auto"/>
              </w:rPr>
            </w:pPr>
            <w:r>
              <w:rPr>
                <w:rFonts w:ascii="Arial" w:cs="Arial" w:eastAsia="Arial" w:hAnsi="Arial"/>
                <w:sz w:val="16"/>
                <w:szCs w:val="16"/>
                <w:color w:val="auto"/>
              </w:rPr>
              <w:t>Stock options excluded as their inclusion would be anti-dilutive</w:t>
            </w:r>
          </w:p>
        </w:tc>
        <w:tc>
          <w:tcPr>
            <w:tcW w:w="360" w:type="dxa"/>
            <w:vAlign w:val="bottom"/>
            <w:tcBorders>
              <w:bottom w:val="single" w:sz="8" w:color="808080"/>
            </w:tcBorders>
            <w:shd w:val="clear" w:color="auto" w:fill="CCEEFF"/>
          </w:tcPr>
          <w:p>
            <w:pPr>
              <w:spacing w:after="0"/>
              <w:rPr>
                <w:sz w:val="19"/>
                <w:szCs w:val="19"/>
                <w:color w:val="auto"/>
              </w:rPr>
            </w:pPr>
          </w:p>
        </w:tc>
        <w:tc>
          <w:tcPr>
            <w:tcW w:w="620" w:type="dxa"/>
            <w:vAlign w:val="bottom"/>
            <w:tcBorders>
              <w:bottom w:val="single" w:sz="8" w:color="808080"/>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w:t>
            </w:r>
          </w:p>
        </w:tc>
        <w:tc>
          <w:tcPr>
            <w:tcW w:w="340" w:type="dxa"/>
            <w:vAlign w:val="bottom"/>
            <w:tcBorders>
              <w:bottom w:val="single" w:sz="8" w:color="808080"/>
            </w:tcBorders>
            <w:shd w:val="clear" w:color="auto" w:fill="CCEEFF"/>
          </w:tcPr>
          <w:p>
            <w:pPr>
              <w:spacing w:after="0"/>
              <w:rPr>
                <w:sz w:val="19"/>
                <w:szCs w:val="19"/>
                <w:color w:val="auto"/>
              </w:rPr>
            </w:pPr>
          </w:p>
        </w:tc>
        <w:tc>
          <w:tcPr>
            <w:tcW w:w="5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808080"/>
            </w:tcBorders>
            <w:shd w:val="clear" w:color="auto" w:fill="CCEEFF"/>
          </w:tcPr>
          <w:p>
            <w:pPr>
              <w:spacing w:after="0"/>
              <w:rPr>
                <w:sz w:val="19"/>
                <w:szCs w:val="19"/>
                <w:color w:val="auto"/>
              </w:rPr>
            </w:pPr>
          </w:p>
        </w:tc>
        <w:tc>
          <w:tcPr>
            <w:tcW w:w="200" w:type="dxa"/>
            <w:vAlign w:val="bottom"/>
            <w:tcBorders>
              <w:bottom w:val="single" w:sz="8" w:color="808080"/>
            </w:tcBorders>
            <w:shd w:val="clear" w:color="auto" w:fill="CCEEFF"/>
          </w:tcPr>
          <w:p>
            <w:pPr>
              <w:spacing w:after="0"/>
              <w:rPr>
                <w:sz w:val="19"/>
                <w:szCs w:val="19"/>
                <w:color w:val="auto"/>
              </w:rPr>
            </w:pPr>
          </w:p>
        </w:tc>
        <w:tc>
          <w:tcPr>
            <w:tcW w:w="6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360" w:type="dxa"/>
            <w:vAlign w:val="bottom"/>
            <w:tcBorders>
              <w:bottom w:val="single" w:sz="8" w:color="808080"/>
            </w:tcBorders>
            <w:shd w:val="clear" w:color="auto" w:fill="CCEEFF"/>
          </w:tcPr>
          <w:p>
            <w:pPr>
              <w:spacing w:after="0"/>
              <w:rPr>
                <w:sz w:val="19"/>
                <w:szCs w:val="19"/>
                <w:color w:val="auto"/>
              </w:rPr>
            </w:pPr>
          </w:p>
        </w:tc>
        <w:tc>
          <w:tcPr>
            <w:tcW w:w="5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Accumulated Other Comprehensive Income/(Loss)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Reclassifications out of accumulated other comprehensive income/(loss) for the three and six months ended</w:t>
      </w:r>
    </w:p>
    <w:p>
      <w:pPr>
        <w:ind w:left="100"/>
        <w:spacing w:after="0"/>
        <w:rPr>
          <w:sz w:val="20"/>
          <w:szCs w:val="20"/>
          <w:color w:val="auto"/>
        </w:rPr>
      </w:pPr>
      <w:r>
        <w:rPr>
          <w:rFonts w:ascii="Arial" w:cs="Arial" w:eastAsia="Arial" w:hAnsi="Arial"/>
          <w:sz w:val="18"/>
          <w:szCs w:val="18"/>
          <w:color w:val="auto"/>
        </w:rPr>
        <w:t>June 30, 2017, and 2016,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126365</wp:posOffset>
            </wp:positionV>
            <wp:extent cx="560006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Defined</w:t>
            </w: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i w:val="1"/>
                <w:iCs w:val="1"/>
                <w:color w:val="auto"/>
              </w:rPr>
              <w:t>Foreign</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20" w:type="dxa"/>
            <w:vAlign w:val="bottom"/>
            <w:vMerge w:val="restart"/>
          </w:tcPr>
          <w:p>
            <w:pPr>
              <w:spacing w:after="0"/>
              <w:rPr>
                <w:sz w:val="20"/>
                <w:szCs w:val="20"/>
                <w:color w:val="auto"/>
              </w:rPr>
            </w:pPr>
            <w:r>
              <w:rPr>
                <w:rFonts w:ascii="Arial" w:cs="Arial" w:eastAsia="Arial" w:hAnsi="Arial"/>
                <w:sz w:val="16"/>
                <w:szCs w:val="16"/>
                <w:i w:val="1"/>
                <w:iCs w:val="1"/>
                <w:color w:val="auto"/>
              </w:rPr>
              <w:t>Millions</w:t>
            </w:r>
          </w:p>
        </w:tc>
        <w:tc>
          <w:tcPr>
            <w:tcW w:w="3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benefit</w:t>
            </w:r>
          </w:p>
        </w:tc>
        <w:tc>
          <w:tcPr>
            <w:tcW w:w="220" w:type="dxa"/>
            <w:vAlign w:val="bottom"/>
          </w:tcPr>
          <w:p>
            <w:pPr>
              <w:spacing w:after="0"/>
              <w:rPr>
                <w:sz w:val="14"/>
                <w:szCs w:val="14"/>
                <w:color w:val="auto"/>
              </w:rPr>
            </w:pPr>
          </w:p>
        </w:tc>
        <w:tc>
          <w:tcPr>
            <w:tcW w:w="900" w:type="dxa"/>
            <w:vAlign w:val="bottom"/>
          </w:tcPr>
          <w:p>
            <w:pPr>
              <w:jc w:val="right"/>
              <w:ind w:right="19"/>
              <w:spacing w:after="0" w:line="162" w:lineRule="exact"/>
              <w:rPr>
                <w:sz w:val="20"/>
                <w:szCs w:val="20"/>
                <w:color w:val="auto"/>
              </w:rPr>
            </w:pPr>
            <w:r>
              <w:rPr>
                <w:rFonts w:ascii="Arial" w:cs="Arial" w:eastAsia="Arial" w:hAnsi="Arial"/>
                <w:sz w:val="16"/>
                <w:szCs w:val="16"/>
                <w:i w:val="1"/>
                <w:iCs w:val="1"/>
                <w:color w:val="auto"/>
              </w:rPr>
              <w:t>currency</w:t>
            </w: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vMerge w:val="continue"/>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plans</w:t>
            </w:r>
          </w:p>
        </w:tc>
        <w:tc>
          <w:tcPr>
            <w:tcW w:w="22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translation</w:t>
            </w:r>
          </w:p>
        </w:tc>
        <w:tc>
          <w:tcPr>
            <w:tcW w:w="3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April 1, 2017</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6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14"/>
        </w:trPr>
        <w:tc>
          <w:tcPr>
            <w:tcW w:w="55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w:t>
            </w:r>
          </w:p>
        </w:tc>
        <w:tc>
          <w:tcPr>
            <w:tcW w:w="3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Net quarter-to-date other comprehensive income/(loss),</w:t>
            </w:r>
          </w:p>
        </w:tc>
        <w:tc>
          <w:tcPr>
            <w:tcW w:w="360" w:type="dxa"/>
            <w:vAlign w:val="bottom"/>
            <w:tcBorders>
              <w:top w:val="single" w:sz="8" w:color="7F7F7F"/>
            </w:tcBorders>
          </w:tcPr>
          <w:p>
            <w:pPr>
              <w:spacing w:after="0"/>
              <w:rPr>
                <w:sz w:val="16"/>
                <w:szCs w:val="16"/>
                <w:color w:val="auto"/>
              </w:rPr>
            </w:pPr>
          </w:p>
        </w:tc>
        <w:tc>
          <w:tcPr>
            <w:tcW w:w="78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color w:val="auto"/>
              </w:rPr>
              <w:t>15</w:t>
            </w:r>
          </w:p>
        </w:tc>
        <w:tc>
          <w:tcPr>
            <w:tcW w:w="220" w:type="dxa"/>
            <w:vAlign w:val="bottom"/>
            <w:tcBorders>
              <w:top w:val="single" w:sz="8" w:color="7F7F7F"/>
            </w:tcBorders>
          </w:tcPr>
          <w:p>
            <w:pPr>
              <w:spacing w:after="0"/>
              <w:rPr>
                <w:sz w:val="16"/>
                <w:szCs w:val="16"/>
                <w:color w:val="auto"/>
              </w:rPr>
            </w:pPr>
          </w:p>
        </w:tc>
        <w:tc>
          <w:tcPr>
            <w:tcW w:w="900" w:type="dxa"/>
            <w:vAlign w:val="bottom"/>
            <w:tcBorders>
              <w:top w:val="single" w:sz="8" w:color="7F7F7F"/>
            </w:tcBorders>
            <w:vMerge w:val="restart"/>
          </w:tcPr>
          <w:p>
            <w:pPr>
              <w:jc w:val="right"/>
              <w:ind w:right="59"/>
              <w:spacing w:after="0"/>
              <w:rPr>
                <w:sz w:val="20"/>
                <w:szCs w:val="20"/>
                <w:color w:val="auto"/>
              </w:rPr>
            </w:pPr>
            <w:r>
              <w:rPr>
                <w:rFonts w:ascii="Arial" w:cs="Arial" w:eastAsia="Arial" w:hAnsi="Arial"/>
                <w:sz w:val="16"/>
                <w:szCs w:val="16"/>
                <w:color w:val="auto"/>
              </w:rPr>
              <w:t>16</w:t>
            </w:r>
          </w:p>
        </w:tc>
        <w:tc>
          <w:tcPr>
            <w:tcW w:w="340" w:type="dxa"/>
            <w:vAlign w:val="bottom"/>
            <w:tcBorders>
              <w:top w:val="single" w:sz="8" w:color="7F7F7F"/>
            </w:tcBorders>
          </w:tcPr>
          <w:p>
            <w:pPr>
              <w:spacing w:after="0"/>
              <w:rPr>
                <w:sz w:val="16"/>
                <w:szCs w:val="16"/>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6"/>
                <w:szCs w:val="16"/>
                <w:color w:val="auto"/>
              </w:rPr>
              <w:t>net of taxes of $(18) million</w:t>
            </w: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June 30, 2017</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spacing w:after="0"/>
              <w:rPr>
                <w:sz w:val="17"/>
                <w:szCs w:val="17"/>
                <w:color w:val="auto"/>
              </w:rPr>
            </w:pPr>
          </w:p>
        </w:tc>
        <w:tc>
          <w:tcPr>
            <w:tcW w:w="3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April 1, 2016</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14"/>
        </w:trPr>
        <w:tc>
          <w:tcPr>
            <w:tcW w:w="55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w:t>
            </w:r>
          </w:p>
        </w:tc>
        <w:tc>
          <w:tcPr>
            <w:tcW w:w="3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Net quarter-to-date other comprehensive income/(loss),</w:t>
            </w:r>
          </w:p>
        </w:tc>
        <w:tc>
          <w:tcPr>
            <w:tcW w:w="360" w:type="dxa"/>
            <w:vAlign w:val="bottom"/>
            <w:tcBorders>
              <w:top w:val="single" w:sz="8" w:color="7F7F7F"/>
            </w:tcBorders>
          </w:tcPr>
          <w:p>
            <w:pPr>
              <w:spacing w:after="0"/>
              <w:rPr>
                <w:sz w:val="16"/>
                <w:szCs w:val="16"/>
                <w:color w:val="auto"/>
              </w:rPr>
            </w:pPr>
          </w:p>
        </w:tc>
        <w:tc>
          <w:tcPr>
            <w:tcW w:w="78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color w:val="auto"/>
              </w:rPr>
              <w:t>13</w:t>
            </w:r>
          </w:p>
        </w:tc>
        <w:tc>
          <w:tcPr>
            <w:tcW w:w="220" w:type="dxa"/>
            <w:vAlign w:val="bottom"/>
            <w:tcBorders>
              <w:top w:val="single" w:sz="8" w:color="7F7F7F"/>
            </w:tcBorders>
          </w:tcPr>
          <w:p>
            <w:pPr>
              <w:spacing w:after="0"/>
              <w:rPr>
                <w:sz w:val="16"/>
                <w:szCs w:val="16"/>
                <w:color w:val="auto"/>
              </w:rPr>
            </w:pPr>
          </w:p>
        </w:tc>
        <w:tc>
          <w:tcPr>
            <w:tcW w:w="900" w:type="dxa"/>
            <w:vAlign w:val="bottom"/>
            <w:tcBorders>
              <w:top w:val="single" w:sz="8" w:color="7F7F7F"/>
            </w:tcBorders>
            <w:vMerge w:val="restart"/>
          </w:tcPr>
          <w:p>
            <w:pPr>
              <w:jc w:val="right"/>
              <w:ind w:right="19"/>
              <w:spacing w:after="0"/>
              <w:rPr>
                <w:sz w:val="20"/>
                <w:szCs w:val="20"/>
                <w:color w:val="auto"/>
              </w:rPr>
            </w:pPr>
            <w:r>
              <w:rPr>
                <w:rFonts w:ascii="Arial" w:cs="Arial" w:eastAsia="Arial" w:hAnsi="Arial"/>
                <w:sz w:val="16"/>
                <w:szCs w:val="16"/>
                <w:color w:val="auto"/>
              </w:rPr>
              <w:t>(3)</w:t>
            </w:r>
          </w:p>
        </w:tc>
        <w:tc>
          <w:tcPr>
            <w:tcW w:w="340" w:type="dxa"/>
            <w:vAlign w:val="bottom"/>
            <w:tcBorders>
              <w:top w:val="single" w:sz="8" w:color="7F7F7F"/>
            </w:tcBorders>
          </w:tcPr>
          <w:p>
            <w:pPr>
              <w:spacing w:after="0"/>
              <w:rPr>
                <w:sz w:val="16"/>
                <w:szCs w:val="16"/>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6"/>
                <w:szCs w:val="16"/>
                <w:color w:val="auto"/>
              </w:rPr>
              <w:t>net of taxes of $(6) million</w:t>
            </w: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June 30, 2016</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439"/>
        </w:trPr>
        <w:tc>
          <w:tcPr>
            <w:tcW w:w="5520" w:type="dxa"/>
            <w:vAlign w:val="bottom"/>
            <w:tcBorders>
              <w:bottom w:val="single" w:sz="8" w:color="7F7F7F"/>
            </w:tcBorders>
          </w:tcPr>
          <w:p>
            <w:pPr>
              <w:spacing w:after="0"/>
              <w:rPr>
                <w:sz w:val="24"/>
                <w:szCs w:val="24"/>
                <w:color w:val="auto"/>
              </w:rPr>
            </w:pPr>
          </w:p>
        </w:tc>
        <w:tc>
          <w:tcPr>
            <w:tcW w:w="360" w:type="dxa"/>
            <w:vAlign w:val="bottom"/>
            <w:tcBorders>
              <w:bottom w:val="single" w:sz="8" w:color="7F7F7F"/>
            </w:tcBorders>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340" w:type="dxa"/>
            <w:vAlign w:val="bottom"/>
            <w:tcBorders>
              <w:bottom w:val="single" w:sz="8" w:color="7F7F7F"/>
            </w:tcBorders>
          </w:tcPr>
          <w:p>
            <w:pPr>
              <w:spacing w:after="0"/>
              <w:rPr>
                <w:sz w:val="24"/>
                <w:szCs w:val="24"/>
                <w:color w:val="auto"/>
              </w:rPr>
            </w:pPr>
          </w:p>
        </w:tc>
        <w:tc>
          <w:tcPr>
            <w:tcW w:w="7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Defined</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i w:val="1"/>
                <w:iCs w:val="1"/>
                <w:color w:val="auto"/>
              </w:rPr>
              <w:t>Foreign</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520" w:type="dxa"/>
            <w:vAlign w:val="bottom"/>
            <w:vMerge w:val="restart"/>
          </w:tcPr>
          <w:p>
            <w:pPr>
              <w:spacing w:after="0"/>
              <w:rPr>
                <w:sz w:val="20"/>
                <w:szCs w:val="20"/>
                <w:color w:val="auto"/>
              </w:rPr>
            </w:pPr>
            <w:r>
              <w:rPr>
                <w:rFonts w:ascii="Arial" w:cs="Arial" w:eastAsia="Arial" w:hAnsi="Arial"/>
                <w:sz w:val="16"/>
                <w:szCs w:val="16"/>
                <w:i w:val="1"/>
                <w:iCs w:val="1"/>
                <w:color w:val="auto"/>
              </w:rPr>
              <w:t>Millions</w:t>
            </w:r>
          </w:p>
        </w:tc>
        <w:tc>
          <w:tcPr>
            <w:tcW w:w="3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benefit</w:t>
            </w:r>
          </w:p>
        </w:tc>
        <w:tc>
          <w:tcPr>
            <w:tcW w:w="220" w:type="dxa"/>
            <w:vAlign w:val="bottom"/>
          </w:tcPr>
          <w:p>
            <w:pPr>
              <w:spacing w:after="0"/>
              <w:rPr>
                <w:sz w:val="14"/>
                <w:szCs w:val="14"/>
                <w:color w:val="auto"/>
              </w:rPr>
            </w:pPr>
          </w:p>
        </w:tc>
        <w:tc>
          <w:tcPr>
            <w:tcW w:w="900" w:type="dxa"/>
            <w:vAlign w:val="bottom"/>
          </w:tcPr>
          <w:p>
            <w:pPr>
              <w:jc w:val="right"/>
              <w:ind w:right="19"/>
              <w:spacing w:after="0" w:line="162" w:lineRule="exact"/>
              <w:rPr>
                <w:sz w:val="20"/>
                <w:szCs w:val="20"/>
                <w:color w:val="auto"/>
              </w:rPr>
            </w:pPr>
            <w:r>
              <w:rPr>
                <w:rFonts w:ascii="Arial" w:cs="Arial" w:eastAsia="Arial" w:hAnsi="Arial"/>
                <w:sz w:val="16"/>
                <w:szCs w:val="16"/>
                <w:i w:val="1"/>
                <w:iCs w:val="1"/>
                <w:color w:val="auto"/>
              </w:rPr>
              <w:t>currency</w:t>
            </w: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vMerge w:val="continue"/>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plans</w:t>
            </w:r>
          </w:p>
        </w:tc>
        <w:tc>
          <w:tcPr>
            <w:tcW w:w="22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translation</w:t>
            </w:r>
          </w:p>
        </w:tc>
        <w:tc>
          <w:tcPr>
            <w:tcW w:w="3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January 1, 2017</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14"/>
        </w:trPr>
        <w:tc>
          <w:tcPr>
            <w:tcW w:w="55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w:t>
            </w:r>
          </w:p>
        </w:tc>
        <w:tc>
          <w:tcPr>
            <w:tcW w:w="3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Net year-to-date other comprehensive income/(loss),</w:t>
            </w:r>
          </w:p>
        </w:tc>
        <w:tc>
          <w:tcPr>
            <w:tcW w:w="360" w:type="dxa"/>
            <w:vAlign w:val="bottom"/>
            <w:tcBorders>
              <w:top w:val="single" w:sz="8" w:color="7F7F7F"/>
            </w:tcBorders>
          </w:tcPr>
          <w:p>
            <w:pPr>
              <w:spacing w:after="0"/>
              <w:rPr>
                <w:sz w:val="16"/>
                <w:szCs w:val="16"/>
                <w:color w:val="auto"/>
              </w:rPr>
            </w:pPr>
          </w:p>
        </w:tc>
        <w:tc>
          <w:tcPr>
            <w:tcW w:w="78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color w:val="auto"/>
              </w:rPr>
              <w:t>26</w:t>
            </w:r>
          </w:p>
        </w:tc>
        <w:tc>
          <w:tcPr>
            <w:tcW w:w="220" w:type="dxa"/>
            <w:vAlign w:val="bottom"/>
            <w:tcBorders>
              <w:top w:val="single" w:sz="8" w:color="7F7F7F"/>
            </w:tcBorders>
          </w:tcPr>
          <w:p>
            <w:pPr>
              <w:spacing w:after="0"/>
              <w:rPr>
                <w:sz w:val="16"/>
                <w:szCs w:val="16"/>
                <w:color w:val="auto"/>
              </w:rPr>
            </w:pPr>
          </w:p>
        </w:tc>
        <w:tc>
          <w:tcPr>
            <w:tcW w:w="900" w:type="dxa"/>
            <w:vAlign w:val="bottom"/>
            <w:tcBorders>
              <w:top w:val="single" w:sz="8" w:color="7F7F7F"/>
            </w:tcBorders>
            <w:vMerge w:val="restart"/>
          </w:tcPr>
          <w:p>
            <w:pPr>
              <w:jc w:val="right"/>
              <w:ind w:right="59"/>
              <w:spacing w:after="0"/>
              <w:rPr>
                <w:sz w:val="20"/>
                <w:szCs w:val="20"/>
                <w:color w:val="auto"/>
              </w:rPr>
            </w:pPr>
            <w:r>
              <w:rPr>
                <w:rFonts w:ascii="Arial" w:cs="Arial" w:eastAsia="Arial" w:hAnsi="Arial"/>
                <w:sz w:val="16"/>
                <w:szCs w:val="16"/>
                <w:color w:val="auto"/>
              </w:rPr>
              <w:t>25</w:t>
            </w:r>
          </w:p>
        </w:tc>
        <w:tc>
          <w:tcPr>
            <w:tcW w:w="340" w:type="dxa"/>
            <w:vAlign w:val="bottom"/>
            <w:tcBorders>
              <w:top w:val="single" w:sz="8" w:color="7F7F7F"/>
            </w:tcBorders>
          </w:tcPr>
          <w:p>
            <w:pPr>
              <w:spacing w:after="0"/>
              <w:rPr>
                <w:sz w:val="16"/>
                <w:szCs w:val="16"/>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6"/>
                <w:szCs w:val="16"/>
                <w:color w:val="auto"/>
              </w:rPr>
              <w:t>net of taxes of $(32) million</w:t>
            </w: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June 30, 2017</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spacing w:after="0"/>
              <w:rPr>
                <w:sz w:val="17"/>
                <w:szCs w:val="17"/>
                <w:color w:val="auto"/>
              </w:rPr>
            </w:pPr>
          </w:p>
        </w:tc>
        <w:tc>
          <w:tcPr>
            <w:tcW w:w="3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January 1, 2016</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14"/>
        </w:trPr>
        <w:tc>
          <w:tcPr>
            <w:tcW w:w="55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w:t>
            </w:r>
          </w:p>
        </w:tc>
        <w:tc>
          <w:tcPr>
            <w:tcW w:w="3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Net year-to-date other comprehensive income/(loss),</w:t>
            </w:r>
          </w:p>
        </w:tc>
        <w:tc>
          <w:tcPr>
            <w:tcW w:w="360" w:type="dxa"/>
            <w:vAlign w:val="bottom"/>
            <w:tcBorders>
              <w:top w:val="single" w:sz="8" w:color="7F7F7F"/>
            </w:tcBorders>
          </w:tcPr>
          <w:p>
            <w:pPr>
              <w:spacing w:after="0"/>
              <w:rPr>
                <w:sz w:val="16"/>
                <w:szCs w:val="16"/>
                <w:color w:val="auto"/>
              </w:rPr>
            </w:pPr>
          </w:p>
        </w:tc>
        <w:tc>
          <w:tcPr>
            <w:tcW w:w="78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color w:val="auto"/>
              </w:rPr>
              <w:t>21</w:t>
            </w:r>
          </w:p>
        </w:tc>
        <w:tc>
          <w:tcPr>
            <w:tcW w:w="220" w:type="dxa"/>
            <w:vAlign w:val="bottom"/>
            <w:tcBorders>
              <w:top w:val="single" w:sz="8" w:color="7F7F7F"/>
            </w:tcBorders>
          </w:tcPr>
          <w:p>
            <w:pPr>
              <w:spacing w:after="0"/>
              <w:rPr>
                <w:sz w:val="16"/>
                <w:szCs w:val="16"/>
                <w:color w:val="auto"/>
              </w:rPr>
            </w:pPr>
          </w:p>
        </w:tc>
        <w:tc>
          <w:tcPr>
            <w:tcW w:w="900" w:type="dxa"/>
            <w:vAlign w:val="bottom"/>
            <w:tcBorders>
              <w:top w:val="single" w:sz="8" w:color="7F7F7F"/>
            </w:tcBorders>
            <w:vMerge w:val="restart"/>
          </w:tcPr>
          <w:p>
            <w:pPr>
              <w:jc w:val="right"/>
              <w:ind w:right="19"/>
              <w:spacing w:after="0"/>
              <w:rPr>
                <w:sz w:val="20"/>
                <w:szCs w:val="20"/>
                <w:color w:val="auto"/>
              </w:rPr>
            </w:pPr>
            <w:r>
              <w:rPr>
                <w:rFonts w:ascii="Arial" w:cs="Arial" w:eastAsia="Arial" w:hAnsi="Arial"/>
                <w:sz w:val="16"/>
                <w:szCs w:val="16"/>
                <w:color w:val="auto"/>
              </w:rPr>
              <w:t>(24)</w:t>
            </w:r>
          </w:p>
        </w:tc>
        <w:tc>
          <w:tcPr>
            <w:tcW w:w="340" w:type="dxa"/>
            <w:vAlign w:val="bottom"/>
            <w:tcBorders>
              <w:top w:val="single" w:sz="8" w:color="7F7F7F"/>
            </w:tcBorders>
          </w:tcPr>
          <w:p>
            <w:pPr>
              <w:spacing w:after="0"/>
              <w:rPr>
                <w:sz w:val="16"/>
                <w:szCs w:val="16"/>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6"/>
                <w:szCs w:val="16"/>
                <w:color w:val="auto"/>
              </w:rPr>
              <w:t>net of taxes of $(1) million</w:t>
            </w: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June 30, 2016</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420" w:right="99" w:hanging="315"/>
        <w:spacing w:after="0"/>
        <w:tabs>
          <w:tab w:leader="none" w:pos="445"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The accumulated other comprehensive income/(loss) reclassification components are 1) prior service cost/(credit) and 2) net actuarial loss which are both included in the computation of net periodic pension cost. See Note 5 Retirement Plans for additional details.</w:t>
      </w: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Accounts Receivable</w:t>
      </w:r>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Accounts receivable includes freight and other receivables reduced by an allowance for doubtful accounts. The allowance is based upon historical losses, credit worthiness of customers, and current economic conditions. At June 30, 2017, and December 31, 2016, our accounts receivable were reduced by $2 million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and $5 million, respectively. Receivables not expected to be collected in one year and the associated allowances are classified as other assets in our Condensed Consolidated Statements of Financial Position. At June 30, 2017, and December 31, 2016, receivables classified as other assets were reduced by allowances of $18 million and $17 million, respectively.</w:t>
      </w:r>
    </w:p>
    <w:p>
      <w:pPr>
        <w:spacing w:after="0" w:line="114"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–The Railroad maintains a $ 650 million, 3-year receivables securitization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(the Receivables Facility) maturing in July 2019.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35"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The amount outstanding under the Receivables Facility was $200 million and $ 0 at June 30, 2017, and December 31, 2016, respectively. The Receivables Facility was supported by $1.0 billion of accounts receivable as collateral at both June 30, 2017, and December 31, 2016, which, as a retained interest, is included in accounts receivable, net in our Condensed Consolidated Statements of Financial Position.</w:t>
      </w:r>
    </w:p>
    <w:p>
      <w:pPr>
        <w:spacing w:after="0" w:line="13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The outstanding amount the Railroad is allowed to maintain under the Receivables Facility, with a maximum of $650 million, may fluctuate based on the availability of eligible receivables and is directly affected by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135"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$2 million and $1 million for the three months ended June 30, 2017, and 2016, respectively, and $3 million for both the six months ended June 30, 2017, and 2016, respectively.</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 Properties</w:t>
      </w:r>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 Except Estimated Useful Life</w:t>
            </w:r>
          </w:p>
        </w:tc>
        <w:tc>
          <w:tcPr>
            <w:tcW w:w="860" w:type="dxa"/>
            <w:vAlign w:val="bottom"/>
            <w:tcBorders>
              <w:top w:val="single" w:sz="8" w:color="7F7F7F"/>
            </w:tcBorders>
          </w:tcPr>
          <w:p>
            <w:pPr>
              <w:spacing w:after="0"/>
              <w:rPr>
                <w:sz w:val="22"/>
                <w:szCs w:val="22"/>
                <w:color w:val="auto"/>
              </w:rPr>
            </w:pPr>
          </w:p>
        </w:tc>
        <w:tc>
          <w:tcPr>
            <w:tcW w:w="900" w:type="dxa"/>
            <w:vAlign w:val="bottom"/>
            <w:tcBorders>
              <w:top w:val="single" w:sz="8" w:color="7F7F7F"/>
            </w:tcBorders>
          </w:tcPr>
          <w:p>
            <w:pPr>
              <w:spacing w:after="0"/>
              <w:rPr>
                <w:sz w:val="22"/>
                <w:szCs w:val="22"/>
                <w:color w:val="auto"/>
              </w:rPr>
            </w:pPr>
          </w:p>
        </w:tc>
        <w:tc>
          <w:tcPr>
            <w:tcW w:w="1400" w:type="dxa"/>
            <w:vAlign w:val="bottom"/>
            <w:tcBorders>
              <w:top w:val="single" w:sz="8" w:color="7F7F7F"/>
            </w:tcBorders>
            <w:gridSpan w:val="2"/>
          </w:tcPr>
          <w:p>
            <w:pPr>
              <w:jc w:val="right"/>
              <w:ind w:right="99"/>
              <w:spacing w:after="0"/>
              <w:rPr>
                <w:sz w:val="20"/>
                <w:szCs w:val="20"/>
                <w:color w:val="auto"/>
              </w:rPr>
            </w:pPr>
            <w:r>
              <w:rPr>
                <w:rFonts w:ascii="Arial" w:cs="Arial" w:eastAsia="Arial" w:hAnsi="Arial"/>
                <w:sz w:val="16"/>
                <w:szCs w:val="16"/>
                <w:i w:val="1"/>
                <w:iCs w:val="1"/>
                <w:color w:val="auto"/>
              </w:rPr>
              <w:t>Accumulated</w:t>
            </w:r>
          </w:p>
        </w:tc>
        <w:tc>
          <w:tcPr>
            <w:tcW w:w="340" w:type="dxa"/>
            <w:vAlign w:val="bottom"/>
            <w:tcBorders>
              <w:top w:val="single" w:sz="8" w:color="7F7F7F"/>
            </w:tcBorders>
          </w:tcPr>
          <w:p>
            <w:pPr>
              <w:spacing w:after="0"/>
              <w:rPr>
                <w:sz w:val="22"/>
                <w:szCs w:val="22"/>
                <w:color w:val="auto"/>
              </w:rPr>
            </w:pPr>
          </w:p>
        </w:tc>
        <w:tc>
          <w:tcPr>
            <w:tcW w:w="960" w:type="dxa"/>
            <w:vAlign w:val="bottom"/>
            <w:tcBorders>
              <w:top w:val="single" w:sz="8" w:color="7F7F7F"/>
            </w:tcBorders>
          </w:tcPr>
          <w:p>
            <w:pPr>
              <w:jc w:val="right"/>
              <w:ind w:right="159"/>
              <w:spacing w:after="0"/>
              <w:rPr>
                <w:sz w:val="20"/>
                <w:szCs w:val="20"/>
                <w:color w:val="auto"/>
              </w:rPr>
            </w:pPr>
            <w:r>
              <w:rPr>
                <w:rFonts w:ascii="Arial" w:cs="Arial" w:eastAsia="Arial" w:hAnsi="Arial"/>
                <w:sz w:val="16"/>
                <w:szCs w:val="16"/>
                <w:i w:val="1"/>
                <w:iCs w:val="1"/>
                <w:color w:val="auto"/>
              </w:rPr>
              <w:t>Net Book</w:t>
            </w:r>
          </w:p>
        </w:tc>
        <w:tc>
          <w:tcPr>
            <w:tcW w:w="10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Estimated</w:t>
            </w:r>
          </w:p>
        </w:tc>
      </w:tr>
      <w:tr>
        <w:trPr>
          <w:trHeight w:val="197"/>
        </w:trPr>
        <w:tc>
          <w:tcPr>
            <w:tcW w:w="33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As of June 30, 2017</w:t>
            </w:r>
          </w:p>
        </w:tc>
        <w:tc>
          <w:tcPr>
            <w:tcW w:w="86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159"/>
              <w:spacing w:after="0"/>
              <w:rPr>
                <w:sz w:val="20"/>
                <w:szCs w:val="20"/>
                <w:color w:val="auto"/>
              </w:rPr>
            </w:pPr>
            <w:r>
              <w:rPr>
                <w:rFonts w:ascii="Arial" w:cs="Arial" w:eastAsia="Arial" w:hAnsi="Arial"/>
                <w:sz w:val="16"/>
                <w:szCs w:val="16"/>
                <w:i w:val="1"/>
                <w:iCs w:val="1"/>
                <w:color w:val="auto"/>
              </w:rPr>
              <w:t>Cost</w:t>
            </w:r>
          </w:p>
        </w:tc>
        <w:tc>
          <w:tcPr>
            <w:tcW w:w="1400" w:type="dxa"/>
            <w:vAlign w:val="bottom"/>
            <w:tcBorders>
              <w:bottom w:val="single" w:sz="8" w:color="7F7F7F"/>
            </w:tcBorders>
            <w:gridSpan w:val="2"/>
          </w:tcPr>
          <w:p>
            <w:pPr>
              <w:jc w:val="right"/>
              <w:ind w:right="99"/>
              <w:spacing w:after="0"/>
              <w:rPr>
                <w:sz w:val="20"/>
                <w:szCs w:val="20"/>
                <w:color w:val="auto"/>
              </w:rPr>
            </w:pPr>
            <w:r>
              <w:rPr>
                <w:rFonts w:ascii="Arial" w:cs="Arial" w:eastAsia="Arial" w:hAnsi="Arial"/>
                <w:sz w:val="16"/>
                <w:szCs w:val="16"/>
                <w:i w:val="1"/>
                <w:iCs w:val="1"/>
                <w:color w:val="auto"/>
              </w:rPr>
              <w:t>Depreciation</w:t>
            </w:r>
          </w:p>
        </w:tc>
        <w:tc>
          <w:tcPr>
            <w:tcW w:w="340" w:type="dxa"/>
            <w:vAlign w:val="bottom"/>
            <w:tcBorders>
              <w:bottom w:val="single" w:sz="8" w:color="7F7F7F"/>
            </w:tcBorders>
          </w:tcPr>
          <w:p>
            <w:pPr>
              <w:spacing w:after="0"/>
              <w:rPr>
                <w:sz w:val="17"/>
                <w:szCs w:val="17"/>
                <w:color w:val="auto"/>
              </w:rPr>
            </w:pPr>
          </w:p>
        </w:tc>
        <w:tc>
          <w:tcPr>
            <w:tcW w:w="960" w:type="dxa"/>
            <w:vAlign w:val="bottom"/>
            <w:tcBorders>
              <w:bottom w:val="single" w:sz="8" w:color="7F7F7F"/>
            </w:tcBorders>
          </w:tcPr>
          <w:p>
            <w:pPr>
              <w:jc w:val="right"/>
              <w:ind w:right="159"/>
              <w:spacing w:after="0"/>
              <w:rPr>
                <w:sz w:val="20"/>
                <w:szCs w:val="20"/>
                <w:color w:val="auto"/>
              </w:rPr>
            </w:pPr>
            <w:r>
              <w:rPr>
                <w:rFonts w:ascii="Arial" w:cs="Arial" w:eastAsia="Arial" w:hAnsi="Arial"/>
                <w:sz w:val="16"/>
                <w:szCs w:val="16"/>
                <w:i w:val="1"/>
                <w:iCs w:val="1"/>
                <w:color w:val="auto"/>
              </w:rPr>
              <w:t>Value</w:t>
            </w: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Useful Life</w:t>
            </w:r>
          </w:p>
        </w:tc>
      </w:tr>
      <w:tr>
        <w:trPr>
          <w:trHeight w:val="309"/>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5,236</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N/A</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5,236</w:t>
            </w:r>
          </w:p>
        </w:tc>
        <w:tc>
          <w:tcPr>
            <w:tcW w:w="100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200"/>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Road:</w:t>
            </w:r>
          </w:p>
        </w:tc>
        <w:tc>
          <w:tcPr>
            <w:tcW w:w="86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50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960" w:type="dxa"/>
            <w:vAlign w:val="bottom"/>
            <w:tcBorders>
              <w:top w:val="single" w:sz="8" w:color="7F7F7F"/>
            </w:tcBorders>
          </w:tcPr>
          <w:p>
            <w:pPr>
              <w:spacing w:after="0"/>
              <w:rPr>
                <w:sz w:val="17"/>
                <w:szCs w:val="17"/>
                <w:color w:val="auto"/>
              </w:rPr>
            </w:pPr>
          </w:p>
        </w:tc>
        <w:tc>
          <w:tcPr>
            <w:tcW w:w="1000" w:type="dxa"/>
            <w:vAlign w:val="bottom"/>
            <w:tcBorders>
              <w:top w:val="single" w:sz="8" w:color="7F7F7F"/>
            </w:tcBorders>
          </w:tcPr>
          <w:p>
            <w:pPr>
              <w:spacing w:after="0"/>
              <w:rPr>
                <w:sz w:val="17"/>
                <w:szCs w:val="17"/>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Rail and other track material</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16,124</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5,819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10,305</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43</w:t>
            </w:r>
          </w:p>
        </w:tc>
      </w:tr>
      <w:tr>
        <w:trPr>
          <w:trHeight w:val="213"/>
        </w:trPr>
        <w:tc>
          <w:tcPr>
            <w:tcW w:w="3360" w:type="dxa"/>
            <w:vAlign w:val="bottom"/>
          </w:tcPr>
          <w:p>
            <w:pPr>
              <w:ind w:left="100"/>
              <w:spacing w:after="0"/>
              <w:rPr>
                <w:sz w:val="20"/>
                <w:szCs w:val="20"/>
                <w:color w:val="auto"/>
              </w:rPr>
            </w:pPr>
            <w:r>
              <w:rPr>
                <w:rFonts w:ascii="Arial" w:cs="Arial" w:eastAsia="Arial" w:hAnsi="Arial"/>
                <w:sz w:val="16"/>
                <w:szCs w:val="16"/>
                <w:color w:val="auto"/>
              </w:rPr>
              <w:t>Ties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10,001</w:t>
            </w:r>
          </w:p>
        </w:tc>
        <w:tc>
          <w:tcPr>
            <w:tcW w:w="5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2,823</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7,178</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rPr>
              <w:t>33</w:t>
            </w: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Ballast</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5,336</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1,474</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3,862</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34</w:t>
            </w:r>
          </w:p>
        </w:tc>
      </w:tr>
      <w:tr>
        <w:trPr>
          <w:trHeight w:val="210"/>
        </w:trPr>
        <w:tc>
          <w:tcPr>
            <w:tcW w:w="33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Other roadway [a]</w:t>
            </w:r>
          </w:p>
        </w:tc>
        <w:tc>
          <w:tcPr>
            <w:tcW w:w="8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18,607</w:t>
            </w:r>
          </w:p>
        </w:tc>
        <w:tc>
          <w:tcPr>
            <w:tcW w:w="50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3,352</w:t>
            </w:r>
          </w:p>
        </w:tc>
        <w:tc>
          <w:tcPr>
            <w:tcW w:w="34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15,255</w:t>
            </w:r>
          </w:p>
        </w:tc>
        <w:tc>
          <w:tcPr>
            <w:tcW w:w="1000" w:type="dxa"/>
            <w:vAlign w:val="bottom"/>
            <w:tcBorders>
              <w:bottom w:val="single" w:sz="8" w:color="7F7F7F"/>
            </w:tcBorders>
          </w:tcPr>
          <w:p>
            <w:pPr>
              <w:jc w:val="center"/>
              <w:ind w:left="659"/>
              <w:spacing w:after="0"/>
              <w:rPr>
                <w:sz w:val="20"/>
                <w:szCs w:val="20"/>
                <w:color w:val="auto"/>
              </w:rPr>
            </w:pPr>
            <w:r>
              <w:rPr>
                <w:rFonts w:ascii="Arial" w:cs="Arial" w:eastAsia="Arial" w:hAnsi="Arial"/>
                <w:sz w:val="16"/>
                <w:szCs w:val="16"/>
                <w:color w:val="auto"/>
              </w:rPr>
              <w:t>47</w:t>
            </w:r>
          </w:p>
        </w:tc>
      </w:tr>
      <w:tr>
        <w:trPr>
          <w:trHeight w:val="309"/>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road</w:t>
            </w:r>
          </w:p>
        </w:tc>
        <w:tc>
          <w:tcPr>
            <w:tcW w:w="8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50,068</w:t>
            </w: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13,468</w:t>
            </w: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36,600</w:t>
            </w:r>
          </w:p>
        </w:tc>
        <w:tc>
          <w:tcPr>
            <w:tcW w:w="100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200"/>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Equipment:</w:t>
            </w:r>
          </w:p>
        </w:tc>
        <w:tc>
          <w:tcPr>
            <w:tcW w:w="86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50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960" w:type="dxa"/>
            <w:vAlign w:val="bottom"/>
            <w:tcBorders>
              <w:top w:val="single" w:sz="8" w:color="7F7F7F"/>
            </w:tcBorders>
          </w:tcPr>
          <w:p>
            <w:pPr>
              <w:spacing w:after="0"/>
              <w:rPr>
                <w:sz w:val="17"/>
                <w:szCs w:val="17"/>
                <w:color w:val="auto"/>
              </w:rPr>
            </w:pPr>
          </w:p>
        </w:tc>
        <w:tc>
          <w:tcPr>
            <w:tcW w:w="1000" w:type="dxa"/>
            <w:vAlign w:val="bottom"/>
            <w:tcBorders>
              <w:top w:val="single" w:sz="8" w:color="7F7F7F"/>
            </w:tcBorders>
          </w:tcPr>
          <w:p>
            <w:pPr>
              <w:spacing w:after="0"/>
              <w:rPr>
                <w:sz w:val="17"/>
                <w:szCs w:val="17"/>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Locomotives</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9,648</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3,941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5,707</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20</w:t>
            </w:r>
          </w:p>
        </w:tc>
      </w:tr>
      <w:tr>
        <w:trPr>
          <w:trHeight w:val="213"/>
        </w:trPr>
        <w:tc>
          <w:tcPr>
            <w:tcW w:w="3360" w:type="dxa"/>
            <w:vAlign w:val="bottom"/>
          </w:tcPr>
          <w:p>
            <w:pPr>
              <w:ind w:left="100"/>
              <w:spacing w:after="0"/>
              <w:rPr>
                <w:sz w:val="20"/>
                <w:szCs w:val="20"/>
                <w:color w:val="auto"/>
              </w:rPr>
            </w:pPr>
            <w:r>
              <w:rPr>
                <w:rFonts w:ascii="Arial" w:cs="Arial" w:eastAsia="Arial" w:hAnsi="Arial"/>
                <w:sz w:val="16"/>
                <w:szCs w:val="16"/>
                <w:color w:val="auto"/>
              </w:rPr>
              <w:t>Freight cars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2,253</w:t>
            </w:r>
          </w:p>
        </w:tc>
        <w:tc>
          <w:tcPr>
            <w:tcW w:w="5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979</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1,274</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rPr>
              <w:t>24</w:t>
            </w:r>
          </w:p>
        </w:tc>
      </w:tr>
      <w:tr>
        <w:trPr>
          <w:trHeight w:val="213"/>
        </w:trPr>
        <w:tc>
          <w:tcPr>
            <w:tcW w:w="336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Work equipment and other</w:t>
            </w:r>
          </w:p>
        </w:tc>
        <w:tc>
          <w:tcPr>
            <w:tcW w:w="86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right"/>
              <w:ind w:right="199"/>
              <w:spacing w:after="0"/>
              <w:rPr>
                <w:sz w:val="20"/>
                <w:szCs w:val="20"/>
                <w:color w:val="auto"/>
              </w:rPr>
            </w:pPr>
            <w:r>
              <w:rPr>
                <w:rFonts w:ascii="Arial" w:cs="Arial" w:eastAsia="Arial" w:hAnsi="Arial"/>
                <w:sz w:val="16"/>
                <w:szCs w:val="16"/>
                <w:color w:val="auto"/>
              </w:rPr>
              <w:t>926</w:t>
            </w:r>
          </w:p>
        </w:tc>
        <w:tc>
          <w:tcPr>
            <w:tcW w:w="50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right"/>
              <w:ind w:right="139"/>
              <w:spacing w:after="0"/>
              <w:rPr>
                <w:sz w:val="20"/>
                <w:szCs w:val="20"/>
                <w:color w:val="auto"/>
              </w:rPr>
            </w:pPr>
            <w:r>
              <w:rPr>
                <w:rFonts w:ascii="Arial" w:cs="Arial" w:eastAsia="Arial" w:hAnsi="Arial"/>
                <w:sz w:val="16"/>
                <w:szCs w:val="16"/>
                <w:color w:val="auto"/>
              </w:rPr>
              <w:t>251</w:t>
            </w:r>
          </w:p>
        </w:tc>
        <w:tc>
          <w:tcPr>
            <w:tcW w:w="340" w:type="dxa"/>
            <w:vAlign w:val="bottom"/>
            <w:tcBorders>
              <w:bottom w:val="single" w:sz="8" w:color="7F7F7F"/>
            </w:tcBorders>
            <w:shd w:val="clear" w:color="auto" w:fill="CCEEFF"/>
          </w:tcPr>
          <w:p>
            <w:pPr>
              <w:spacing w:after="0"/>
              <w:rPr>
                <w:sz w:val="18"/>
                <w:szCs w:val="18"/>
                <w:color w:val="auto"/>
              </w:rPr>
            </w:pPr>
          </w:p>
        </w:tc>
        <w:tc>
          <w:tcPr>
            <w:tcW w:w="960" w:type="dxa"/>
            <w:vAlign w:val="bottom"/>
            <w:tcBorders>
              <w:bottom w:val="single" w:sz="8" w:color="7F7F7F"/>
            </w:tcBorders>
            <w:shd w:val="clear" w:color="auto" w:fill="CCEEFF"/>
          </w:tcPr>
          <w:p>
            <w:pPr>
              <w:jc w:val="right"/>
              <w:ind w:right="199"/>
              <w:spacing w:after="0"/>
              <w:rPr>
                <w:sz w:val="20"/>
                <w:szCs w:val="20"/>
                <w:color w:val="auto"/>
              </w:rPr>
            </w:pPr>
            <w:r>
              <w:rPr>
                <w:rFonts w:ascii="Arial" w:cs="Arial" w:eastAsia="Arial" w:hAnsi="Arial"/>
                <w:sz w:val="16"/>
                <w:szCs w:val="16"/>
                <w:color w:val="auto"/>
              </w:rPr>
              <w:t>675</w:t>
            </w:r>
          </w:p>
        </w:tc>
        <w:tc>
          <w:tcPr>
            <w:tcW w:w="1000" w:type="dxa"/>
            <w:vAlign w:val="bottom"/>
            <w:tcBorders>
              <w:bottom w:val="single" w:sz="8" w:color="7F7F7F"/>
            </w:tcBorders>
            <w:shd w:val="clear" w:color="auto" w:fill="CCEEFF"/>
          </w:tcPr>
          <w:p>
            <w:pPr>
              <w:jc w:val="center"/>
              <w:ind w:left="659"/>
              <w:spacing w:after="0"/>
              <w:rPr>
                <w:sz w:val="20"/>
                <w:szCs w:val="20"/>
                <w:color w:val="auto"/>
              </w:rPr>
            </w:pPr>
            <w:r>
              <w:rPr>
                <w:rFonts w:ascii="Arial" w:cs="Arial" w:eastAsia="Arial" w:hAnsi="Arial"/>
                <w:sz w:val="16"/>
                <w:szCs w:val="16"/>
                <w:color w:val="auto"/>
              </w:rPr>
              <w:t>19</w:t>
            </w:r>
          </w:p>
        </w:tc>
      </w:tr>
      <w:tr>
        <w:trPr>
          <w:trHeight w:val="251"/>
        </w:trPr>
        <w:tc>
          <w:tcPr>
            <w:tcW w:w="3360" w:type="dxa"/>
            <w:vAlign w:val="bottom"/>
          </w:tcPr>
          <w:p>
            <w:pPr>
              <w:spacing w:after="0"/>
              <w:rPr>
                <w:sz w:val="20"/>
                <w:szCs w:val="20"/>
                <w:color w:val="auto"/>
              </w:rPr>
            </w:pPr>
            <w:r>
              <w:rPr>
                <w:rFonts w:ascii="Arial" w:cs="Arial" w:eastAsia="Arial" w:hAnsi="Arial"/>
                <w:sz w:val="16"/>
                <w:szCs w:val="16"/>
                <w:color w:val="auto"/>
              </w:rPr>
              <w:t>Total equipment</w:t>
            </w:r>
          </w:p>
        </w:tc>
        <w:tc>
          <w:tcPr>
            <w:tcW w:w="86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12,827</w:t>
            </w:r>
          </w:p>
        </w:tc>
        <w:tc>
          <w:tcPr>
            <w:tcW w:w="500" w:type="dxa"/>
            <w:vAlign w:val="bottom"/>
          </w:tcPr>
          <w:p>
            <w:pPr>
              <w:spacing w:after="0"/>
              <w:rPr>
                <w:sz w:val="21"/>
                <w:szCs w:val="21"/>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5,171</w:t>
            </w:r>
          </w:p>
        </w:tc>
        <w:tc>
          <w:tcPr>
            <w:tcW w:w="340" w:type="dxa"/>
            <w:vAlign w:val="bottom"/>
          </w:tcPr>
          <w:p>
            <w:pPr>
              <w:spacing w:after="0"/>
              <w:rPr>
                <w:sz w:val="21"/>
                <w:szCs w:val="21"/>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7,656</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54"/>
        </w:trPr>
        <w:tc>
          <w:tcPr>
            <w:tcW w:w="33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50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other</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1,017</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425</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592</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11</w:t>
            </w:r>
          </w:p>
        </w:tc>
      </w:tr>
      <w:tr>
        <w:trPr>
          <w:trHeight w:val="210"/>
        </w:trPr>
        <w:tc>
          <w:tcPr>
            <w:tcW w:w="33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Construction in progress</w:t>
            </w:r>
          </w:p>
        </w:tc>
        <w:tc>
          <w:tcPr>
            <w:tcW w:w="8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730</w:t>
            </w:r>
          </w:p>
        </w:tc>
        <w:tc>
          <w:tcPr>
            <w:tcW w:w="50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730</w:t>
            </w:r>
          </w:p>
        </w:tc>
        <w:tc>
          <w:tcPr>
            <w:tcW w:w="1000" w:type="dxa"/>
            <w:vAlign w:val="bottom"/>
            <w:tcBorders>
              <w:bottom w:val="single" w:sz="8" w:color="7F7F7F"/>
            </w:tcBorders>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69,878</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19,064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50,814</w:t>
            </w:r>
          </w:p>
        </w:tc>
        <w:tc>
          <w:tcPr>
            <w:tcW w:w="100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54"/>
        </w:trPr>
        <w:tc>
          <w:tcPr>
            <w:tcW w:w="3360" w:type="dxa"/>
            <w:vAlign w:val="bottom"/>
            <w:shd w:val="clear" w:color="auto" w:fill="7F7F7F"/>
          </w:tcPr>
          <w:p>
            <w:pPr>
              <w:spacing w:after="0"/>
              <w:rPr>
                <w:sz w:val="4"/>
                <w:szCs w:val="4"/>
                <w:color w:val="auto"/>
              </w:rPr>
            </w:pPr>
          </w:p>
        </w:tc>
        <w:tc>
          <w:tcPr>
            <w:tcW w:w="860" w:type="dxa"/>
            <w:vAlign w:val="bottom"/>
            <w:shd w:val="clear" w:color="auto" w:fill="7F7F7F"/>
          </w:tcPr>
          <w:p>
            <w:pPr>
              <w:spacing w:after="0"/>
              <w:rPr>
                <w:sz w:val="4"/>
                <w:szCs w:val="4"/>
                <w:color w:val="auto"/>
              </w:rPr>
            </w:pPr>
          </w:p>
        </w:tc>
        <w:tc>
          <w:tcPr>
            <w:tcW w:w="900" w:type="dxa"/>
            <w:vAlign w:val="bottom"/>
            <w:shd w:val="clear" w:color="auto" w:fill="7F7F7F"/>
          </w:tcPr>
          <w:p>
            <w:pPr>
              <w:spacing w:after="0"/>
              <w:rPr>
                <w:sz w:val="4"/>
                <w:szCs w:val="4"/>
                <w:color w:val="auto"/>
              </w:rPr>
            </w:pPr>
          </w:p>
        </w:tc>
        <w:tc>
          <w:tcPr>
            <w:tcW w:w="500" w:type="dxa"/>
            <w:vAlign w:val="bottom"/>
            <w:shd w:val="clear" w:color="auto" w:fill="7F7F7F"/>
          </w:tcPr>
          <w:p>
            <w:pPr>
              <w:spacing w:after="0"/>
              <w:rPr>
                <w:sz w:val="4"/>
                <w:szCs w:val="4"/>
                <w:color w:val="auto"/>
              </w:rPr>
            </w:pPr>
          </w:p>
        </w:tc>
        <w:tc>
          <w:tcPr>
            <w:tcW w:w="900" w:type="dxa"/>
            <w:vAlign w:val="bottom"/>
            <w:shd w:val="clear" w:color="auto" w:fill="7F7F7F"/>
          </w:tcPr>
          <w:p>
            <w:pPr>
              <w:spacing w:after="0"/>
              <w:rPr>
                <w:sz w:val="4"/>
                <w:szCs w:val="4"/>
                <w:color w:val="auto"/>
              </w:rPr>
            </w:pPr>
          </w:p>
        </w:tc>
        <w:tc>
          <w:tcPr>
            <w:tcW w:w="340" w:type="dxa"/>
            <w:vAlign w:val="bottom"/>
            <w:shd w:val="clear" w:color="auto" w:fill="7F7F7F"/>
          </w:tcPr>
          <w:p>
            <w:pPr>
              <w:spacing w:after="0"/>
              <w:rPr>
                <w:sz w:val="4"/>
                <w:szCs w:val="4"/>
                <w:color w:val="auto"/>
              </w:rPr>
            </w:pPr>
          </w:p>
        </w:tc>
        <w:tc>
          <w:tcPr>
            <w:tcW w:w="960" w:type="dxa"/>
            <w:vAlign w:val="bottom"/>
            <w:shd w:val="clear" w:color="auto" w:fill="7F7F7F"/>
          </w:tcPr>
          <w:p>
            <w:pPr>
              <w:spacing w:after="0"/>
              <w:rPr>
                <w:sz w:val="4"/>
                <w:szCs w:val="4"/>
                <w:color w:val="auto"/>
              </w:rPr>
            </w:pPr>
          </w:p>
        </w:tc>
        <w:tc>
          <w:tcPr>
            <w:tcW w:w="1000" w:type="dxa"/>
            <w:vAlign w:val="bottom"/>
            <w:shd w:val="clear" w:color="auto" w:fill="7F7F7F"/>
          </w:tcPr>
          <w:p>
            <w:pPr>
              <w:spacing w:after="0"/>
              <w:rPr>
                <w:sz w:val="4"/>
                <w:szCs w:val="4"/>
                <w:color w:val="auto"/>
              </w:rPr>
            </w:pPr>
          </w:p>
        </w:tc>
      </w:tr>
    </w:tbl>
    <w:p>
      <w:pPr>
        <w:spacing w:after="0" w:line="153" w:lineRule="exact"/>
        <w:rPr>
          <w:sz w:val="20"/>
          <w:szCs w:val="20"/>
          <w:color w:val="auto"/>
        </w:rPr>
      </w:pPr>
    </w:p>
    <w:p>
      <w:pPr>
        <w:ind w:left="460" w:hanging="355"/>
        <w:spacing w:after="0"/>
        <w:tabs>
          <w:tab w:leader="none" w:pos="4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Other roadway includes grading, bridges and tunnels, signals, buildings, and other road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 Except Estimated Useful Life</w:t>
            </w:r>
          </w:p>
        </w:tc>
        <w:tc>
          <w:tcPr>
            <w:tcW w:w="860" w:type="dxa"/>
            <w:vAlign w:val="bottom"/>
            <w:tcBorders>
              <w:top w:val="single" w:sz="8" w:color="7F7F7F"/>
            </w:tcBorders>
          </w:tcPr>
          <w:p>
            <w:pPr>
              <w:spacing w:after="0"/>
              <w:rPr>
                <w:sz w:val="22"/>
                <w:szCs w:val="22"/>
                <w:color w:val="auto"/>
              </w:rPr>
            </w:pPr>
          </w:p>
        </w:tc>
        <w:tc>
          <w:tcPr>
            <w:tcW w:w="900" w:type="dxa"/>
            <w:vAlign w:val="bottom"/>
            <w:tcBorders>
              <w:top w:val="single" w:sz="8" w:color="7F7F7F"/>
            </w:tcBorders>
          </w:tcPr>
          <w:p>
            <w:pPr>
              <w:spacing w:after="0"/>
              <w:rPr>
                <w:sz w:val="22"/>
                <w:szCs w:val="22"/>
                <w:color w:val="auto"/>
              </w:rPr>
            </w:pPr>
          </w:p>
        </w:tc>
        <w:tc>
          <w:tcPr>
            <w:tcW w:w="1400" w:type="dxa"/>
            <w:vAlign w:val="bottom"/>
            <w:tcBorders>
              <w:top w:val="single" w:sz="8" w:color="7F7F7F"/>
            </w:tcBorders>
            <w:gridSpan w:val="2"/>
          </w:tcPr>
          <w:p>
            <w:pPr>
              <w:jc w:val="right"/>
              <w:ind w:right="99"/>
              <w:spacing w:after="0"/>
              <w:rPr>
                <w:sz w:val="20"/>
                <w:szCs w:val="20"/>
                <w:color w:val="auto"/>
              </w:rPr>
            </w:pPr>
            <w:r>
              <w:rPr>
                <w:rFonts w:ascii="Arial" w:cs="Arial" w:eastAsia="Arial" w:hAnsi="Arial"/>
                <w:sz w:val="16"/>
                <w:szCs w:val="16"/>
                <w:i w:val="1"/>
                <w:iCs w:val="1"/>
                <w:color w:val="auto"/>
              </w:rPr>
              <w:t>Accumulated</w:t>
            </w:r>
          </w:p>
        </w:tc>
        <w:tc>
          <w:tcPr>
            <w:tcW w:w="340" w:type="dxa"/>
            <w:vAlign w:val="bottom"/>
            <w:tcBorders>
              <w:top w:val="single" w:sz="8" w:color="7F7F7F"/>
            </w:tcBorders>
          </w:tcPr>
          <w:p>
            <w:pPr>
              <w:spacing w:after="0"/>
              <w:rPr>
                <w:sz w:val="22"/>
                <w:szCs w:val="22"/>
                <w:color w:val="auto"/>
              </w:rPr>
            </w:pPr>
          </w:p>
        </w:tc>
        <w:tc>
          <w:tcPr>
            <w:tcW w:w="960" w:type="dxa"/>
            <w:vAlign w:val="bottom"/>
            <w:tcBorders>
              <w:top w:val="single" w:sz="8" w:color="7F7F7F"/>
            </w:tcBorders>
          </w:tcPr>
          <w:p>
            <w:pPr>
              <w:jc w:val="right"/>
              <w:ind w:right="159"/>
              <w:spacing w:after="0"/>
              <w:rPr>
                <w:sz w:val="20"/>
                <w:szCs w:val="20"/>
                <w:color w:val="auto"/>
              </w:rPr>
            </w:pPr>
            <w:r>
              <w:rPr>
                <w:rFonts w:ascii="Arial" w:cs="Arial" w:eastAsia="Arial" w:hAnsi="Arial"/>
                <w:sz w:val="16"/>
                <w:szCs w:val="16"/>
                <w:i w:val="1"/>
                <w:iCs w:val="1"/>
                <w:color w:val="auto"/>
              </w:rPr>
              <w:t>Net Book</w:t>
            </w:r>
          </w:p>
        </w:tc>
        <w:tc>
          <w:tcPr>
            <w:tcW w:w="10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Estimated</w:t>
            </w:r>
          </w:p>
        </w:tc>
      </w:tr>
      <w:tr>
        <w:trPr>
          <w:trHeight w:val="197"/>
        </w:trPr>
        <w:tc>
          <w:tcPr>
            <w:tcW w:w="33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As of December 31, 2016</w:t>
            </w:r>
          </w:p>
        </w:tc>
        <w:tc>
          <w:tcPr>
            <w:tcW w:w="86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159"/>
              <w:spacing w:after="0"/>
              <w:rPr>
                <w:sz w:val="20"/>
                <w:szCs w:val="20"/>
                <w:color w:val="auto"/>
              </w:rPr>
            </w:pPr>
            <w:r>
              <w:rPr>
                <w:rFonts w:ascii="Arial" w:cs="Arial" w:eastAsia="Arial" w:hAnsi="Arial"/>
                <w:sz w:val="16"/>
                <w:szCs w:val="16"/>
                <w:i w:val="1"/>
                <w:iCs w:val="1"/>
                <w:color w:val="auto"/>
              </w:rPr>
              <w:t>Cost</w:t>
            </w:r>
          </w:p>
        </w:tc>
        <w:tc>
          <w:tcPr>
            <w:tcW w:w="1400" w:type="dxa"/>
            <w:vAlign w:val="bottom"/>
            <w:tcBorders>
              <w:bottom w:val="single" w:sz="8" w:color="7F7F7F"/>
            </w:tcBorders>
            <w:gridSpan w:val="2"/>
          </w:tcPr>
          <w:p>
            <w:pPr>
              <w:jc w:val="right"/>
              <w:ind w:right="99"/>
              <w:spacing w:after="0"/>
              <w:rPr>
                <w:sz w:val="20"/>
                <w:szCs w:val="20"/>
                <w:color w:val="auto"/>
              </w:rPr>
            </w:pPr>
            <w:r>
              <w:rPr>
                <w:rFonts w:ascii="Arial" w:cs="Arial" w:eastAsia="Arial" w:hAnsi="Arial"/>
                <w:sz w:val="16"/>
                <w:szCs w:val="16"/>
                <w:i w:val="1"/>
                <w:iCs w:val="1"/>
                <w:color w:val="auto"/>
              </w:rPr>
              <w:t>Depreciation</w:t>
            </w:r>
          </w:p>
        </w:tc>
        <w:tc>
          <w:tcPr>
            <w:tcW w:w="340" w:type="dxa"/>
            <w:vAlign w:val="bottom"/>
            <w:tcBorders>
              <w:bottom w:val="single" w:sz="8" w:color="7F7F7F"/>
            </w:tcBorders>
          </w:tcPr>
          <w:p>
            <w:pPr>
              <w:spacing w:after="0"/>
              <w:rPr>
                <w:sz w:val="17"/>
                <w:szCs w:val="17"/>
                <w:color w:val="auto"/>
              </w:rPr>
            </w:pPr>
          </w:p>
        </w:tc>
        <w:tc>
          <w:tcPr>
            <w:tcW w:w="960" w:type="dxa"/>
            <w:vAlign w:val="bottom"/>
            <w:tcBorders>
              <w:bottom w:val="single" w:sz="8" w:color="7F7F7F"/>
            </w:tcBorders>
          </w:tcPr>
          <w:p>
            <w:pPr>
              <w:jc w:val="right"/>
              <w:ind w:right="159"/>
              <w:spacing w:after="0"/>
              <w:rPr>
                <w:sz w:val="20"/>
                <w:szCs w:val="20"/>
                <w:color w:val="auto"/>
              </w:rPr>
            </w:pPr>
            <w:r>
              <w:rPr>
                <w:rFonts w:ascii="Arial" w:cs="Arial" w:eastAsia="Arial" w:hAnsi="Arial"/>
                <w:sz w:val="16"/>
                <w:szCs w:val="16"/>
                <w:i w:val="1"/>
                <w:iCs w:val="1"/>
                <w:color w:val="auto"/>
              </w:rPr>
              <w:t>Value</w:t>
            </w: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Useful Life</w:t>
            </w:r>
          </w:p>
        </w:tc>
      </w:tr>
      <w:tr>
        <w:trPr>
          <w:trHeight w:val="309"/>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5,220</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N/A</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5,220</w:t>
            </w:r>
          </w:p>
        </w:tc>
        <w:tc>
          <w:tcPr>
            <w:tcW w:w="100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200"/>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Road:</w:t>
            </w:r>
          </w:p>
        </w:tc>
        <w:tc>
          <w:tcPr>
            <w:tcW w:w="86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50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960" w:type="dxa"/>
            <w:vAlign w:val="bottom"/>
            <w:tcBorders>
              <w:top w:val="single" w:sz="8" w:color="7F7F7F"/>
            </w:tcBorders>
          </w:tcPr>
          <w:p>
            <w:pPr>
              <w:spacing w:after="0"/>
              <w:rPr>
                <w:sz w:val="17"/>
                <w:szCs w:val="17"/>
                <w:color w:val="auto"/>
              </w:rPr>
            </w:pPr>
          </w:p>
        </w:tc>
        <w:tc>
          <w:tcPr>
            <w:tcW w:w="1000" w:type="dxa"/>
            <w:vAlign w:val="bottom"/>
            <w:tcBorders>
              <w:top w:val="single" w:sz="8" w:color="7F7F7F"/>
            </w:tcBorders>
          </w:tcPr>
          <w:p>
            <w:pPr>
              <w:spacing w:after="0"/>
              <w:rPr>
                <w:sz w:val="17"/>
                <w:szCs w:val="17"/>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Rail and other track material</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15,845</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5,722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10,123</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40</w:t>
            </w:r>
          </w:p>
        </w:tc>
      </w:tr>
      <w:tr>
        <w:trPr>
          <w:trHeight w:val="213"/>
        </w:trPr>
        <w:tc>
          <w:tcPr>
            <w:tcW w:w="3360" w:type="dxa"/>
            <w:vAlign w:val="bottom"/>
          </w:tcPr>
          <w:p>
            <w:pPr>
              <w:ind w:left="100"/>
              <w:spacing w:after="0"/>
              <w:rPr>
                <w:sz w:val="20"/>
                <w:szCs w:val="20"/>
                <w:color w:val="auto"/>
              </w:rPr>
            </w:pPr>
            <w:r>
              <w:rPr>
                <w:rFonts w:ascii="Arial" w:cs="Arial" w:eastAsia="Arial" w:hAnsi="Arial"/>
                <w:sz w:val="16"/>
                <w:szCs w:val="16"/>
                <w:color w:val="auto"/>
              </w:rPr>
              <w:t>Ties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9,812</w:t>
            </w:r>
          </w:p>
        </w:tc>
        <w:tc>
          <w:tcPr>
            <w:tcW w:w="5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2,736</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7,076</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rPr>
              <w:t>33</w:t>
            </w: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Ballast</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5,242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1,430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3,812</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34</w:t>
            </w:r>
          </w:p>
        </w:tc>
      </w:tr>
      <w:tr>
        <w:trPr>
          <w:trHeight w:val="210"/>
        </w:trPr>
        <w:tc>
          <w:tcPr>
            <w:tcW w:w="33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Other roadway [a]</w:t>
            </w:r>
          </w:p>
        </w:tc>
        <w:tc>
          <w:tcPr>
            <w:tcW w:w="8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18,138</w:t>
            </w:r>
          </w:p>
        </w:tc>
        <w:tc>
          <w:tcPr>
            <w:tcW w:w="50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3,226</w:t>
            </w:r>
          </w:p>
        </w:tc>
        <w:tc>
          <w:tcPr>
            <w:tcW w:w="34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14,912</w:t>
            </w:r>
          </w:p>
        </w:tc>
        <w:tc>
          <w:tcPr>
            <w:tcW w:w="1000" w:type="dxa"/>
            <w:vAlign w:val="bottom"/>
            <w:tcBorders>
              <w:bottom w:val="single" w:sz="8" w:color="7F7F7F"/>
            </w:tcBorders>
          </w:tcPr>
          <w:p>
            <w:pPr>
              <w:jc w:val="center"/>
              <w:ind w:left="659"/>
              <w:spacing w:after="0"/>
              <w:rPr>
                <w:sz w:val="20"/>
                <w:szCs w:val="20"/>
                <w:color w:val="auto"/>
              </w:rPr>
            </w:pPr>
            <w:r>
              <w:rPr>
                <w:rFonts w:ascii="Arial" w:cs="Arial" w:eastAsia="Arial" w:hAnsi="Arial"/>
                <w:sz w:val="16"/>
                <w:szCs w:val="16"/>
                <w:color w:val="auto"/>
              </w:rPr>
              <w:t>47</w:t>
            </w:r>
          </w:p>
        </w:tc>
      </w:tr>
      <w:tr>
        <w:trPr>
          <w:trHeight w:val="309"/>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road</w:t>
            </w:r>
          </w:p>
        </w:tc>
        <w:tc>
          <w:tcPr>
            <w:tcW w:w="8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49,037</w:t>
            </w: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13,114</w:t>
            </w: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35,923</w:t>
            </w:r>
          </w:p>
        </w:tc>
        <w:tc>
          <w:tcPr>
            <w:tcW w:w="100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200"/>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Equipment:</w:t>
            </w:r>
          </w:p>
        </w:tc>
        <w:tc>
          <w:tcPr>
            <w:tcW w:w="86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50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960" w:type="dxa"/>
            <w:vAlign w:val="bottom"/>
            <w:tcBorders>
              <w:top w:val="single" w:sz="8" w:color="7F7F7F"/>
            </w:tcBorders>
          </w:tcPr>
          <w:p>
            <w:pPr>
              <w:spacing w:after="0"/>
              <w:rPr>
                <w:sz w:val="17"/>
                <w:szCs w:val="17"/>
                <w:color w:val="auto"/>
              </w:rPr>
            </w:pPr>
          </w:p>
        </w:tc>
        <w:tc>
          <w:tcPr>
            <w:tcW w:w="1000" w:type="dxa"/>
            <w:vAlign w:val="bottom"/>
            <w:tcBorders>
              <w:top w:val="single" w:sz="8" w:color="7F7F7F"/>
            </w:tcBorders>
          </w:tcPr>
          <w:p>
            <w:pPr>
              <w:spacing w:after="0"/>
              <w:rPr>
                <w:sz w:val="17"/>
                <w:szCs w:val="17"/>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Locomotives</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9,692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3,939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5,753</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20</w:t>
            </w:r>
          </w:p>
        </w:tc>
      </w:tr>
      <w:tr>
        <w:trPr>
          <w:trHeight w:val="213"/>
        </w:trPr>
        <w:tc>
          <w:tcPr>
            <w:tcW w:w="3360" w:type="dxa"/>
            <w:vAlign w:val="bottom"/>
          </w:tcPr>
          <w:p>
            <w:pPr>
              <w:ind w:left="100"/>
              <w:spacing w:after="0"/>
              <w:rPr>
                <w:sz w:val="20"/>
                <w:szCs w:val="20"/>
                <w:color w:val="auto"/>
              </w:rPr>
            </w:pPr>
            <w:r>
              <w:rPr>
                <w:rFonts w:ascii="Arial" w:cs="Arial" w:eastAsia="Arial" w:hAnsi="Arial"/>
                <w:sz w:val="16"/>
                <w:szCs w:val="16"/>
                <w:color w:val="auto"/>
              </w:rPr>
              <w:t>Freight cars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2,243</w:t>
            </w:r>
          </w:p>
        </w:tc>
        <w:tc>
          <w:tcPr>
            <w:tcW w:w="5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972</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1,271</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rPr>
              <w:t>24</w:t>
            </w:r>
          </w:p>
        </w:tc>
      </w:tr>
      <w:tr>
        <w:trPr>
          <w:trHeight w:val="213"/>
        </w:trPr>
        <w:tc>
          <w:tcPr>
            <w:tcW w:w="336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Work equipment and other</w:t>
            </w:r>
          </w:p>
        </w:tc>
        <w:tc>
          <w:tcPr>
            <w:tcW w:w="86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right"/>
              <w:ind w:right="199"/>
              <w:spacing w:after="0"/>
              <w:rPr>
                <w:sz w:val="20"/>
                <w:szCs w:val="20"/>
                <w:color w:val="auto"/>
              </w:rPr>
            </w:pPr>
            <w:r>
              <w:rPr>
                <w:rFonts w:ascii="Arial" w:cs="Arial" w:eastAsia="Arial" w:hAnsi="Arial"/>
                <w:sz w:val="16"/>
                <w:szCs w:val="16"/>
                <w:color w:val="auto"/>
              </w:rPr>
              <w:t>905</w:t>
            </w:r>
          </w:p>
        </w:tc>
        <w:tc>
          <w:tcPr>
            <w:tcW w:w="50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right"/>
              <w:ind w:right="139"/>
              <w:spacing w:after="0"/>
              <w:rPr>
                <w:sz w:val="20"/>
                <w:szCs w:val="20"/>
                <w:color w:val="auto"/>
              </w:rPr>
            </w:pPr>
            <w:r>
              <w:rPr>
                <w:rFonts w:ascii="Arial" w:cs="Arial" w:eastAsia="Arial" w:hAnsi="Arial"/>
                <w:sz w:val="16"/>
                <w:szCs w:val="16"/>
                <w:color w:val="auto"/>
              </w:rPr>
              <w:t>232</w:t>
            </w:r>
          </w:p>
        </w:tc>
        <w:tc>
          <w:tcPr>
            <w:tcW w:w="340" w:type="dxa"/>
            <w:vAlign w:val="bottom"/>
            <w:tcBorders>
              <w:bottom w:val="single" w:sz="8" w:color="7F7F7F"/>
            </w:tcBorders>
            <w:shd w:val="clear" w:color="auto" w:fill="CCEEFF"/>
          </w:tcPr>
          <w:p>
            <w:pPr>
              <w:spacing w:after="0"/>
              <w:rPr>
                <w:sz w:val="18"/>
                <w:szCs w:val="18"/>
                <w:color w:val="auto"/>
              </w:rPr>
            </w:pPr>
          </w:p>
        </w:tc>
        <w:tc>
          <w:tcPr>
            <w:tcW w:w="960" w:type="dxa"/>
            <w:vAlign w:val="bottom"/>
            <w:tcBorders>
              <w:bottom w:val="single" w:sz="8" w:color="7F7F7F"/>
            </w:tcBorders>
            <w:shd w:val="clear" w:color="auto" w:fill="CCEEFF"/>
          </w:tcPr>
          <w:p>
            <w:pPr>
              <w:jc w:val="right"/>
              <w:ind w:right="199"/>
              <w:spacing w:after="0"/>
              <w:rPr>
                <w:sz w:val="20"/>
                <w:szCs w:val="20"/>
                <w:color w:val="auto"/>
              </w:rPr>
            </w:pPr>
            <w:r>
              <w:rPr>
                <w:rFonts w:ascii="Arial" w:cs="Arial" w:eastAsia="Arial" w:hAnsi="Arial"/>
                <w:sz w:val="16"/>
                <w:szCs w:val="16"/>
                <w:color w:val="auto"/>
              </w:rPr>
              <w:t>673</w:t>
            </w:r>
          </w:p>
        </w:tc>
        <w:tc>
          <w:tcPr>
            <w:tcW w:w="1000" w:type="dxa"/>
            <w:vAlign w:val="bottom"/>
            <w:tcBorders>
              <w:bottom w:val="single" w:sz="8" w:color="7F7F7F"/>
            </w:tcBorders>
            <w:shd w:val="clear" w:color="auto" w:fill="CCEEFF"/>
          </w:tcPr>
          <w:p>
            <w:pPr>
              <w:jc w:val="center"/>
              <w:ind w:left="659"/>
              <w:spacing w:after="0"/>
              <w:rPr>
                <w:sz w:val="20"/>
                <w:szCs w:val="20"/>
                <w:color w:val="auto"/>
              </w:rPr>
            </w:pPr>
            <w:r>
              <w:rPr>
                <w:rFonts w:ascii="Arial" w:cs="Arial" w:eastAsia="Arial" w:hAnsi="Arial"/>
                <w:sz w:val="16"/>
                <w:szCs w:val="16"/>
                <w:color w:val="auto"/>
              </w:rPr>
              <w:t>19</w:t>
            </w:r>
          </w:p>
        </w:tc>
      </w:tr>
      <w:tr>
        <w:trPr>
          <w:trHeight w:val="251"/>
        </w:trPr>
        <w:tc>
          <w:tcPr>
            <w:tcW w:w="3360" w:type="dxa"/>
            <w:vAlign w:val="bottom"/>
          </w:tcPr>
          <w:p>
            <w:pPr>
              <w:spacing w:after="0"/>
              <w:rPr>
                <w:sz w:val="20"/>
                <w:szCs w:val="20"/>
                <w:color w:val="auto"/>
              </w:rPr>
            </w:pPr>
            <w:r>
              <w:rPr>
                <w:rFonts w:ascii="Arial" w:cs="Arial" w:eastAsia="Arial" w:hAnsi="Arial"/>
                <w:sz w:val="16"/>
                <w:szCs w:val="16"/>
                <w:color w:val="auto"/>
              </w:rPr>
              <w:t>Total equipment</w:t>
            </w:r>
          </w:p>
        </w:tc>
        <w:tc>
          <w:tcPr>
            <w:tcW w:w="86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12,840</w:t>
            </w:r>
          </w:p>
        </w:tc>
        <w:tc>
          <w:tcPr>
            <w:tcW w:w="500" w:type="dxa"/>
            <w:vAlign w:val="bottom"/>
          </w:tcPr>
          <w:p>
            <w:pPr>
              <w:spacing w:after="0"/>
              <w:rPr>
                <w:sz w:val="21"/>
                <w:szCs w:val="21"/>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5,143</w:t>
            </w:r>
          </w:p>
        </w:tc>
        <w:tc>
          <w:tcPr>
            <w:tcW w:w="340" w:type="dxa"/>
            <w:vAlign w:val="bottom"/>
          </w:tcPr>
          <w:p>
            <w:pPr>
              <w:spacing w:after="0"/>
              <w:rPr>
                <w:sz w:val="21"/>
                <w:szCs w:val="21"/>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7,697</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54"/>
        </w:trPr>
        <w:tc>
          <w:tcPr>
            <w:tcW w:w="33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50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other</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974</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412</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562</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11</w:t>
            </w:r>
          </w:p>
        </w:tc>
      </w:tr>
      <w:tr>
        <w:trPr>
          <w:trHeight w:val="210"/>
        </w:trPr>
        <w:tc>
          <w:tcPr>
            <w:tcW w:w="33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Construction in progress</w:t>
            </w:r>
          </w:p>
        </w:tc>
        <w:tc>
          <w:tcPr>
            <w:tcW w:w="8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987</w:t>
            </w:r>
          </w:p>
        </w:tc>
        <w:tc>
          <w:tcPr>
            <w:tcW w:w="50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987</w:t>
            </w:r>
          </w:p>
        </w:tc>
        <w:tc>
          <w:tcPr>
            <w:tcW w:w="1000" w:type="dxa"/>
            <w:vAlign w:val="bottom"/>
            <w:tcBorders>
              <w:bottom w:val="single" w:sz="8" w:color="7F7F7F"/>
            </w:tcBorders>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69,058</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18,669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50,389</w:t>
            </w:r>
          </w:p>
        </w:tc>
        <w:tc>
          <w:tcPr>
            <w:tcW w:w="100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r>
      <w:tr>
        <w:trPr>
          <w:trHeight w:val="54"/>
        </w:trPr>
        <w:tc>
          <w:tcPr>
            <w:tcW w:w="3360" w:type="dxa"/>
            <w:vAlign w:val="bottom"/>
            <w:shd w:val="clear" w:color="auto" w:fill="7F7F7F"/>
          </w:tcPr>
          <w:p>
            <w:pPr>
              <w:spacing w:after="0"/>
              <w:rPr>
                <w:sz w:val="4"/>
                <w:szCs w:val="4"/>
                <w:color w:val="auto"/>
              </w:rPr>
            </w:pPr>
          </w:p>
        </w:tc>
        <w:tc>
          <w:tcPr>
            <w:tcW w:w="860" w:type="dxa"/>
            <w:vAlign w:val="bottom"/>
            <w:shd w:val="clear" w:color="auto" w:fill="7F7F7F"/>
          </w:tcPr>
          <w:p>
            <w:pPr>
              <w:spacing w:after="0"/>
              <w:rPr>
                <w:sz w:val="4"/>
                <w:szCs w:val="4"/>
                <w:color w:val="auto"/>
              </w:rPr>
            </w:pPr>
          </w:p>
        </w:tc>
        <w:tc>
          <w:tcPr>
            <w:tcW w:w="900" w:type="dxa"/>
            <w:vAlign w:val="bottom"/>
            <w:shd w:val="clear" w:color="auto" w:fill="7F7F7F"/>
          </w:tcPr>
          <w:p>
            <w:pPr>
              <w:spacing w:after="0"/>
              <w:rPr>
                <w:sz w:val="4"/>
                <w:szCs w:val="4"/>
                <w:color w:val="auto"/>
              </w:rPr>
            </w:pPr>
          </w:p>
        </w:tc>
        <w:tc>
          <w:tcPr>
            <w:tcW w:w="500" w:type="dxa"/>
            <w:vAlign w:val="bottom"/>
            <w:shd w:val="clear" w:color="auto" w:fill="7F7F7F"/>
          </w:tcPr>
          <w:p>
            <w:pPr>
              <w:spacing w:after="0"/>
              <w:rPr>
                <w:sz w:val="4"/>
                <w:szCs w:val="4"/>
                <w:color w:val="auto"/>
              </w:rPr>
            </w:pPr>
          </w:p>
        </w:tc>
        <w:tc>
          <w:tcPr>
            <w:tcW w:w="900" w:type="dxa"/>
            <w:vAlign w:val="bottom"/>
            <w:shd w:val="clear" w:color="auto" w:fill="7F7F7F"/>
          </w:tcPr>
          <w:p>
            <w:pPr>
              <w:spacing w:after="0"/>
              <w:rPr>
                <w:sz w:val="4"/>
                <w:szCs w:val="4"/>
                <w:color w:val="auto"/>
              </w:rPr>
            </w:pPr>
          </w:p>
        </w:tc>
        <w:tc>
          <w:tcPr>
            <w:tcW w:w="340" w:type="dxa"/>
            <w:vAlign w:val="bottom"/>
            <w:shd w:val="clear" w:color="auto" w:fill="7F7F7F"/>
          </w:tcPr>
          <w:p>
            <w:pPr>
              <w:spacing w:after="0"/>
              <w:rPr>
                <w:sz w:val="4"/>
                <w:szCs w:val="4"/>
                <w:color w:val="auto"/>
              </w:rPr>
            </w:pPr>
          </w:p>
        </w:tc>
        <w:tc>
          <w:tcPr>
            <w:tcW w:w="960" w:type="dxa"/>
            <w:vAlign w:val="bottom"/>
            <w:shd w:val="clear" w:color="auto" w:fill="7F7F7F"/>
          </w:tcPr>
          <w:p>
            <w:pPr>
              <w:spacing w:after="0"/>
              <w:rPr>
                <w:sz w:val="4"/>
                <w:szCs w:val="4"/>
                <w:color w:val="auto"/>
              </w:rPr>
            </w:pPr>
          </w:p>
        </w:tc>
        <w:tc>
          <w:tcPr>
            <w:tcW w:w="1000" w:type="dxa"/>
            <w:vAlign w:val="bottom"/>
            <w:shd w:val="clear" w:color="auto" w:fill="7F7F7F"/>
          </w:tcPr>
          <w:p>
            <w:pPr>
              <w:spacing w:after="0"/>
              <w:rPr>
                <w:sz w:val="4"/>
                <w:szCs w:val="4"/>
                <w:color w:val="auto"/>
              </w:rPr>
            </w:pPr>
          </w:p>
        </w:tc>
      </w:tr>
    </w:tbl>
    <w:p>
      <w:pPr>
        <w:spacing w:after="0" w:line="153" w:lineRule="exact"/>
        <w:rPr>
          <w:sz w:val="20"/>
          <w:szCs w:val="20"/>
          <w:color w:val="auto"/>
        </w:rPr>
      </w:pPr>
    </w:p>
    <w:p>
      <w:pPr>
        <w:ind w:left="460" w:hanging="355"/>
        <w:spacing w:after="0"/>
        <w:tabs>
          <w:tab w:leader="none" w:pos="4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Other roadway includes grading, bridges and tunnels, signals, buildings, and other road assets.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12. Accounts Payable and Other Current Liabilities</w:t>
      </w: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080" w:type="dxa"/>
            <w:vAlign w:val="bottom"/>
            <w:tcBorders>
              <w:top w:val="single" w:sz="8" w:color="7F7F7F"/>
            </w:tcBorders>
          </w:tcPr>
          <w:p>
            <w:pPr>
              <w:spacing w:after="0"/>
              <w:rPr>
                <w:sz w:val="20"/>
                <w:szCs w:val="20"/>
                <w:color w:val="auto"/>
              </w:rPr>
            </w:pPr>
          </w:p>
        </w:tc>
        <w:tc>
          <w:tcPr>
            <w:tcW w:w="1700" w:type="dxa"/>
            <w:vAlign w:val="bottom"/>
            <w:tcBorders>
              <w:top w:val="single" w:sz="8" w:color="7F7F7F"/>
            </w:tcBorders>
          </w:tcPr>
          <w:p>
            <w:pPr>
              <w:spacing w:after="0"/>
              <w:rPr>
                <w:sz w:val="20"/>
                <w:szCs w:val="20"/>
                <w:color w:val="auto"/>
              </w:rPr>
            </w:pPr>
          </w:p>
        </w:tc>
        <w:tc>
          <w:tcPr>
            <w:tcW w:w="940" w:type="dxa"/>
            <w:vAlign w:val="bottom"/>
            <w:tcBorders>
              <w:top w:val="single" w:sz="8" w:color="7F7F7F"/>
            </w:tcBorders>
          </w:tcPr>
          <w:p>
            <w:pPr>
              <w:jc w:val="right"/>
              <w:ind w:right="159"/>
              <w:spacing w:after="0"/>
              <w:rPr>
                <w:sz w:val="20"/>
                <w:szCs w:val="20"/>
                <w:color w:val="auto"/>
              </w:rPr>
            </w:pPr>
            <w:r>
              <w:rPr>
                <w:rFonts w:ascii="Arial" w:cs="Arial" w:eastAsia="Arial" w:hAnsi="Arial"/>
                <w:sz w:val="16"/>
                <w:szCs w:val="16"/>
                <w:b w:val="1"/>
                <w:bCs w:val="1"/>
                <w:i w:val="1"/>
                <w:iCs w:val="1"/>
                <w:color w:val="auto"/>
              </w:rPr>
              <w:t>Jun. 30,</w:t>
            </w:r>
          </w:p>
        </w:tc>
        <w:tc>
          <w:tcPr>
            <w:tcW w:w="420" w:type="dxa"/>
            <w:vAlign w:val="bottom"/>
            <w:tcBorders>
              <w:top w:val="single" w:sz="8" w:color="7F7F7F"/>
            </w:tcBorders>
          </w:tcPr>
          <w:p>
            <w:pPr>
              <w:spacing w:after="0"/>
              <w:rPr>
                <w:sz w:val="20"/>
                <w:szCs w:val="20"/>
                <w:color w:val="auto"/>
              </w:rPr>
            </w:pPr>
          </w:p>
        </w:tc>
        <w:tc>
          <w:tcPr>
            <w:tcW w:w="68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50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170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tcBorders>
          </w:tcPr>
          <w:p>
            <w:pPr>
              <w:jc w:val="right"/>
              <w:ind w:right="219"/>
              <w:spacing w:after="0"/>
              <w:rPr>
                <w:sz w:val="20"/>
                <w:szCs w:val="20"/>
                <w:color w:val="auto"/>
              </w:rPr>
            </w:pPr>
            <w:r>
              <w:rPr>
                <w:rFonts w:ascii="Arial" w:cs="Arial" w:eastAsia="Arial" w:hAnsi="Arial"/>
                <w:sz w:val="16"/>
                <w:szCs w:val="16"/>
                <w:b w:val="1"/>
                <w:bCs w:val="1"/>
                <w:i w:val="1"/>
                <w:iCs w:val="1"/>
                <w:color w:val="auto"/>
              </w:rPr>
              <w:t>2017</w:t>
            </w:r>
          </w:p>
        </w:tc>
        <w:tc>
          <w:tcPr>
            <w:tcW w:w="42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828</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Income and other taxes payable</w:t>
            </w:r>
          </w:p>
        </w:tc>
        <w:tc>
          <w:tcPr>
            <w:tcW w:w="170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523</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1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Accrued wages and vacation</w:t>
            </w: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385</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Interest payable</w:t>
            </w:r>
          </w:p>
        </w:tc>
        <w:tc>
          <w:tcPr>
            <w:tcW w:w="170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205</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Accrued casualty costs</w:t>
            </w: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203</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Equipment rents payable</w:t>
            </w:r>
          </w:p>
        </w:tc>
        <w:tc>
          <w:tcPr>
            <w:tcW w:w="170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105</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0"/>
        </w:trPr>
        <w:tc>
          <w:tcPr>
            <w:tcW w:w="50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1700" w:type="dxa"/>
            <w:vAlign w:val="bottom"/>
            <w:tcBorders>
              <w:bottom w:val="single" w:sz="8" w:color="7F7F7F"/>
            </w:tcBorders>
            <w:shd w:val="clear" w:color="auto" w:fill="CCEEFF"/>
          </w:tcPr>
          <w:p>
            <w:pPr>
              <w:spacing w:after="0"/>
              <w:rPr>
                <w:sz w:val="18"/>
                <w:szCs w:val="18"/>
                <w:color w:val="auto"/>
              </w:rPr>
            </w:pPr>
          </w:p>
        </w:tc>
        <w:tc>
          <w:tcPr>
            <w:tcW w:w="940" w:type="dxa"/>
            <w:vAlign w:val="bottom"/>
            <w:tcBorders>
              <w:bottom w:val="single" w:sz="8" w:color="7F7F7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626</w:t>
            </w:r>
          </w:p>
        </w:tc>
        <w:tc>
          <w:tcPr>
            <w:tcW w:w="420" w:type="dxa"/>
            <w:vAlign w:val="bottom"/>
            <w:tcBorders>
              <w:bottom w:val="single" w:sz="8" w:color="7F7F7F"/>
            </w:tcBorders>
            <w:shd w:val="clear" w:color="auto" w:fill="CCEEFF"/>
          </w:tcPr>
          <w:p>
            <w:pPr>
              <w:spacing w:after="0"/>
              <w:rPr>
                <w:sz w:val="18"/>
                <w:szCs w:val="18"/>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37"/>
        </w:trPr>
        <w:tc>
          <w:tcPr>
            <w:tcW w:w="5080" w:type="dxa"/>
            <w:vAlign w:val="bottom"/>
          </w:tcPr>
          <w:p>
            <w:pPr>
              <w:spacing w:after="0"/>
              <w:rPr>
                <w:sz w:val="20"/>
                <w:szCs w:val="20"/>
                <w:color w:val="auto"/>
              </w:rPr>
            </w:pPr>
            <w:r>
              <w:rPr>
                <w:rFonts w:ascii="Arial" w:cs="Arial" w:eastAsia="Arial" w:hAnsi="Arial"/>
                <w:sz w:val="16"/>
                <w:szCs w:val="16"/>
                <w:color w:val="auto"/>
              </w:rPr>
              <w:t>Total accounts payable and other current liabilities</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2,875</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81"/>
        </w:trPr>
        <w:tc>
          <w:tcPr>
            <w:tcW w:w="5080" w:type="dxa"/>
            <w:vAlign w:val="bottom"/>
            <w:tcBorders>
              <w:bottom w:val="single" w:sz="8" w:color="7F7F7F"/>
            </w:tcBorders>
          </w:tcPr>
          <w:p>
            <w:pPr>
              <w:spacing w:after="0"/>
              <w:rPr>
                <w:sz w:val="7"/>
                <w:szCs w:val="7"/>
                <w:color w:val="auto"/>
              </w:rPr>
            </w:pPr>
          </w:p>
        </w:tc>
        <w:tc>
          <w:tcPr>
            <w:tcW w:w="1700" w:type="dxa"/>
            <w:vAlign w:val="bottom"/>
            <w:tcBorders>
              <w:bottom w:val="single" w:sz="8" w:color="7F7F7F"/>
            </w:tcBorders>
          </w:tcPr>
          <w:p>
            <w:pPr>
              <w:spacing w:after="0"/>
              <w:rPr>
                <w:sz w:val="7"/>
                <w:szCs w:val="7"/>
                <w:color w:val="auto"/>
              </w:rPr>
            </w:pPr>
          </w:p>
        </w:tc>
        <w:tc>
          <w:tcPr>
            <w:tcW w:w="940" w:type="dxa"/>
            <w:vAlign w:val="bottom"/>
            <w:tcBorders>
              <w:bottom w:val="single" w:sz="8" w:color="7F7F7F"/>
            </w:tcBorders>
          </w:tcPr>
          <w:p>
            <w:pPr>
              <w:spacing w:after="0"/>
              <w:rPr>
                <w:sz w:val="7"/>
                <w:szCs w:val="7"/>
                <w:color w:val="auto"/>
              </w:rPr>
            </w:pPr>
          </w:p>
        </w:tc>
        <w:tc>
          <w:tcPr>
            <w:tcW w:w="420" w:type="dxa"/>
            <w:vAlign w:val="bottom"/>
            <w:tcBorders>
              <w:bottom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13. Financial Instruments</w:t>
      </w:r>
    </w:p>
    <w:p>
      <w:pPr>
        <w:spacing w:after="0" w:line="144"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The Company’s short-term investments consist of time deposits ($90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2017). These investments are considered level 2 investments and are valued at amortized cost, which approximates fair value. All short-term investments have a maturity of less than one year and are classified as held-to-maturity. There were no transfers out of Level 2 during the six months ended June 30, 2017.</w:t>
      </w:r>
    </w:p>
    <w:p>
      <w:pPr>
        <w:spacing w:after="0" w:line="113"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price model, which utilizes applicable U.S. Treasury rates along with current market quotes on comparable debt securities. All of the inputs used to determine the fair market value of the Corporation’s long-term debt are Level 2 inputs and obtained from an independent source. At June 30, 2017, the fair value of total debt was $16.8 billion, approximately $1.0 billion more than the carrying value. At December 31, 2016, the fair value of total debt was $ 15.9 billion, approximately $0.9 billion more than the carrying value. The fair value of the Corporation’s debt is a measure of its current value under present market conditions. It does not impact the financial statements under current accounting rules. At both June 30, 2017, and December 31, 2016, approximately $155 million of debt securities contained call provisions that allow us to retire the debt instruments prior to final maturity, with the payment of fixed call premiums, or in certain cases, at par. The fair value of our cash equivalents approximates their carrying value due to the short-term maturities of these instruments.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14. Debt</w:t>
      </w:r>
    </w:p>
    <w:p>
      <w:pPr>
        <w:spacing w:after="0" w:line="144"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June 30, 2017, we had $1.7 billion of credit available under our revolving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designated for general corporate purposes and supports the issuance of commercial paper. We did not draw on the facility during the six months ended June 30, 2017. Commitment fees and interest rates payable under the facility are similar to fees and rates available to comparably rated, investment-grade borrowers. The facility allows for borrowings at floating rates based on London Interbank Offered Rates, plus a spread, depending upon credit ratings for our senior unsecured debt. The facility matures in May 2019 under a five-year term and requires UPC to maintain a debt-to-net-worth coverage ratio.</w:t>
      </w:r>
    </w:p>
    <w:p>
      <w:pPr>
        <w:spacing w:after="0" w:line="135"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The definition of debt used for purposes of calculating the debt-to-net-worth coverage ratio includes, among other things, certain credit arrangements, capital leases, guarantees and unfunded and vested pension benefits under Title IV of ERISA. At June 30, 2017, the Company was in compliance with the debt-to-net-worth coverage ratio, which allows us to carry up to $39.2 billion of debt (as defined in the facility), and we had $15.8 billion of debt (as defined in the facility) outstanding at that date. Under our current financial plans, we expect to continue to satisfy the debt-to-net-worth coverage ratio; however, many factors beyond our reasonable control could affect our ability to comply with this provision in the future. The facility does not include any other financial restrictions, credit rating triggers (other than rating-dependent pricing), or any other provision that could require us to post collateral. The facility also includes a $125 million cross-default provision and a change-of-control provision.</w:t>
      </w:r>
    </w:p>
    <w:p>
      <w:pPr>
        <w:spacing w:after="0" w:line="13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During the three and six months ended June 30, 2017, we did not issue or repay any commercial paper, and at June 30, 2017, we had no commercial paper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114" w:lineRule="exact"/>
        <w:rPr>
          <w:sz w:val="20"/>
          <w:szCs w:val="20"/>
          <w:color w:val="auto"/>
        </w:rPr>
      </w:pPr>
    </w:p>
    <w:p>
      <w:pPr>
        <w:jc w:val="both"/>
        <w:ind w:left="100" w:right="99"/>
        <w:spacing w:after="0" w:line="221"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In 2016,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reauthorized the issuance of up to $4.0 billion of debt securities. Under our shelf registration, we may issue, from time to time, any combination of debt securities, preferred stock, common stock, or warrants for debt securities or preferred stock in one or more offerings.</w:t>
      </w:r>
    </w:p>
    <w:p>
      <w:pPr>
        <w:spacing w:after="0" w:line="137"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During the six months ended June 30, 2017, we issued the following unsecured, fixed-rate debt securities under our current shelf registration:</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402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6"/>
                <w:szCs w:val="16"/>
                <w:i w:val="1"/>
                <w:iCs w:val="1"/>
                <w:color w:val="auto"/>
              </w:rPr>
              <w:t>Date</w:t>
            </w:r>
          </w:p>
        </w:tc>
        <w:tc>
          <w:tcPr>
            <w:tcW w:w="480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6"/>
                <w:szCs w:val="16"/>
                <w:i w:val="1"/>
                <w:iCs w:val="1"/>
                <w:color w:val="auto"/>
              </w:rPr>
              <w:t>Description of Securities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April 5, 2017</w:t>
            </w: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$500 million of 3.000% Notes due April 15, 2027</w:t>
            </w:r>
          </w:p>
        </w:tc>
      </w:tr>
      <w:tr>
        <w:trPr>
          <w:trHeight w:val="223"/>
        </w:trPr>
        <w:tc>
          <w:tcPr>
            <w:tcW w:w="4020" w:type="dxa"/>
            <w:vAlign w:val="bottom"/>
            <w:tcBorders>
              <w:bottom w:val="single" w:sz="8" w:color="7F7F7F"/>
            </w:tcBorders>
          </w:tcPr>
          <w:p>
            <w:pPr>
              <w:spacing w:after="0"/>
              <w:rPr>
                <w:sz w:val="19"/>
                <w:szCs w:val="19"/>
                <w:color w:val="auto"/>
              </w:rPr>
            </w:pPr>
          </w:p>
        </w:tc>
        <w:tc>
          <w:tcPr>
            <w:tcW w:w="480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$500 million of 4.000% Notes due April 15, 2047</w:t>
            </w: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used the net proceeds from this offering for general corporate purposes, including the repurchase of common stock pursuant to our share repurchase program. These debt securities include change-of-control provisions. At June 30, 2017, we had remaining authority to issue up to $2.55 billion of debt securities under our shelf registration.</w:t>
      </w:r>
    </w:p>
    <w:p>
      <w:pPr>
        <w:spacing w:after="0" w:line="114" w:lineRule="exact"/>
        <w:rPr>
          <w:sz w:val="20"/>
          <w:szCs w:val="20"/>
          <w:color w:val="auto"/>
        </w:rPr>
      </w:pPr>
    </w:p>
    <w:p>
      <w:pPr>
        <w:jc w:val="both"/>
        <w:ind w:left="100" w:right="99"/>
        <w:spacing w:after="0" w:line="228"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June 30, 2017, and December 31, 2016, we recorded $200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$0, respectively, of borrowings under our Receivables Facility as secured debt. (See further discussion of our receivables securitization facility in Note 10).</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15. Variable Interest Entities</w:t>
      </w:r>
    </w:p>
    <w:p>
      <w:pPr>
        <w:spacing w:after="0" w:line="16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We have entered into various lease transactions in which the structure of the leases contain variable interest entities (VIEs). These VIEs were created solely for the purpose of doing lease transactions (principally involving railroad equipment and facilities) and have no other activities, assets or liabilities outside of the lease transactions. Within these lease arrangements, we have the right to purchase some or all of the assets at fixed prices. Depending on market conditions, fixed-price purchase options available in the leases could potentially provide benefits to us; however, these benefits are not expected to be significant.</w:t>
      </w:r>
    </w:p>
    <w:p>
      <w:pPr>
        <w:spacing w:after="0" w:line="137"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We maintain and operate the assets based on contractual obligations within the lease arrangements, which set specific guidelines consistent within the railroad industry. As such, we have no control over activities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that could materially impact the fair value of the leased assets. We do not hold the power to direct the activities of the VIEs and, therefore, do not control the ongoing activities that have a significant impact on the economic performance of the VIEs. Additionally, we do not have the obligation to absorb losses of the VIEs or the right to receive benefits of the VIEs that could potentially be significant to the VIEs.</w:t>
      </w:r>
    </w:p>
    <w:p>
      <w:pPr>
        <w:spacing w:after="0" w:line="13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are not considered to be the primary beneficiary and do not consolidate these VIEs because our actions and decisions do not have the most significant effect on the VIE’s performance and our fixed-price purchase options are not considered to be potentially significant to the VIEs. The future minimum lease payments associated with the VIE leases totaled $2 billion as of June 30, 2017.</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16. Commitments and Contingencies</w:t>
      </w:r>
    </w:p>
    <w:p>
      <w:pPr>
        <w:spacing w:after="0" w:line="144"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We cannot fully determine the effect of all asserted and unasserted claims on our consolidated results of operations, financial condition, or liquidity. To the extent possible, we have recorded a liability where asserted and unasserted claims are considered probable and where such claims can be reasonably estimated. We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13"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cost of personal injuries to employees and others related to our activities is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based on estimates of the ultimate cost and number of incidents each year. We use an actuarial analysis to measure the expense and liability, including unasserted claims. The Federal Employers’ Liability Act (FELA) governs compensation for work-related accidents. Under FELA, damages are assessed based on a finding of fault through litigation or out-of-court settlements. We offer a comprehensive variety of services and rehabilitation programs for employees who are injured at work.</w:t>
      </w:r>
    </w:p>
    <w:p>
      <w:pPr>
        <w:spacing w:after="0" w:line="138"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Our personal injury liability is not discounted to present value due to the uncertainty surrounding the timing of future payments. Approximately 95% of the recorded liability is related to asserted claims and approximately 5% is related to unasserted claims at June 30, 2017. Because of the uncertainty surrounding the ultimate outcome of personal injury claims, it is reasonably possible that future costs to settle these claims may range from approximately $285 million to $310 million. We record an accrual at the low end of the range as no amount of loss within the range is more probable than any other. Estimates can vary over time due to evolving trends in litigation.</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personal injury liability activity was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0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16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7F7F7F"/>
            </w:tcBorders>
          </w:tcPr>
          <w:p>
            <w:pPr>
              <w:spacing w:after="0"/>
              <w:rPr>
                <w:sz w:val="22"/>
                <w:szCs w:val="22"/>
                <w:color w:val="auto"/>
              </w:rPr>
            </w:pPr>
          </w:p>
        </w:tc>
        <w:tc>
          <w:tcPr>
            <w:tcW w:w="5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0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216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290</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20"/>
                <w:szCs w:val="20"/>
                <w:color w:val="auto"/>
              </w:rPr>
            </w:pPr>
            <w:r>
              <w:rPr>
                <w:rFonts w:ascii="Arial" w:cs="Arial" w:eastAsia="Arial" w:hAnsi="Arial"/>
                <w:sz w:val="16"/>
                <w:szCs w:val="16"/>
                <w:color w:val="auto"/>
              </w:rPr>
              <w:t>Current year accruals</w:t>
            </w:r>
          </w:p>
        </w:tc>
        <w:tc>
          <w:tcPr>
            <w:tcW w:w="216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38</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Changes in estimates for prior years</w:t>
            </w:r>
          </w:p>
        </w:tc>
        <w:tc>
          <w:tcPr>
            <w:tcW w:w="2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Payments</w:t>
            </w:r>
          </w:p>
        </w:tc>
        <w:tc>
          <w:tcPr>
            <w:tcW w:w="216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(40)</w:t>
            </w:r>
          </w:p>
        </w:tc>
        <w:tc>
          <w:tcPr>
            <w:tcW w:w="3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0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 at June 30</w:t>
            </w:r>
          </w:p>
        </w:tc>
        <w:tc>
          <w:tcPr>
            <w:tcW w:w="2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285</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7"/>
        </w:trPr>
        <w:tc>
          <w:tcPr>
            <w:tcW w:w="50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Current portion, ending balance at June 30</w:t>
            </w:r>
          </w:p>
        </w:tc>
        <w:tc>
          <w:tcPr>
            <w:tcW w:w="216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69</w:t>
            </w:r>
          </w:p>
        </w:tc>
        <w:tc>
          <w:tcPr>
            <w:tcW w:w="38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81"/>
        </w:trPr>
        <w:tc>
          <w:tcPr>
            <w:tcW w:w="5000" w:type="dxa"/>
            <w:vAlign w:val="bottom"/>
            <w:tcBorders>
              <w:bottom w:val="single" w:sz="8" w:color="7F7F7F"/>
            </w:tcBorders>
          </w:tcPr>
          <w:p>
            <w:pPr>
              <w:spacing w:after="0"/>
              <w:rPr>
                <w:sz w:val="7"/>
                <w:szCs w:val="7"/>
                <w:color w:val="auto"/>
              </w:rPr>
            </w:pPr>
          </w:p>
        </w:tc>
        <w:tc>
          <w:tcPr>
            <w:tcW w:w="216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380" w:type="dxa"/>
            <w:vAlign w:val="bottom"/>
            <w:tcBorders>
              <w:bottom w:val="single" w:sz="8" w:color="7F7F7F"/>
            </w:tcBorders>
          </w:tcPr>
          <w:p>
            <w:pPr>
              <w:spacing w:after="0"/>
              <w:rPr>
                <w:sz w:val="7"/>
                <w:szCs w:val="7"/>
                <w:color w:val="auto"/>
              </w:rPr>
            </w:pPr>
          </w:p>
        </w:tc>
        <w:tc>
          <w:tcPr>
            <w:tcW w:w="58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have insurance coverage for a portion of the costs incurred to resolve personal injury-related claims, and we have recognized an asset for estimated insurance recoveries at June 30, 2017, and December 31, 2016. Any changes to recorded insurance recoveries are included in the above table in the Changes in estimates for prior years category.</w:t>
      </w:r>
    </w:p>
    <w:p>
      <w:pPr>
        <w:spacing w:after="0" w:line="114"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18"/>
          <w:szCs w:val="18"/>
          <w:b w:val="1"/>
          <w:bCs w:val="1"/>
          <w:color w:val="auto"/>
        </w:rPr>
        <w:t xml:space="preserve">Asbestos </w:t>
      </w:r>
      <w:r>
        <w:rPr>
          <w:rFonts w:ascii="Arial" w:cs="Arial" w:eastAsia="Arial" w:hAnsi="Arial"/>
          <w:sz w:val="18"/>
          <w:szCs w:val="18"/>
          <w:color w:val="auto"/>
        </w:rPr>
        <w:t>– We are a defendant in a number of lawsuits in which current and former employees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allege exposure to asbestos. We assess our potential liability using a statistical analysis of resolution costs for asbestos-related claims. This liability is updated annually and excludes future defense and processing costs. The liability for resolving both asserted and unasserted claims was based on the following assumptions: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ind w:left="760" w:right="99" w:hanging="331"/>
        <w:spacing w:after="0"/>
        <w:tabs>
          <w:tab w:leader="none" w:pos="76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The ratio of future claims by alleged disease would be consistent with historical averages adjusted for inflation.</w:t>
      </w:r>
    </w:p>
    <w:p>
      <w:pPr>
        <w:spacing w:after="0" w:line="52" w:lineRule="exact"/>
        <w:rPr>
          <w:rFonts w:ascii="Arial" w:cs="Arial" w:eastAsia="Arial" w:hAnsi="Arial"/>
          <w:sz w:val="26"/>
          <w:szCs w:val="26"/>
          <w:color w:val="auto"/>
          <w:vertAlign w:val="superscript"/>
        </w:rPr>
      </w:pPr>
    </w:p>
    <w:p>
      <w:pPr>
        <w:ind w:left="760" w:hanging="331"/>
        <w:spacing w:after="0" w:line="192" w:lineRule="auto"/>
        <w:tabs>
          <w:tab w:leader="none" w:pos="760" w:val="left"/>
        </w:tabs>
        <w:numPr>
          <w:ilvl w:val="0"/>
          <w:numId w:val="10"/>
        </w:numPr>
        <w:rPr>
          <w:rFonts w:ascii="Arial" w:cs="Arial" w:eastAsia="Arial" w:hAnsi="Arial"/>
          <w:sz w:val="19"/>
          <w:szCs w:val="19"/>
          <w:color w:val="auto"/>
          <w:vertAlign w:val="superscript"/>
        </w:rPr>
      </w:pPr>
      <w:r>
        <w:rPr>
          <w:rFonts w:ascii="Arial" w:cs="Arial" w:eastAsia="Arial" w:hAnsi="Arial"/>
          <w:sz w:val="13"/>
          <w:szCs w:val="13"/>
          <w:color w:val="auto"/>
        </w:rPr>
        <w:t>The number of claims filed against us will decline each year.</w:t>
      </w:r>
    </w:p>
    <w:p>
      <w:pPr>
        <w:ind w:left="760" w:right="99" w:hanging="331"/>
        <w:spacing w:after="0"/>
        <w:tabs>
          <w:tab w:leader="none" w:pos="76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The average settlement values for asserted and unasserted claims will be equivalent to historical averages.</w:t>
      </w:r>
    </w:p>
    <w:p>
      <w:pPr>
        <w:spacing w:after="0" w:line="29" w:lineRule="exact"/>
        <w:rPr>
          <w:rFonts w:ascii="Arial" w:cs="Arial" w:eastAsia="Arial" w:hAnsi="Arial"/>
          <w:sz w:val="28"/>
          <w:szCs w:val="28"/>
          <w:color w:val="auto"/>
          <w:vertAlign w:val="superscript"/>
        </w:rPr>
      </w:pPr>
    </w:p>
    <w:p>
      <w:pPr>
        <w:ind w:left="760" w:hanging="331"/>
        <w:spacing w:after="0" w:line="181" w:lineRule="auto"/>
        <w:tabs>
          <w:tab w:leader="none" w:pos="7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The percentage of claims dismissed in the future will be equivalent to historical averages.</w:t>
      </w:r>
    </w:p>
    <w:p>
      <w:pPr>
        <w:spacing w:after="0" w:line="134"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Our liability for asbestos-related claims is not discounted to present value due to the uncertainty surrounding the timing of future payments. Approximately 19% of the recorded liability related to asserted claims and approximately 81% related to unasserted claims at June 30, 2017.</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asbestos-related liability activity was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0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16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7F7F7F"/>
            </w:tcBorders>
          </w:tcPr>
          <w:p>
            <w:pPr>
              <w:spacing w:after="0"/>
              <w:rPr>
                <w:sz w:val="22"/>
                <w:szCs w:val="22"/>
                <w:color w:val="auto"/>
              </w:rPr>
            </w:pPr>
          </w:p>
        </w:tc>
        <w:tc>
          <w:tcPr>
            <w:tcW w:w="5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0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216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111</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20"/>
                <w:szCs w:val="20"/>
                <w:color w:val="auto"/>
              </w:rPr>
            </w:pPr>
            <w:r>
              <w:rPr>
                <w:rFonts w:ascii="Arial" w:cs="Arial" w:eastAsia="Arial" w:hAnsi="Arial"/>
                <w:sz w:val="16"/>
                <w:szCs w:val="16"/>
                <w:color w:val="auto"/>
              </w:rPr>
              <w:t>Accruals</w:t>
            </w:r>
          </w:p>
        </w:tc>
        <w:tc>
          <w:tcPr>
            <w:tcW w:w="21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Payments</w:t>
            </w:r>
          </w:p>
        </w:tc>
        <w:tc>
          <w:tcPr>
            <w:tcW w:w="21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w:t>
            </w:r>
          </w:p>
        </w:tc>
        <w:tc>
          <w:tcPr>
            <w:tcW w:w="380" w:type="dxa"/>
            <w:vAlign w:val="bottom"/>
            <w:tcBorders>
              <w:bottom w:val="single" w:sz="8" w:color="7F7F7F"/>
            </w:tcBorders>
            <w:shd w:val="clear" w:color="auto" w:fill="CCEEFF"/>
          </w:tcPr>
          <w:p>
            <w:pPr>
              <w:spacing w:after="0"/>
              <w:rPr>
                <w:sz w:val="18"/>
                <w:szCs w:val="18"/>
                <w:color w:val="auto"/>
              </w:rPr>
            </w:pP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6"/>
                <w:szCs w:val="16"/>
                <w:color w:val="auto"/>
              </w:rPr>
              <w:t>Ending balance at June 30</w:t>
            </w:r>
          </w:p>
        </w:tc>
        <w:tc>
          <w:tcPr>
            <w:tcW w:w="21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102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54"/>
        </w:trPr>
        <w:tc>
          <w:tcPr>
            <w:tcW w:w="500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portion, ending balance at June 30</w:t>
            </w:r>
          </w:p>
        </w:tc>
        <w:tc>
          <w:tcPr>
            <w:tcW w:w="2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54"/>
        </w:trPr>
        <w:tc>
          <w:tcPr>
            <w:tcW w:w="5000" w:type="dxa"/>
            <w:vAlign w:val="bottom"/>
            <w:shd w:val="clear" w:color="auto" w:fill="7F7F7F"/>
          </w:tcPr>
          <w:p>
            <w:pPr>
              <w:spacing w:after="0"/>
              <w:rPr>
                <w:sz w:val="4"/>
                <w:szCs w:val="4"/>
                <w:color w:val="auto"/>
              </w:rPr>
            </w:pPr>
          </w:p>
        </w:tc>
        <w:tc>
          <w:tcPr>
            <w:tcW w:w="2160" w:type="dxa"/>
            <w:vAlign w:val="bottom"/>
            <w:shd w:val="clear" w:color="auto" w:fill="7F7F7F"/>
          </w:tcPr>
          <w:p>
            <w:pPr>
              <w:spacing w:after="0"/>
              <w:rPr>
                <w:sz w:val="4"/>
                <w:szCs w:val="4"/>
                <w:color w:val="auto"/>
              </w:rPr>
            </w:pPr>
          </w:p>
        </w:tc>
        <w:tc>
          <w:tcPr>
            <w:tcW w:w="70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We have insurance coverage for a portion of the costs incurred to resolve asbestos-related claims, and we have recognized an asset for estimated insurance recoveries at June 30, 2017, and December 31, 2016.</w:t>
      </w:r>
    </w:p>
    <w:p>
      <w:pPr>
        <w:spacing w:after="0" w:line="135"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color w:val="auto"/>
        </w:rPr>
        <w:t>We believe that our estimates of liability for asbestos-related claims and insurance recoveries are reasonable and probable. The amounts recorded for asbestos-related liabilities and related insurance recoveries were based on currently known facts. However, future events, such as the number of new claims filed each year, average settlement costs, and insurance coverage issues, could cause the actual costs and insurance recoveries to be higher or lower than the projected amounts. Estimates also may vary in the future if strategies, activities, and outcomes of asbestos litigation materially change; federal and state laws governing asbestos litigation increase or decrease the probability or amount of compensation of claimants; and there are material changes with respect to payments made to claimants by other defendants.</w:t>
      </w:r>
    </w:p>
    <w:p>
      <w:pPr>
        <w:spacing w:after="0" w:line="116"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identified 304 sites at which we are or may be liable for remediation costs associated with alleged contamination or for violations of environmental requirements. This includes 32 sites that are the subject of actions taken by the U.S. government, 20 of which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35"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When we identify an environmental issue with respect to property owned, leased, or otherwise used in our business, we perform, with assistance of our consultants, environmental assessments on the property. We expense the cost of the assessments as incurred. We accrue the cost of remediation where our obligation is probable and such costs can be reasonably estimated. Our environmental liability is not discounted to present value due to the uncertainty surrounding the timing of future payments.</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environmental liability activity was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0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16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7F7F7F"/>
            </w:tcBorders>
          </w:tcPr>
          <w:p>
            <w:pPr>
              <w:spacing w:after="0"/>
              <w:rPr>
                <w:sz w:val="22"/>
                <w:szCs w:val="22"/>
                <w:color w:val="auto"/>
              </w:rPr>
            </w:pPr>
          </w:p>
        </w:tc>
        <w:tc>
          <w:tcPr>
            <w:tcW w:w="5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0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216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212</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20"/>
                <w:szCs w:val="20"/>
                <w:color w:val="auto"/>
              </w:rPr>
            </w:pPr>
            <w:r>
              <w:rPr>
                <w:rFonts w:ascii="Arial" w:cs="Arial" w:eastAsia="Arial" w:hAnsi="Arial"/>
                <w:sz w:val="16"/>
                <w:szCs w:val="16"/>
                <w:color w:val="auto"/>
              </w:rPr>
              <w:t>Accruals</w:t>
            </w:r>
          </w:p>
        </w:tc>
        <w:tc>
          <w:tcPr>
            <w:tcW w:w="216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18</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Payments</w:t>
            </w:r>
          </w:p>
        </w:tc>
        <w:tc>
          <w:tcPr>
            <w:tcW w:w="21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w:t>
            </w:r>
          </w:p>
        </w:tc>
        <w:tc>
          <w:tcPr>
            <w:tcW w:w="380" w:type="dxa"/>
            <w:vAlign w:val="bottom"/>
            <w:tcBorders>
              <w:bottom w:val="single" w:sz="8" w:color="7F7F7F"/>
            </w:tcBorders>
            <w:shd w:val="clear" w:color="auto" w:fill="CCEEFF"/>
          </w:tcPr>
          <w:p>
            <w:pPr>
              <w:spacing w:after="0"/>
              <w:rPr>
                <w:sz w:val="18"/>
                <w:szCs w:val="18"/>
                <w:color w:val="auto"/>
              </w:rPr>
            </w:pP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6"/>
                <w:szCs w:val="16"/>
                <w:color w:val="auto"/>
              </w:rPr>
              <w:t>Ending balance at June 30</w:t>
            </w:r>
          </w:p>
        </w:tc>
        <w:tc>
          <w:tcPr>
            <w:tcW w:w="21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204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54"/>
        </w:trPr>
        <w:tc>
          <w:tcPr>
            <w:tcW w:w="500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portion, ending balance at June 30</w:t>
            </w:r>
          </w:p>
        </w:tc>
        <w:tc>
          <w:tcPr>
            <w:tcW w:w="2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56</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54"/>
        </w:trPr>
        <w:tc>
          <w:tcPr>
            <w:tcW w:w="5000" w:type="dxa"/>
            <w:vAlign w:val="bottom"/>
            <w:shd w:val="clear" w:color="auto" w:fill="7F7F7F"/>
          </w:tcPr>
          <w:p>
            <w:pPr>
              <w:spacing w:after="0"/>
              <w:rPr>
                <w:sz w:val="4"/>
                <w:szCs w:val="4"/>
                <w:color w:val="auto"/>
              </w:rPr>
            </w:pPr>
          </w:p>
        </w:tc>
        <w:tc>
          <w:tcPr>
            <w:tcW w:w="2160" w:type="dxa"/>
            <w:vAlign w:val="bottom"/>
            <w:shd w:val="clear" w:color="auto" w:fill="7F7F7F"/>
          </w:tcPr>
          <w:p>
            <w:pPr>
              <w:spacing w:after="0"/>
              <w:rPr>
                <w:sz w:val="4"/>
                <w:szCs w:val="4"/>
                <w:color w:val="auto"/>
              </w:rPr>
            </w:pPr>
          </w:p>
        </w:tc>
        <w:tc>
          <w:tcPr>
            <w:tcW w:w="70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115"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 The Company has a consolidated, wholly-owned captive insurance subsidiary (the captive),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insurance coverage for certain risks including FELA claims and property coverage which are subject to reinsurance. The captive entered into annual reinsurance treaty agreements that insure workers compensation, general liability, auto liability and FELA risk. The captive cedes a portion of its FELA exposure through the treaty and assumes a proportionate share of the entire risk. The captive receives direct premiums, which are netted against the Company’s premium costs in other expenses in the Condensed Consolidated Statements of Income. The treaty agreements provide for certain protections against the risk of treaty participants’ non-performance, and we do not believe our exposure to treaty participants’ non-performance is material at this time. In the event the Company leaves the reinsurance program, the Company is not relieved of its primary obligation to the policyholders for activity prior to the termination of the treaty agreements. We record both liabilities and reinsurance receivables using an actuarial analysis based on historical experience in our Condensed Consolidated Statements of Financial Position.</w:t>
      </w:r>
    </w:p>
    <w:p>
      <w:pPr>
        <w:spacing w:after="0" w:line="119"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 At both June 30, 2017, and December 31, 2016, we were contingently liable for $ 43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The fair value of these obligations as of both June 30, 2017, and December 31, 2016 was $0. We entered into these contingent guarantees in the normal course of business, and they include guaranteed obligations related to our affiliated operations. The final guarantee expires in 2022. We are not aware of any existing event of default that would require us to satisfy these guarantees. We do not expect that these guarantees will have a material adverse effect on our consolidated financial condition, results of operations, or liquidity.</w:t>
      </w:r>
    </w:p>
    <w:p>
      <w:pPr>
        <w:spacing w:after="0" w:line="113"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We are contingently obligated under a variety of indemnification arrangements, although in</w:t>
      </w:r>
      <w:r>
        <w:rPr>
          <w:rFonts w:ascii="Arial" w:cs="Arial" w:eastAsia="Arial" w:hAnsi="Arial"/>
          <w:sz w:val="18"/>
          <w:szCs w:val="18"/>
          <w:b w:val="1"/>
          <w:bCs w:val="1"/>
          <w:color w:val="auto"/>
        </w:rPr>
        <w:t xml:space="preserve"> </w:t>
      </w:r>
      <w:r>
        <w:rPr>
          <w:rFonts w:ascii="Arial" w:cs="Arial" w:eastAsia="Arial" w:hAnsi="Arial"/>
          <w:sz w:val="18"/>
          <w:szCs w:val="18"/>
          <w:color w:val="auto"/>
        </w:rPr>
        <w:t>some cases the extent of our potential liability is limited,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116" w:lineRule="exact"/>
        <w:rPr>
          <w:sz w:val="20"/>
          <w:szCs w:val="20"/>
          <w:color w:val="auto"/>
        </w:rPr>
      </w:pPr>
    </w:p>
    <w:p>
      <w:pPr>
        <w:jc w:val="both"/>
        <w:ind w:left="100" w:right="99"/>
        <w:spacing w:after="0" w:line="228"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 At June 30, 2017, we had commitments for future minimum lease payments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leases with initial or remaining non-cancelable lease terms in excess of one year of approximately $2.8 billion.</w:t>
      </w:r>
    </w:p>
    <w:p>
      <w:pPr>
        <w:spacing w:after="0" w:line="112"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color w:val="auto"/>
        </w:rPr>
        <w:t>– As previously reported in our Quarterly Reports on Form 10-Q as a gain contingency,</w:t>
      </w:r>
      <w:r>
        <w:rPr>
          <w:rFonts w:ascii="Arial" w:cs="Arial" w:eastAsia="Arial" w:hAnsi="Arial"/>
          <w:sz w:val="18"/>
          <w:szCs w:val="18"/>
          <w:b w:val="1"/>
          <w:bCs w:val="1"/>
          <w:color w:val="auto"/>
        </w:rPr>
        <w:t xml:space="preserve"> </w:t>
      </w:r>
      <w:r>
        <w:rPr>
          <w:rFonts w:ascii="Arial" w:cs="Arial" w:eastAsia="Arial" w:hAnsi="Arial"/>
          <w:sz w:val="18"/>
          <w:szCs w:val="18"/>
          <w:color w:val="auto"/>
        </w:rPr>
        <w:t>UPRR and Santa Fe Pacific Pipelines (SFPP, a subsidiary of Kinder Morgan Energy Partners, L.P.) agreed upon a settlement effective July 19, 2017, to resolve the litigation proceeding regarding the fair market rent payable to UPRR from SFPP commencing on January 1, 2004, for pipeline easements on UPRR rights-of-way (</w:t>
      </w:r>
      <w:r>
        <w:rPr>
          <w:rFonts w:ascii="Arial" w:cs="Arial" w:eastAsia="Arial" w:hAnsi="Arial"/>
          <w:sz w:val="18"/>
          <w:szCs w:val="18"/>
          <w:i w:val="1"/>
          <w:iCs w:val="1"/>
          <w:color w:val="auto"/>
        </w:rPr>
        <w:t>Union Pacific Railroad Company vs. Santa Fe Pacific Pipelines, Inc., SFPP, L.P., Kinder Morgan 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L.P. “D” Kinder Morgan G.P., Inc., et al., Superior Court of the State of California for the County of Los Angeles, filed July 28, 2004</w:t>
      </w:r>
      <w:r>
        <w:rPr>
          <w:rFonts w:ascii="Arial" w:cs="Arial" w:eastAsia="Arial" w:hAnsi="Arial"/>
          <w:sz w:val="18"/>
          <w:szCs w:val="18"/>
          <w:color w:val="auto"/>
        </w:rPr>
        <w:t>). In addition to other confidential settlement terms, SFPP will pay UPRR an agreed upon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for back rent in resolution of this litigation matter. UPRR will recognize this settlement in Other Income in the third quarter of 2017, which will have a positive impact on diluted earnings per share of approximately five cents.</w:t>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17. Share Repurchase Program</w:t>
      </w:r>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Effective January 1, 2017, our Board of Directors authorized the repurchase of up to 120 million shares of our common stock by December 31, 2020, replacing our previous repurchase program. As of June 30, 2017, we repurchased a total of $20.8 billion of our common stock since the commencement of our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repurchase programs in 2007. The table below represents shares repurchased in the first and second quarter of 2017 under our new repurchase program, and shares repurchased in the first and second quarter of 2016 under our previous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121285</wp:posOffset>
            </wp:positionV>
            <wp:extent cx="560006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37"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2780" w:type="dxa"/>
            <w:vAlign w:val="bottom"/>
            <w:tcBorders>
              <w:bottom w:val="single" w:sz="8" w:color="7F7F7F"/>
            </w:tcBorders>
            <w:gridSpan w:val="2"/>
          </w:tcPr>
          <w:p>
            <w:pPr>
              <w:jc w:val="right"/>
              <w:ind w:right="39"/>
              <w:spacing w:after="0"/>
              <w:rPr>
                <w:sz w:val="20"/>
                <w:szCs w:val="20"/>
                <w:color w:val="auto"/>
              </w:rPr>
            </w:pPr>
            <w:r>
              <w:rPr>
                <w:rFonts w:ascii="Arial" w:cs="Arial" w:eastAsia="Arial" w:hAnsi="Arial"/>
                <w:sz w:val="16"/>
                <w:szCs w:val="16"/>
                <w:i w:val="1"/>
                <w:iCs w:val="1"/>
                <w:color w:val="auto"/>
              </w:rPr>
              <w:t>Number of Shares Purchased</w:t>
            </w:r>
          </w:p>
        </w:tc>
        <w:tc>
          <w:tcPr>
            <w:tcW w:w="340" w:type="dxa"/>
            <w:vAlign w:val="bottom"/>
            <w:tcBorders>
              <w:bottom w:val="single" w:sz="8" w:color="7F7F7F"/>
            </w:tcBorders>
          </w:tcPr>
          <w:p>
            <w:pPr>
              <w:spacing w:after="0"/>
              <w:rPr>
                <w:sz w:val="17"/>
                <w:szCs w:val="17"/>
                <w:color w:val="auto"/>
              </w:rPr>
            </w:pPr>
          </w:p>
        </w:tc>
        <w:tc>
          <w:tcPr>
            <w:tcW w:w="1800" w:type="dxa"/>
            <w:vAlign w:val="bottom"/>
            <w:tcBorders>
              <w:bottom w:val="single" w:sz="8" w:color="7F7F7F"/>
            </w:tcBorders>
            <w:gridSpan w:val="3"/>
          </w:tcPr>
          <w:p>
            <w:pPr>
              <w:jc w:val="right"/>
              <w:spacing w:after="0"/>
              <w:rPr>
                <w:sz w:val="20"/>
                <w:szCs w:val="20"/>
                <w:color w:val="auto"/>
              </w:rPr>
            </w:pPr>
            <w:r>
              <w:rPr>
                <w:rFonts w:ascii="Arial" w:cs="Arial" w:eastAsia="Arial" w:hAnsi="Arial"/>
                <w:sz w:val="16"/>
                <w:szCs w:val="16"/>
                <w:i w:val="1"/>
                <w:iCs w:val="1"/>
                <w:color w:val="auto"/>
              </w:rPr>
              <w:t>Average Price Paid</w:t>
            </w:r>
          </w:p>
        </w:tc>
      </w:tr>
      <w:tr>
        <w:trPr>
          <w:trHeight w:val="210"/>
        </w:trPr>
        <w:tc>
          <w:tcPr>
            <w:tcW w:w="3900" w:type="dxa"/>
            <w:vAlign w:val="bottom"/>
            <w:tcBorders>
              <w:bottom w:val="single" w:sz="8" w:color="7F7F7F"/>
            </w:tcBorders>
          </w:tcPr>
          <w:p>
            <w:pPr>
              <w:spacing w:after="0"/>
              <w:rPr>
                <w:sz w:val="18"/>
                <w:szCs w:val="18"/>
                <w:color w:val="auto"/>
              </w:rPr>
            </w:pPr>
          </w:p>
        </w:tc>
        <w:tc>
          <w:tcPr>
            <w:tcW w:w="1740" w:type="dxa"/>
            <w:vAlign w:val="bottom"/>
            <w:tcBorders>
              <w:bottom w:val="single" w:sz="8" w:color="7F7F7F"/>
            </w:tcBorders>
          </w:tcPr>
          <w:p>
            <w:pPr>
              <w:jc w:val="right"/>
              <w:ind w:right="379"/>
              <w:spacing w:after="0"/>
              <w:rPr>
                <w:sz w:val="20"/>
                <w:szCs w:val="20"/>
                <w:color w:val="auto"/>
              </w:rPr>
            </w:pPr>
            <w:r>
              <w:rPr>
                <w:rFonts w:ascii="Arial" w:cs="Arial" w:eastAsia="Arial" w:hAnsi="Arial"/>
                <w:sz w:val="16"/>
                <w:szCs w:val="16"/>
                <w:b w:val="1"/>
                <w:bCs w:val="1"/>
                <w:i w:val="1"/>
                <w:iCs w:val="1"/>
                <w:color w:val="auto"/>
              </w:rPr>
              <w:t>2017</w:t>
            </w:r>
          </w:p>
        </w:tc>
        <w:tc>
          <w:tcPr>
            <w:tcW w:w="1040" w:type="dxa"/>
            <w:vAlign w:val="bottom"/>
            <w:tcBorders>
              <w:bottom w:val="single" w:sz="8" w:color="7F7F7F"/>
            </w:tcBorders>
          </w:tcPr>
          <w:p>
            <w:pPr>
              <w:jc w:val="right"/>
              <w:ind w:right="99"/>
              <w:spacing w:after="0"/>
              <w:rPr>
                <w:sz w:val="20"/>
                <w:szCs w:val="20"/>
                <w:color w:val="auto"/>
              </w:rPr>
            </w:pPr>
            <w:r>
              <w:rPr>
                <w:rFonts w:ascii="Arial" w:cs="Arial" w:eastAsia="Arial" w:hAnsi="Arial"/>
                <w:sz w:val="16"/>
                <w:szCs w:val="16"/>
                <w:i w:val="1"/>
                <w:iCs w:val="1"/>
                <w:color w:val="auto"/>
              </w:rPr>
              <w:t>2016</w:t>
            </w:r>
          </w:p>
        </w:tc>
        <w:tc>
          <w:tcPr>
            <w:tcW w:w="34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44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174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7,531,300</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9,315,807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106.55</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r>
      <w:tr>
        <w:trPr>
          <w:trHeight w:val="223"/>
        </w:trPr>
        <w:tc>
          <w:tcPr>
            <w:tcW w:w="390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Second quarter</w:t>
            </w:r>
          </w:p>
        </w:tc>
        <w:tc>
          <w:tcPr>
            <w:tcW w:w="1740" w:type="dxa"/>
            <w:vAlign w:val="bottom"/>
            <w:tcBorders>
              <w:bottom w:val="single" w:sz="8" w:color="808080"/>
            </w:tcBorders>
          </w:tcPr>
          <w:p>
            <w:pPr>
              <w:jc w:val="right"/>
              <w:ind w:right="379"/>
              <w:spacing w:after="0"/>
              <w:rPr>
                <w:sz w:val="20"/>
                <w:szCs w:val="20"/>
                <w:color w:val="auto"/>
              </w:rPr>
            </w:pPr>
            <w:r>
              <w:rPr>
                <w:rFonts w:ascii="Arial" w:cs="Arial" w:eastAsia="Arial" w:hAnsi="Arial"/>
                <w:sz w:val="16"/>
                <w:szCs w:val="16"/>
                <w:b w:val="1"/>
                <w:bCs w:val="1"/>
                <w:color w:val="auto"/>
              </w:rPr>
              <w:t>7,788,283</w:t>
            </w:r>
          </w:p>
        </w:tc>
        <w:tc>
          <w:tcPr>
            <w:tcW w:w="104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color w:val="auto"/>
              </w:rPr>
              <w:t>7,026,100</w:t>
            </w: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jc w:val="right"/>
              <w:ind w:right="39"/>
              <w:spacing w:after="0"/>
              <w:rPr>
                <w:sz w:val="20"/>
                <w:szCs w:val="20"/>
                <w:color w:val="auto"/>
              </w:rPr>
            </w:pPr>
            <w:r>
              <w:rPr>
                <w:rFonts w:ascii="Arial" w:cs="Arial" w:eastAsia="Arial" w:hAnsi="Arial"/>
                <w:sz w:val="16"/>
                <w:szCs w:val="16"/>
                <w:b w:val="1"/>
                <w:bCs w:val="1"/>
                <w:color w:val="auto"/>
              </w:rPr>
              <w:t>109.10</w:t>
            </w:r>
          </w:p>
        </w:tc>
        <w:tc>
          <w:tcPr>
            <w:tcW w:w="4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85.66</w:t>
            </w:r>
          </w:p>
        </w:tc>
      </w:tr>
      <w:tr>
        <w:trPr>
          <w:trHeight w:val="222"/>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74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15,319,583</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16,341,907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107.85</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r>
      <w:tr>
        <w:trPr>
          <w:trHeight w:val="61"/>
        </w:trPr>
        <w:tc>
          <w:tcPr>
            <w:tcW w:w="5640" w:type="dxa"/>
            <w:vAlign w:val="bottom"/>
            <w:gridSpan w:val="2"/>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60" w:type="dxa"/>
            <w:vAlign w:val="bottom"/>
            <w:gridSpan w:val="2"/>
            <w:shd w:val="clear" w:color="auto" w:fill="808080"/>
          </w:tcPr>
          <w:p>
            <w:pPr>
              <w:spacing w:after="0"/>
              <w:rPr>
                <w:sz w:val="5"/>
                <w:szCs w:val="5"/>
                <w:color w:val="auto"/>
              </w:rPr>
            </w:pPr>
          </w:p>
        </w:tc>
      </w:tr>
      <w:tr>
        <w:trPr>
          <w:trHeight w:val="223"/>
        </w:trPr>
        <w:tc>
          <w:tcPr>
            <w:tcW w:w="5640" w:type="dxa"/>
            <w:vAlign w:val="bottom"/>
            <w:tcBorders>
              <w:bottom w:val="single" w:sz="8" w:color="808080"/>
            </w:tcBorders>
            <w:gridSpan w:val="2"/>
          </w:tcPr>
          <w:p>
            <w:pPr>
              <w:spacing w:after="0"/>
              <w:rPr>
                <w:sz w:val="20"/>
                <w:szCs w:val="20"/>
                <w:color w:val="auto"/>
              </w:rPr>
            </w:pPr>
            <w:r>
              <w:rPr>
                <w:rFonts w:ascii="Arial" w:cs="Arial" w:eastAsia="Arial" w:hAnsi="Arial"/>
                <w:sz w:val="16"/>
                <w:szCs w:val="16"/>
                <w:color w:val="auto"/>
              </w:rPr>
              <w:t>Remaining number of shares that may be repurchased under current authority</w:t>
            </w:r>
          </w:p>
        </w:tc>
        <w:tc>
          <w:tcPr>
            <w:tcW w:w="1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color w:val="auto"/>
              </w:rPr>
              <w:t>104,680,417</w:t>
            </w:r>
          </w:p>
        </w:tc>
      </w:tr>
    </w:tbl>
    <w:p>
      <w:pPr>
        <w:spacing w:after="0" w:line="161"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Management's assessments of market conditions and other pertinent factors guide the timing and volume of all repurchases. We expect to fund any share repurchases under this program through cash generated from operations, the sale or lease of various operating and non-operating properties, debt issuances, and cash on hand. Repurchased shares are recorded in treasury stock at cost, which includes any applicable commissions and fees.</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18. Related Parties</w:t>
      </w:r>
    </w:p>
    <w:p>
      <w:pPr>
        <w:spacing w:after="0" w:line="16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36.79% economic and voting interest in TTX while the other North American railroads own the remaining interest.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UPRR applies the equity method of accounting to our investment in TTX.</w:t>
      </w:r>
    </w:p>
    <w:p>
      <w:pPr>
        <w:spacing w:after="0" w:line="13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TTX is a railcar pooling company that owns railcars and intermodal wells to serve North America’s railroads. TTX assists railroads in meeting the needs of their customers by providing railcars in an efficient, pooled environment. All railroads have the ability to utilize TTX railcars through car hire by renting railcars at stated rates.</w:t>
      </w:r>
    </w:p>
    <w:p>
      <w:pPr>
        <w:spacing w:after="0" w:line="136"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UPRR had $910 million and $877 million recognized as investments related to TTX in our Condensed Consolidated Statements of Financial Position as of June 30, 2017, and December 31, 2016, respectively. TTX car hire expenses of $97 million and $92 million for the three months ended June 30, 2017, and 2016, respectively, and $184 million and $182 million for the six months ended June 30, 2017 and 2016, respectively, are included in equipment and other rents in our Condensed Consolidated Statements of Income. In addition, UPRR had accounts payable to TTX of $66 million and $61 million as of June 30, 2017, and December 31, 2016, respectively.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UNION PACIFIC CORPORATION AND SUBSIDIARY COMPANIES</w:t>
      </w:r>
    </w:p>
    <w:p>
      <w:pPr>
        <w:ind w:left="3340"/>
        <w:spacing w:after="0"/>
        <w:rPr>
          <w:sz w:val="20"/>
          <w:szCs w:val="20"/>
          <w:color w:val="auto"/>
        </w:rPr>
      </w:pPr>
      <w:r>
        <w:rPr>
          <w:rFonts w:ascii="Arial" w:cs="Arial" w:eastAsia="Arial" w:hAnsi="Arial"/>
          <w:sz w:val="18"/>
          <w:szCs w:val="18"/>
          <w:b w:val="1"/>
          <w:bCs w:val="1"/>
          <w:color w:val="auto"/>
        </w:rPr>
        <w:t>RESULTS OF OPERATIONS</w:t>
      </w:r>
    </w:p>
    <w:p>
      <w:pPr>
        <w:spacing w:after="0" w:line="113"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Three and Six Months Ended June 30, 2017, Compared to</w:t>
      </w:r>
    </w:p>
    <w:p>
      <w:pPr>
        <w:jc w:val="center"/>
        <w:spacing w:after="0"/>
        <w:rPr>
          <w:sz w:val="20"/>
          <w:szCs w:val="20"/>
          <w:color w:val="auto"/>
        </w:rPr>
      </w:pPr>
      <w:r>
        <w:rPr>
          <w:rFonts w:ascii="Arial" w:cs="Arial" w:eastAsia="Arial" w:hAnsi="Arial"/>
          <w:sz w:val="18"/>
          <w:szCs w:val="18"/>
          <w:b w:val="1"/>
          <w:bCs w:val="1"/>
          <w:color w:val="auto"/>
        </w:rPr>
        <w:t>Three and Six Months Ended June 30, 2016</w:t>
      </w:r>
    </w:p>
    <w:p>
      <w:pPr>
        <w:spacing w:after="0" w:line="320"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For purposes of this report, unless the context otherwise requires, all references herein to “UPC”, “Corporation”, “Company”, “we”, “us”, and “our” shall mean Union Pacific Corporation and its subsidiaries, including Union Pacific Railroad Company, which we separately refer to as “UPRR” or the “Railroad”.</w:t>
      </w:r>
    </w:p>
    <w:p>
      <w:pPr>
        <w:spacing w:after="0" w:line="13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137"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The Railroad, along with its subsidiaries and rail affiliates, is our one reportable business segment. Although we provide and analyze revenue by commodity group, we treat the financial results of the Railroad as one segment due to the integrated nature of our rail network.</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jc w:val="both"/>
        <w:ind w:left="100" w:right="99"/>
        <w:spacing w:after="0" w:line="206" w:lineRule="auto"/>
        <w:rPr>
          <w:sz w:val="20"/>
          <w:szCs w:val="20"/>
          <w:color w:val="auto"/>
        </w:rPr>
      </w:pPr>
      <w:r>
        <w:rPr>
          <w:rFonts w:ascii="Arial" w:cs="Arial" w:eastAsia="Arial" w:hAnsi="Arial"/>
          <w:sz w:val="18"/>
          <w:szCs w:val="18"/>
          <w:color w:val="auto"/>
        </w:rPr>
        <w:t>Our Internet website is www.up.com. We make available free of charge on our website (under the “Investors” caption link) our Annual Reports on Form 10-K; our Quarterly Reports on Form 10-Q; eXtensible Business Reporting Language (XBRL) documents; our current reports on Form 8-K; our proxy statements; Forms 3, 4, and 5, filed on behalf of directors and executive officers; and amendments to any such reports filed or furnished pursuant to the Securities Exchange Act of 1934, as amended (the Exchange Act), as soon as reasonably practicable after such material is electronically filed with, or furnished to, the Securities and Exchange Commission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Corporate Secretary, Union Pacific Corporation, 1400 Douglas Street, Omaha, NE 68179.</w:t>
      </w:r>
    </w:p>
    <w:p>
      <w:pPr>
        <w:spacing w:after="0" w:line="140"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color w:val="auto"/>
        </w:rPr>
        <w:t>We base our discussion and analysis of our financial condition and results of operations upon our Condensed Consolidated Financial Statements. 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policies are available in Item 7 of our 2016 Annual Report on Form 10-</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K. There have not been any significant changes with respect to these policies during the first six months of 2017.</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Quarterly Summary</w:t>
      </w:r>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We reported earnings of $1.45 per diluted share on net income of $1.2 billion in the second quarter of 2017 compared to earnings of $1.17 per diluted share on net income of $1.0 billion for the second quarter of 2016. Freight revenues increased 11%, or $476 million, in the second quarter compared to the same period in 2016. Volume growth of 5% and a 6% increase in average revenue per car (ARC) resulting from higher fuel surcharge revenue, core pricing gains, and mix of traffic drove the freight revenue growth. Demand for coal and shale drilling-related frac sand shipments increased compared to relatively low volume levels in the second quarter of 2016, while shipments of grain, fertilizer, plastics, automotive parts, and intermodal also contributed to the year-over-year growth. Conversely, shipments of crude oil and finished vehicles decreased versus 2016.</w:t>
      </w:r>
    </w:p>
    <w:p>
      <w:pPr>
        <w:spacing w:after="0" w:line="14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continue to align critical resources with current market demands. While volumes grew 5%, our work force levels decreased 2%, demonstrating continued progress on our resource productivity initiatives. At the end of the second quarter, approximately 1,100 employees across all crafts were either furloughed or in alternate work status, and approximately 1,400 locomotives were in storage.</w:t>
      </w:r>
    </w:p>
    <w:p>
      <w:pPr>
        <w:spacing w:after="0" w:line="13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In the second quarter, we experienced some disruptions across our network that negatively impacted network fluidity. Average train speed, as reported to the Association of American Railroads (AAR), decreased 5% to 25.4 miles per hour, and average terminal dwell time increased 4% to 28.3 hours.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 Revenues</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740" w:type="dxa"/>
            <w:vAlign w:val="bottom"/>
            <w:tcBorders>
              <w:top w:val="single" w:sz="8" w:color="7F7F7F"/>
            </w:tcBorders>
          </w:tcPr>
          <w:p>
            <w:pPr>
              <w:spacing w:after="0"/>
              <w:rPr>
                <w:sz w:val="22"/>
                <w:szCs w:val="22"/>
                <w:color w:val="auto"/>
              </w:rPr>
            </w:pPr>
          </w:p>
        </w:tc>
        <w:tc>
          <w:tcPr>
            <w:tcW w:w="1660" w:type="dxa"/>
            <w:vAlign w:val="bottom"/>
            <w:tcBorders>
              <w:top w:val="single" w:sz="8" w:color="7F7F7F"/>
            </w:tcBorders>
            <w:gridSpan w:val="4"/>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620" w:type="dxa"/>
            <w:vAlign w:val="bottom"/>
            <w:tcBorders>
              <w:top w:val="single" w:sz="8" w:color="7F7F7F"/>
            </w:tcBorders>
          </w:tcPr>
          <w:p>
            <w:pPr>
              <w:spacing w:after="0"/>
              <w:rPr>
                <w:sz w:val="22"/>
                <w:szCs w:val="22"/>
                <w:color w:val="auto"/>
              </w:rPr>
            </w:pPr>
          </w:p>
        </w:tc>
        <w:tc>
          <w:tcPr>
            <w:tcW w:w="200" w:type="dxa"/>
            <w:vAlign w:val="bottom"/>
            <w:tcBorders>
              <w:top w:val="single" w:sz="8" w:color="7F7F7F"/>
            </w:tcBorders>
          </w:tcPr>
          <w:p>
            <w:pPr>
              <w:spacing w:after="0"/>
              <w:rPr>
                <w:sz w:val="22"/>
                <w:szCs w:val="22"/>
                <w:color w:val="auto"/>
              </w:rPr>
            </w:pPr>
          </w:p>
        </w:tc>
        <w:tc>
          <w:tcPr>
            <w:tcW w:w="180" w:type="dxa"/>
            <w:vAlign w:val="bottom"/>
            <w:tcBorders>
              <w:top w:val="single" w:sz="8" w:color="808080"/>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c>
          <w:tcPr>
            <w:tcW w:w="1500" w:type="dxa"/>
            <w:vAlign w:val="bottom"/>
            <w:tcBorders>
              <w:top w:val="single" w:sz="8" w:color="808080"/>
            </w:tcBorders>
            <w:gridSpan w:val="3"/>
          </w:tcPr>
          <w:p>
            <w:pPr>
              <w:jc w:val="right"/>
              <w:ind w:right="99"/>
              <w:spacing w:after="0"/>
              <w:rPr>
                <w:sz w:val="20"/>
                <w:szCs w:val="20"/>
                <w:color w:val="auto"/>
              </w:rPr>
            </w:pPr>
            <w:r>
              <w:rPr>
                <w:rFonts w:ascii="Arial" w:cs="Arial" w:eastAsia="Arial" w:hAnsi="Arial"/>
                <w:sz w:val="16"/>
                <w:szCs w:val="16"/>
                <w:i w:val="1"/>
                <w:iCs w:val="1"/>
                <w:color w:val="auto"/>
              </w:rPr>
              <w:t>Six Months Ended</w:t>
            </w:r>
          </w:p>
        </w:tc>
        <w:tc>
          <w:tcPr>
            <w:tcW w:w="540" w:type="dxa"/>
            <w:vAlign w:val="bottom"/>
            <w:tcBorders>
              <w:top w:val="single" w:sz="8" w:color="808080"/>
            </w:tcBorders>
          </w:tcPr>
          <w:p>
            <w:pPr>
              <w:spacing w:after="0"/>
              <w:rPr>
                <w:sz w:val="22"/>
                <w:szCs w:val="22"/>
                <w:color w:val="auto"/>
              </w:rPr>
            </w:pPr>
          </w:p>
        </w:tc>
        <w:tc>
          <w:tcPr>
            <w:tcW w:w="180" w:type="dxa"/>
            <w:vAlign w:val="bottom"/>
            <w:tcBorders>
              <w:top w:val="single" w:sz="8" w:color="808080"/>
            </w:tcBorders>
          </w:tcPr>
          <w:p>
            <w:pPr>
              <w:spacing w:after="0"/>
              <w:rPr>
                <w:sz w:val="22"/>
                <w:szCs w:val="22"/>
                <w:color w:val="auto"/>
              </w:rPr>
            </w:pPr>
          </w:p>
        </w:tc>
      </w:tr>
      <w:tr>
        <w:trPr>
          <w:trHeight w:val="197"/>
        </w:trPr>
        <w:tc>
          <w:tcPr>
            <w:tcW w:w="3740" w:type="dxa"/>
            <w:vAlign w:val="bottom"/>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480" w:type="dxa"/>
            <w:vAlign w:val="bottom"/>
            <w:tcBorders>
              <w:bottom w:val="single" w:sz="8" w:color="808080"/>
            </w:tcBorders>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480" w:type="dxa"/>
            <w:vAlign w:val="bottom"/>
            <w:tcBorders>
              <w:bottom w:val="single" w:sz="8" w:color="808080"/>
            </w:tcBorders>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74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3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1000" w:type="dxa"/>
            <w:vAlign w:val="bottom"/>
            <w:tcBorders>
              <w:bottom w:val="single" w:sz="8" w:color="808080"/>
            </w:tcBorders>
            <w:gridSpan w:val="3"/>
          </w:tcPr>
          <w:p>
            <w:pPr>
              <w:jc w:val="right"/>
              <w:ind w:right="180"/>
              <w:spacing w:after="0"/>
              <w:rPr>
                <w:sz w:val="20"/>
                <w:szCs w:val="20"/>
                <w:color w:val="auto"/>
              </w:rPr>
            </w:pPr>
            <w:r>
              <w:rPr>
                <w:rFonts w:ascii="Arial" w:cs="Arial" w:eastAsia="Arial" w:hAnsi="Arial"/>
                <w:sz w:val="16"/>
                <w:szCs w:val="16"/>
                <w:b w:val="1"/>
                <w:bCs w:val="1"/>
                <w:i w:val="1"/>
                <w:iCs w:val="1"/>
                <w:color w:val="auto"/>
              </w:rPr>
              <w:t>Change</w:t>
            </w:r>
          </w:p>
        </w:tc>
        <w:tc>
          <w:tcPr>
            <w:tcW w:w="2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2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Freight revenues</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4,906</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4,430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9,700</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0"/>
        </w:trPr>
        <w:tc>
          <w:tcPr>
            <w:tcW w:w="37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344</w:t>
            </w:r>
          </w:p>
        </w:tc>
        <w:tc>
          <w:tcPr>
            <w:tcW w:w="32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340</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Borders>
              <w:bottom w:val="single" w:sz="8" w:color="7F7F7F"/>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682</w:t>
            </w:r>
          </w:p>
        </w:tc>
        <w:tc>
          <w:tcPr>
            <w:tcW w:w="4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667</w:t>
            </w: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tcBorders>
              <w:bottom w:val="single" w:sz="8" w:color="808080"/>
            </w:tcBorders>
          </w:tcPr>
          <w:p>
            <w:pPr>
              <w:spacing w:after="0"/>
              <w:rPr>
                <w:sz w:val="18"/>
                <w:szCs w:val="18"/>
                <w:color w:val="auto"/>
              </w:rPr>
            </w:pPr>
          </w:p>
        </w:tc>
      </w:tr>
      <w:tr>
        <w:trPr>
          <w:trHeight w:val="2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5,250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4,770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10,382</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9,599</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54"/>
        </w:trPr>
        <w:tc>
          <w:tcPr>
            <w:tcW w:w="3740" w:type="dxa"/>
            <w:vAlign w:val="bottom"/>
            <w:shd w:val="clear" w:color="auto" w:fill="7F7F7F"/>
          </w:tcPr>
          <w:p>
            <w:pPr>
              <w:spacing w:after="0"/>
              <w:rPr>
                <w:sz w:val="4"/>
                <w:szCs w:val="4"/>
                <w:color w:val="auto"/>
              </w:rPr>
            </w:pPr>
          </w:p>
        </w:tc>
        <w:tc>
          <w:tcPr>
            <w:tcW w:w="300" w:type="dxa"/>
            <w:vAlign w:val="bottom"/>
            <w:shd w:val="clear" w:color="auto" w:fill="7F7F7F"/>
          </w:tcPr>
          <w:p>
            <w:pPr>
              <w:spacing w:after="0"/>
              <w:rPr>
                <w:sz w:val="4"/>
                <w:szCs w:val="4"/>
                <w:color w:val="auto"/>
              </w:rPr>
            </w:pPr>
          </w:p>
        </w:tc>
        <w:tc>
          <w:tcPr>
            <w:tcW w:w="560" w:type="dxa"/>
            <w:vAlign w:val="bottom"/>
            <w:shd w:val="clear" w:color="auto" w:fill="7F7F7F"/>
          </w:tcPr>
          <w:p>
            <w:pPr>
              <w:spacing w:after="0"/>
              <w:rPr>
                <w:sz w:val="4"/>
                <w:szCs w:val="4"/>
                <w:color w:val="auto"/>
              </w:rPr>
            </w:pPr>
          </w:p>
        </w:tc>
        <w:tc>
          <w:tcPr>
            <w:tcW w:w="320" w:type="dxa"/>
            <w:vAlign w:val="bottom"/>
            <w:shd w:val="clear" w:color="auto" w:fill="7F7F7F"/>
          </w:tcPr>
          <w:p>
            <w:pPr>
              <w:spacing w:after="0"/>
              <w:rPr>
                <w:sz w:val="4"/>
                <w:szCs w:val="4"/>
                <w:color w:val="auto"/>
              </w:rPr>
            </w:pPr>
          </w:p>
        </w:tc>
        <w:tc>
          <w:tcPr>
            <w:tcW w:w="48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200" w:type="dxa"/>
            <w:vAlign w:val="bottom"/>
            <w:shd w:val="clear" w:color="auto" w:fill="808080"/>
          </w:tcPr>
          <w:p>
            <w:pPr>
              <w:spacing w:after="0"/>
              <w:rPr>
                <w:sz w:val="4"/>
                <w:szCs w:val="4"/>
                <w:color w:val="auto"/>
              </w:rPr>
            </w:pPr>
          </w:p>
        </w:tc>
        <w:tc>
          <w:tcPr>
            <w:tcW w:w="620" w:type="dxa"/>
            <w:vAlign w:val="bottom"/>
            <w:shd w:val="clear" w:color="auto" w:fill="808080"/>
          </w:tcPr>
          <w:p>
            <w:pPr>
              <w:spacing w:after="0"/>
              <w:rPr>
                <w:sz w:val="4"/>
                <w:szCs w:val="4"/>
                <w:color w:val="auto"/>
              </w:rPr>
            </w:pPr>
          </w:p>
        </w:tc>
        <w:tc>
          <w:tcPr>
            <w:tcW w:w="400" w:type="dxa"/>
            <w:vAlign w:val="bottom"/>
            <w:shd w:val="clear" w:color="auto" w:fill="808080"/>
          </w:tcPr>
          <w:p>
            <w:pPr>
              <w:spacing w:after="0"/>
              <w:rPr>
                <w:sz w:val="4"/>
                <w:szCs w:val="4"/>
                <w:color w:val="auto"/>
              </w:rPr>
            </w:pPr>
          </w:p>
        </w:tc>
        <w:tc>
          <w:tcPr>
            <w:tcW w:w="480" w:type="dxa"/>
            <w:vAlign w:val="bottom"/>
            <w:shd w:val="clear" w:color="auto" w:fill="808080"/>
          </w:tcPr>
          <w:p>
            <w:pPr>
              <w:spacing w:after="0"/>
              <w:rPr>
                <w:sz w:val="4"/>
                <w:szCs w:val="4"/>
                <w:color w:val="auto"/>
              </w:rPr>
            </w:pPr>
          </w:p>
        </w:tc>
        <w:tc>
          <w:tcPr>
            <w:tcW w:w="540" w:type="dxa"/>
            <w:vAlign w:val="bottom"/>
            <w:shd w:val="clear" w:color="auto" w:fill="808080"/>
          </w:tcPr>
          <w:p>
            <w:pPr>
              <w:spacing w:after="0"/>
              <w:rPr>
                <w:sz w:val="4"/>
                <w:szCs w:val="4"/>
                <w:color w:val="auto"/>
              </w:rPr>
            </w:pPr>
          </w:p>
        </w:tc>
        <w:tc>
          <w:tcPr>
            <w:tcW w:w="180" w:type="dxa"/>
            <w:vAlign w:val="bottom"/>
            <w:shd w:val="clear" w:color="auto" w:fill="808080"/>
          </w:tcPr>
          <w:p>
            <w:pPr>
              <w:spacing w:after="0"/>
              <w:rPr>
                <w:sz w:val="4"/>
                <w:szCs w:val="4"/>
                <w:color w:val="auto"/>
              </w:rPr>
            </w:pPr>
          </w:p>
        </w:tc>
      </w:tr>
    </w:tbl>
    <w:p>
      <w:pPr>
        <w:spacing w:after="0" w:line="161"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We generate freight revenues by transporting freight or other materials from our six commodity groups. Freight revenues vary with volume (carloads) and ARC. Changes in price, traffic mix and fuel surcharges drive ARC. We provide some of our customers with contractual incentives for meeting or exceeding specified cumulative volumes or shipping to and from specific locations, which we record as reductions to freight revenues based on the actual or projected future shipments. We recognize freight revenues as shipments move from origin to destination. We allocate freight revenues between reporting periods based on the relative transit time in each reporting period and recognize expenses as we incur them.</w:t>
      </w:r>
    </w:p>
    <w:p>
      <w:pPr>
        <w:spacing w:after="0" w:line="13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Other revenues include revenues earned by our subsidiaries, revenues from commuter rail operations that we manage, accessorial revenues, which we earn when customers retain equipment owned or controlled by us or when we perform additional services such as switching or storage, and miscellaneous contract revenue. We recognize other revenues as we perform services or meet contractual obligations.</w:t>
      </w:r>
    </w:p>
    <w:p>
      <w:pPr>
        <w:spacing w:after="0" w:line="13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Freight revenues increased 11% during the second quarter and 9% during the six-month period of 2017 compared to 2016 driven by volume growth in coal, industrial products, and agriculture shipments, as well as higher fuel surcharge revenue, core pricing gains and mix of traffic.</w:t>
      </w:r>
    </w:p>
    <w:p>
      <w:pPr>
        <w:spacing w:after="0" w:line="13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Each of our commodity groups includes revenue from fuel surcharges. Freight revenues from fuel surcharge programs were $234 million and $446 million in the second quarter and year-to-date periods of 2017 compared to $87 million and $200 million in the same periods of 2016. Higher fuel surcharge revenue resulted from higher year-over-year fuel prices, volume growth and a lag benefit in fuel surcharge recovery due to a sequential decline in fuel price during the quarter (it can generally take up to two months for changing fuel prices to affect fuel surcharge recoveries).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ind w:left="100" w:right="99"/>
        <w:spacing w:after="0" w:line="227" w:lineRule="auto"/>
        <w:rPr>
          <w:sz w:val="20"/>
          <w:szCs w:val="20"/>
          <w:color w:val="auto"/>
        </w:rPr>
      </w:pPr>
      <w:r>
        <w:rPr>
          <w:rFonts w:ascii="Arial" w:cs="Arial" w:eastAsia="Arial" w:hAnsi="Arial"/>
          <w:sz w:val="18"/>
          <w:szCs w:val="18"/>
          <w:color w:val="auto"/>
        </w:rPr>
        <w:t>Other revenues increased in the second quarter and year-to-date periods of 2017 compared to 2016 due to higher subsidiary revenues, primarily those that broker intermodal and automotive services.</w:t>
      </w:r>
    </w:p>
    <w:p>
      <w:pPr>
        <w:spacing w:after="0" w:line="135" w:lineRule="exact"/>
        <w:rPr>
          <w:sz w:val="20"/>
          <w:szCs w:val="20"/>
          <w:color w:val="auto"/>
        </w:rPr>
      </w:pPr>
    </w:p>
    <w:p>
      <w:pPr>
        <w:ind w:left="100" w:right="99"/>
        <w:spacing w:after="0" w:line="227" w:lineRule="auto"/>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660" w:type="dxa"/>
            <w:vAlign w:val="bottom"/>
            <w:tcBorders>
              <w:top w:val="single" w:sz="8" w:color="808080"/>
            </w:tcBorders>
          </w:tcPr>
          <w:p>
            <w:pPr>
              <w:spacing w:after="0"/>
              <w:rPr>
                <w:sz w:val="22"/>
                <w:szCs w:val="22"/>
                <w:color w:val="auto"/>
              </w:rPr>
            </w:pPr>
          </w:p>
        </w:tc>
        <w:tc>
          <w:tcPr>
            <w:tcW w:w="1680" w:type="dxa"/>
            <w:vAlign w:val="bottom"/>
            <w:tcBorders>
              <w:top w:val="single" w:sz="8" w:color="808080"/>
            </w:tcBorders>
            <w:gridSpan w:val="6"/>
          </w:tcPr>
          <w:p>
            <w:pPr>
              <w:jc w:val="center"/>
              <w:ind w:right="80"/>
              <w:spacing w:after="0"/>
              <w:rPr>
                <w:sz w:val="20"/>
                <w:szCs w:val="20"/>
                <w:color w:val="auto"/>
              </w:rPr>
            </w:pPr>
            <w:r>
              <w:rPr>
                <w:rFonts w:ascii="Arial" w:cs="Arial" w:eastAsia="Arial" w:hAnsi="Arial"/>
                <w:sz w:val="16"/>
                <w:szCs w:val="16"/>
                <w:i w:val="1"/>
                <w:iCs w:val="1"/>
                <w:color w:val="auto"/>
              </w:rPr>
              <w:t>Three Months Ended</w:t>
            </w:r>
          </w:p>
        </w:tc>
        <w:tc>
          <w:tcPr>
            <w:tcW w:w="440" w:type="dxa"/>
            <w:vAlign w:val="bottom"/>
            <w:tcBorders>
              <w:top w:val="single" w:sz="8" w:color="808080"/>
            </w:tcBorders>
          </w:tcPr>
          <w:p>
            <w:pPr>
              <w:spacing w:after="0"/>
              <w:rPr>
                <w:sz w:val="22"/>
                <w:szCs w:val="22"/>
                <w:color w:val="auto"/>
              </w:rPr>
            </w:pPr>
          </w:p>
        </w:tc>
        <w:tc>
          <w:tcPr>
            <w:tcW w:w="220" w:type="dxa"/>
            <w:vAlign w:val="bottom"/>
            <w:tcBorders>
              <w:top w:val="single" w:sz="8" w:color="808080"/>
            </w:tcBorders>
          </w:tcPr>
          <w:p>
            <w:pPr>
              <w:spacing w:after="0"/>
              <w:rPr>
                <w:sz w:val="22"/>
                <w:szCs w:val="22"/>
                <w:color w:val="auto"/>
              </w:rPr>
            </w:pPr>
          </w:p>
        </w:tc>
        <w:tc>
          <w:tcPr>
            <w:tcW w:w="180" w:type="dxa"/>
            <w:vAlign w:val="bottom"/>
            <w:tcBorders>
              <w:top w:val="single" w:sz="8" w:color="808080"/>
            </w:tcBorders>
          </w:tcPr>
          <w:p>
            <w:pPr>
              <w:spacing w:after="0"/>
              <w:rPr>
                <w:sz w:val="22"/>
                <w:szCs w:val="22"/>
                <w:color w:val="auto"/>
              </w:rPr>
            </w:pPr>
          </w:p>
        </w:tc>
        <w:tc>
          <w:tcPr>
            <w:tcW w:w="140" w:type="dxa"/>
            <w:vAlign w:val="bottom"/>
            <w:tcBorders>
              <w:top w:val="single" w:sz="8" w:color="808080"/>
            </w:tcBorders>
          </w:tcPr>
          <w:p>
            <w:pPr>
              <w:spacing w:after="0"/>
              <w:rPr>
                <w:sz w:val="22"/>
                <w:szCs w:val="22"/>
                <w:color w:val="auto"/>
              </w:rPr>
            </w:pPr>
          </w:p>
        </w:tc>
        <w:tc>
          <w:tcPr>
            <w:tcW w:w="100" w:type="dxa"/>
            <w:vAlign w:val="bottom"/>
            <w:tcBorders>
              <w:top w:val="single" w:sz="8" w:color="808080"/>
            </w:tcBorders>
          </w:tcPr>
          <w:p>
            <w:pPr>
              <w:spacing w:after="0"/>
              <w:rPr>
                <w:sz w:val="22"/>
                <w:szCs w:val="22"/>
                <w:color w:val="auto"/>
              </w:rPr>
            </w:pPr>
          </w:p>
        </w:tc>
        <w:tc>
          <w:tcPr>
            <w:tcW w:w="1640" w:type="dxa"/>
            <w:vAlign w:val="bottom"/>
            <w:tcBorders>
              <w:top w:val="single" w:sz="8" w:color="808080"/>
            </w:tcBorders>
            <w:gridSpan w:val="3"/>
          </w:tcPr>
          <w:p>
            <w:pPr>
              <w:jc w:val="center"/>
              <w:ind w:right="159"/>
              <w:spacing w:after="0"/>
              <w:rPr>
                <w:sz w:val="20"/>
                <w:szCs w:val="20"/>
                <w:color w:val="auto"/>
              </w:rPr>
            </w:pPr>
            <w:r>
              <w:rPr>
                <w:rFonts w:ascii="Arial" w:cs="Arial" w:eastAsia="Arial" w:hAnsi="Arial"/>
                <w:sz w:val="16"/>
                <w:szCs w:val="16"/>
                <w:i w:val="1"/>
                <w:iCs w:val="1"/>
                <w:color w:val="auto"/>
              </w:rPr>
              <w:t>Six Months Ended</w:t>
            </w:r>
          </w:p>
        </w:tc>
        <w:tc>
          <w:tcPr>
            <w:tcW w:w="600" w:type="dxa"/>
            <w:vAlign w:val="bottom"/>
            <w:tcBorders>
              <w:top w:val="single" w:sz="8" w:color="808080"/>
            </w:tcBorders>
          </w:tcPr>
          <w:p>
            <w:pPr>
              <w:spacing w:after="0"/>
              <w:rPr>
                <w:sz w:val="22"/>
                <w:szCs w:val="22"/>
                <w:color w:val="auto"/>
              </w:rPr>
            </w:pPr>
          </w:p>
        </w:tc>
        <w:tc>
          <w:tcPr>
            <w:tcW w:w="16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auto"/>
              </w:rPr>
              <w:t>Freight Revenues</w:t>
            </w: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gridSpan w:val="2"/>
          </w:tcPr>
          <w:p>
            <w:pPr>
              <w:jc w:val="center"/>
              <w:ind w:left="139"/>
              <w:spacing w:after="0"/>
              <w:rPr>
                <w:sz w:val="20"/>
                <w:szCs w:val="20"/>
                <w:color w:val="auto"/>
              </w:rPr>
            </w:pPr>
            <w:r>
              <w:rPr>
                <w:rFonts w:ascii="Arial" w:cs="Arial" w:eastAsia="Arial" w:hAnsi="Arial"/>
                <w:sz w:val="16"/>
                <w:szCs w:val="16"/>
                <w:i w:val="1"/>
                <w:iCs w:val="1"/>
                <w:color w:val="auto"/>
              </w:rPr>
              <w:t>June 30,</w:t>
            </w:r>
          </w:p>
        </w:tc>
        <w:tc>
          <w:tcPr>
            <w:tcW w:w="48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i w:val="1"/>
                <w:iCs w:val="1"/>
                <w:color w:val="auto"/>
              </w:rPr>
              <w:t>Change</w:t>
            </w: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gridSpan w:val="2"/>
          </w:tcPr>
          <w:p>
            <w:pPr>
              <w:jc w:val="center"/>
              <w:ind w:left="199"/>
              <w:spacing w:after="0"/>
              <w:rPr>
                <w:sz w:val="20"/>
                <w:szCs w:val="20"/>
                <w:color w:val="auto"/>
              </w:rPr>
            </w:pPr>
            <w:r>
              <w:rPr>
                <w:rFonts w:ascii="Arial" w:cs="Arial" w:eastAsia="Arial" w:hAnsi="Arial"/>
                <w:sz w:val="16"/>
                <w:szCs w:val="16"/>
                <w:i w:val="1"/>
                <w:iCs w:val="1"/>
                <w:color w:val="auto"/>
              </w:rPr>
              <w:t>June 30,</w:t>
            </w:r>
          </w:p>
        </w:tc>
        <w:tc>
          <w:tcPr>
            <w:tcW w:w="500" w:type="dxa"/>
            <w:vAlign w:val="bottom"/>
            <w:tcBorders>
              <w:bottom w:val="single" w:sz="8" w:color="808080"/>
            </w:tcBorders>
          </w:tcPr>
          <w:p>
            <w:pPr>
              <w:spacing w:after="0"/>
              <w:rPr>
                <w:sz w:val="17"/>
                <w:szCs w:val="1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6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gridSpan w:val="3"/>
            <w:vMerge w:val="continue"/>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60" w:type="dxa"/>
            <w:vAlign w:val="bottom"/>
            <w:tcBorders>
              <w:bottom w:val="single" w:sz="8" w:color="80808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Agricultural Products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907</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1,849</w:t>
            </w:r>
          </w:p>
        </w:tc>
        <w:tc>
          <w:tcPr>
            <w:tcW w:w="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Automotive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513</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488</w:t>
            </w: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1,017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998</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Chemicals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1,783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Coal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619</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494</w:t>
            </w: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1,267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1,013</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1,030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1,937</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Intermodal</w:t>
            </w: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color w:val="auto"/>
              </w:rPr>
              <w:t>939</w:t>
            </w:r>
          </w:p>
        </w:tc>
        <w:tc>
          <w:tcPr>
            <w:tcW w:w="2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909</w:t>
            </w:r>
          </w:p>
        </w:tc>
        <w:tc>
          <w:tcPr>
            <w:tcW w:w="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color w:val="auto"/>
              </w:rPr>
              <w:t>1,847</w:t>
            </w:r>
          </w:p>
        </w:tc>
        <w:tc>
          <w:tcPr>
            <w:tcW w:w="3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1,788</w:t>
            </w: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4,906</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4,430</w:t>
            </w: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9,700</w:t>
            </w:r>
          </w:p>
        </w:tc>
        <w:tc>
          <w:tcPr>
            <w:tcW w:w="3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331"/>
        </w:trPr>
        <w:tc>
          <w:tcPr>
            <w:tcW w:w="3660" w:type="dxa"/>
            <w:vAlign w:val="bottom"/>
            <w:tcBorders>
              <w:top w:val="single" w:sz="8" w:color="808080"/>
              <w:bottom w:val="single" w:sz="8" w:color="808080"/>
            </w:tcBorders>
          </w:tcPr>
          <w:p>
            <w:pPr>
              <w:spacing w:after="0"/>
              <w:rPr>
                <w:sz w:val="24"/>
                <w:szCs w:val="24"/>
                <w:color w:val="auto"/>
              </w:rPr>
            </w:pPr>
          </w:p>
        </w:tc>
        <w:tc>
          <w:tcPr>
            <w:tcW w:w="60" w:type="dxa"/>
            <w:vAlign w:val="bottom"/>
            <w:tcBorders>
              <w:top w:val="single" w:sz="8" w:color="808080"/>
              <w:bottom w:val="single" w:sz="8" w:color="808080"/>
            </w:tcBorders>
          </w:tcPr>
          <w:p>
            <w:pPr>
              <w:spacing w:after="0"/>
              <w:rPr>
                <w:sz w:val="24"/>
                <w:szCs w:val="24"/>
                <w:color w:val="auto"/>
              </w:rPr>
            </w:pPr>
          </w:p>
        </w:tc>
        <w:tc>
          <w:tcPr>
            <w:tcW w:w="1620" w:type="dxa"/>
            <w:vAlign w:val="bottom"/>
            <w:tcBorders>
              <w:top w:val="single" w:sz="8" w:color="808080"/>
              <w:bottom w:val="single" w:sz="8" w:color="808080"/>
            </w:tcBorders>
            <w:gridSpan w:val="5"/>
          </w:tcPr>
          <w:p>
            <w:pPr>
              <w:spacing w:after="0"/>
              <w:rPr>
                <w:sz w:val="24"/>
                <w:szCs w:val="24"/>
                <w:color w:val="auto"/>
              </w:rPr>
            </w:pPr>
          </w:p>
        </w:tc>
        <w:tc>
          <w:tcPr>
            <w:tcW w:w="440" w:type="dxa"/>
            <w:vAlign w:val="bottom"/>
            <w:tcBorders>
              <w:top w:val="single" w:sz="8" w:color="808080"/>
              <w:bottom w:val="single" w:sz="8" w:color="808080"/>
            </w:tcBorders>
          </w:tcPr>
          <w:p>
            <w:pPr>
              <w:spacing w:after="0"/>
              <w:rPr>
                <w:sz w:val="24"/>
                <w:szCs w:val="24"/>
                <w:color w:val="auto"/>
              </w:rPr>
            </w:pPr>
          </w:p>
        </w:tc>
        <w:tc>
          <w:tcPr>
            <w:tcW w:w="220" w:type="dxa"/>
            <w:vAlign w:val="bottom"/>
            <w:tcBorders>
              <w:top w:val="single" w:sz="8" w:color="808080"/>
              <w:bottom w:val="single" w:sz="8" w:color="808080"/>
            </w:tcBorders>
          </w:tcPr>
          <w:p>
            <w:pPr>
              <w:spacing w:after="0"/>
              <w:rPr>
                <w:sz w:val="24"/>
                <w:szCs w:val="24"/>
                <w:color w:val="auto"/>
              </w:rPr>
            </w:pPr>
          </w:p>
        </w:tc>
        <w:tc>
          <w:tcPr>
            <w:tcW w:w="180" w:type="dxa"/>
            <w:vAlign w:val="bottom"/>
            <w:tcBorders>
              <w:top w:val="single" w:sz="8" w:color="808080"/>
              <w:bottom w:val="single" w:sz="8" w:color="808080"/>
            </w:tcBorders>
          </w:tcPr>
          <w:p>
            <w:pPr>
              <w:spacing w:after="0"/>
              <w:rPr>
                <w:sz w:val="24"/>
                <w:szCs w:val="24"/>
                <w:color w:val="auto"/>
              </w:rPr>
            </w:pPr>
          </w:p>
        </w:tc>
        <w:tc>
          <w:tcPr>
            <w:tcW w:w="140" w:type="dxa"/>
            <w:vAlign w:val="bottom"/>
            <w:tcBorders>
              <w:top w:val="single" w:sz="8" w:color="808080"/>
              <w:bottom w:val="single" w:sz="8" w:color="808080"/>
            </w:tcBorders>
          </w:tcPr>
          <w:p>
            <w:pPr>
              <w:spacing w:after="0"/>
              <w:rPr>
                <w:sz w:val="24"/>
                <w:szCs w:val="24"/>
                <w:color w:val="auto"/>
              </w:rPr>
            </w:pPr>
          </w:p>
        </w:tc>
        <w:tc>
          <w:tcPr>
            <w:tcW w:w="100" w:type="dxa"/>
            <w:vAlign w:val="bottom"/>
            <w:tcBorders>
              <w:top w:val="single" w:sz="8" w:color="808080"/>
              <w:bottom w:val="single" w:sz="8" w:color="808080"/>
            </w:tcBorders>
          </w:tcPr>
          <w:p>
            <w:pPr>
              <w:spacing w:after="0"/>
              <w:rPr>
                <w:sz w:val="24"/>
                <w:szCs w:val="24"/>
                <w:color w:val="auto"/>
              </w:rPr>
            </w:pPr>
          </w:p>
        </w:tc>
        <w:tc>
          <w:tcPr>
            <w:tcW w:w="1640" w:type="dxa"/>
            <w:vAlign w:val="bottom"/>
            <w:tcBorders>
              <w:top w:val="single" w:sz="8" w:color="808080"/>
              <w:bottom w:val="single" w:sz="8" w:color="808080"/>
            </w:tcBorders>
            <w:gridSpan w:val="3"/>
          </w:tcPr>
          <w:p>
            <w:pPr>
              <w:spacing w:after="0"/>
              <w:rPr>
                <w:sz w:val="24"/>
                <w:szCs w:val="24"/>
                <w:color w:val="auto"/>
              </w:rPr>
            </w:pPr>
          </w:p>
        </w:tc>
        <w:tc>
          <w:tcPr>
            <w:tcW w:w="600" w:type="dxa"/>
            <w:vAlign w:val="bottom"/>
            <w:tcBorders>
              <w:top w:val="single" w:sz="8" w:color="808080"/>
              <w:bottom w:val="single" w:sz="8" w:color="808080"/>
            </w:tcBorders>
          </w:tcPr>
          <w:p>
            <w:pPr>
              <w:spacing w:after="0"/>
              <w:rPr>
                <w:sz w:val="24"/>
                <w:szCs w:val="24"/>
                <w:color w:val="auto"/>
              </w:rPr>
            </w:pPr>
          </w:p>
        </w:tc>
        <w:tc>
          <w:tcPr>
            <w:tcW w:w="160" w:type="dxa"/>
            <w:vAlign w:val="bottom"/>
            <w:tcBorders>
              <w:top w:val="single" w:sz="8" w:color="808080"/>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5"/>
          </w:tcPr>
          <w:p>
            <w:pPr>
              <w:ind w:left="60"/>
              <w:spacing w:after="0"/>
              <w:rPr>
                <w:sz w:val="20"/>
                <w:szCs w:val="20"/>
                <w:color w:val="auto"/>
              </w:rPr>
            </w:pPr>
            <w:r>
              <w:rPr>
                <w:rFonts w:ascii="Arial" w:cs="Arial" w:eastAsia="Arial" w:hAnsi="Arial"/>
                <w:sz w:val="16"/>
                <w:szCs w:val="16"/>
                <w:i w:val="1"/>
                <w:iCs w:val="1"/>
                <w:color w:val="auto"/>
              </w:rPr>
              <w:t>Three Months Ended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right"/>
              <w:ind w:right="139"/>
              <w:spacing w:after="0"/>
              <w:rPr>
                <w:sz w:val="20"/>
                <w:szCs w:val="20"/>
                <w:color w:val="auto"/>
              </w:rPr>
            </w:pPr>
            <w:r>
              <w:rPr>
                <w:rFonts w:ascii="Arial" w:cs="Arial" w:eastAsia="Arial" w:hAnsi="Arial"/>
                <w:sz w:val="16"/>
                <w:szCs w:val="16"/>
                <w:i w:val="1"/>
                <w:iCs w:val="1"/>
                <w:color w:val="auto"/>
              </w:rPr>
              <w:t>Six Months Ended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auto"/>
              </w:rPr>
              <w:t>Revenue Carloads</w:t>
            </w:r>
          </w:p>
        </w:tc>
        <w:tc>
          <w:tcPr>
            <w:tcW w:w="60" w:type="dxa"/>
            <w:vAlign w:val="bottom"/>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gridSpan w:val="4"/>
          </w:tcPr>
          <w:p>
            <w:pPr>
              <w:jc w:val="right"/>
              <w:ind w:right="500"/>
              <w:spacing w:after="0"/>
              <w:rPr>
                <w:sz w:val="20"/>
                <w:szCs w:val="20"/>
                <w:color w:val="auto"/>
              </w:rPr>
            </w:pPr>
            <w:r>
              <w:rPr>
                <w:rFonts w:ascii="Arial" w:cs="Arial" w:eastAsia="Arial" w:hAnsi="Arial"/>
                <w:sz w:val="16"/>
                <w:szCs w:val="16"/>
                <w:i w:val="1"/>
                <w:iCs w:val="1"/>
                <w:color w:val="auto"/>
              </w:rPr>
              <w:t>June 30,</w:t>
            </w: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i w:val="1"/>
                <w:iCs w:val="1"/>
                <w:color w:val="auto"/>
              </w:rPr>
              <w:t>Change</w:t>
            </w:r>
          </w:p>
        </w:tc>
        <w:tc>
          <w:tcPr>
            <w:tcW w:w="140" w:type="dxa"/>
            <w:vAlign w:val="bottom"/>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500" w:type="dxa"/>
            <w:vAlign w:val="bottom"/>
            <w:tcBorders>
              <w:bottom w:val="single" w:sz="8" w:color="808080"/>
            </w:tcBorders>
          </w:tcPr>
          <w:p>
            <w:pPr>
              <w:spacing w:after="0"/>
              <w:rPr>
                <w:sz w:val="17"/>
                <w:szCs w:val="1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Thousands,</w:t>
            </w: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8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6"/>
                <w:szCs w:val="16"/>
                <w:i w:val="1"/>
                <w:iCs w:val="1"/>
                <w:color w:val="auto"/>
              </w:rPr>
              <w:t>2016</w:t>
            </w:r>
          </w:p>
        </w:tc>
        <w:tc>
          <w:tcPr>
            <w:tcW w:w="840" w:type="dxa"/>
            <w:vAlign w:val="bottom"/>
            <w:tcBorders>
              <w:bottom w:val="single" w:sz="8" w:color="808080"/>
            </w:tcBorders>
            <w:gridSpan w:val="3"/>
            <w:vMerge w:val="continue"/>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60" w:type="dxa"/>
            <w:vAlign w:val="bottom"/>
            <w:tcBorders>
              <w:bottom w:val="single" w:sz="8" w:color="80808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Agricultural Products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2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Automotive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2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217</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434</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Chemicals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Coal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285</w:t>
            </w:r>
          </w:p>
        </w:tc>
        <w:tc>
          <w:tcPr>
            <w:tcW w:w="2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243</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589</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505</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315</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6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Intermodal [a]</w:t>
            </w: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824</w:t>
            </w:r>
          </w:p>
        </w:tc>
        <w:tc>
          <w:tcPr>
            <w:tcW w:w="2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6"/>
                <w:szCs w:val="16"/>
                <w:color w:val="auto"/>
              </w:rPr>
              <w:t>809</w:t>
            </w:r>
          </w:p>
        </w:tc>
        <w:tc>
          <w:tcPr>
            <w:tcW w:w="4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jc w:val="right"/>
              <w:ind w:right="39"/>
              <w:spacing w:after="0"/>
              <w:rPr>
                <w:sz w:val="20"/>
                <w:szCs w:val="20"/>
                <w:color w:val="auto"/>
              </w:rPr>
            </w:pPr>
            <w:r>
              <w:rPr>
                <w:rFonts w:ascii="Arial" w:cs="Arial" w:eastAsia="Arial" w:hAnsi="Arial"/>
                <w:sz w:val="16"/>
                <w:szCs w:val="16"/>
                <w:b w:val="1"/>
                <w:bCs w:val="1"/>
                <w:color w:val="auto"/>
                <w:w w:val="89"/>
              </w:rPr>
              <w:t>2</w:t>
            </w: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1,611</w:t>
            </w:r>
          </w:p>
        </w:tc>
        <w:tc>
          <w:tcPr>
            <w:tcW w:w="3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1,597</w:t>
            </w: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2,145</w:t>
            </w:r>
          </w:p>
        </w:tc>
        <w:tc>
          <w:tcPr>
            <w:tcW w:w="2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2,048</w:t>
            </w:r>
          </w:p>
        </w:tc>
        <w:tc>
          <w:tcPr>
            <w:tcW w:w="4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5 %</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4,233</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331"/>
        </w:trPr>
        <w:tc>
          <w:tcPr>
            <w:tcW w:w="3660" w:type="dxa"/>
            <w:vAlign w:val="bottom"/>
            <w:tcBorders>
              <w:top w:val="single" w:sz="8" w:color="808080"/>
              <w:bottom w:val="single" w:sz="8" w:color="7F7F7F"/>
            </w:tcBorders>
          </w:tcPr>
          <w:p>
            <w:pPr>
              <w:spacing w:after="0"/>
              <w:rPr>
                <w:sz w:val="24"/>
                <w:szCs w:val="24"/>
                <w:color w:val="auto"/>
              </w:rPr>
            </w:pPr>
          </w:p>
        </w:tc>
        <w:tc>
          <w:tcPr>
            <w:tcW w:w="1680" w:type="dxa"/>
            <w:vAlign w:val="bottom"/>
            <w:tcBorders>
              <w:top w:val="single" w:sz="8" w:color="808080"/>
              <w:bottom w:val="single" w:sz="8" w:color="7F7F7F"/>
            </w:tcBorders>
            <w:gridSpan w:val="6"/>
          </w:tcPr>
          <w:p>
            <w:pPr>
              <w:spacing w:after="0"/>
              <w:rPr>
                <w:sz w:val="24"/>
                <w:szCs w:val="24"/>
                <w:color w:val="auto"/>
              </w:rPr>
            </w:pPr>
          </w:p>
        </w:tc>
        <w:tc>
          <w:tcPr>
            <w:tcW w:w="440" w:type="dxa"/>
            <w:vAlign w:val="bottom"/>
            <w:tcBorders>
              <w:top w:val="single" w:sz="8" w:color="808080"/>
              <w:bottom w:val="single" w:sz="8" w:color="7F7F7F"/>
            </w:tcBorders>
          </w:tcPr>
          <w:p>
            <w:pPr>
              <w:spacing w:after="0"/>
              <w:rPr>
                <w:sz w:val="24"/>
                <w:szCs w:val="24"/>
                <w:color w:val="auto"/>
              </w:rPr>
            </w:pPr>
          </w:p>
        </w:tc>
        <w:tc>
          <w:tcPr>
            <w:tcW w:w="220" w:type="dxa"/>
            <w:vAlign w:val="bottom"/>
            <w:tcBorders>
              <w:top w:val="single" w:sz="8" w:color="808080"/>
              <w:bottom w:val="single" w:sz="8" w:color="7F7F7F"/>
            </w:tcBorders>
          </w:tcPr>
          <w:p>
            <w:pPr>
              <w:spacing w:after="0"/>
              <w:rPr>
                <w:sz w:val="24"/>
                <w:szCs w:val="24"/>
                <w:color w:val="auto"/>
              </w:rPr>
            </w:pPr>
          </w:p>
        </w:tc>
        <w:tc>
          <w:tcPr>
            <w:tcW w:w="180" w:type="dxa"/>
            <w:vAlign w:val="bottom"/>
            <w:tcBorders>
              <w:top w:val="single" w:sz="8" w:color="808080"/>
              <w:bottom w:val="single" w:sz="8" w:color="808080"/>
            </w:tcBorders>
          </w:tcPr>
          <w:p>
            <w:pPr>
              <w:spacing w:after="0"/>
              <w:rPr>
                <w:sz w:val="24"/>
                <w:szCs w:val="24"/>
                <w:color w:val="auto"/>
              </w:rPr>
            </w:pPr>
          </w:p>
        </w:tc>
        <w:tc>
          <w:tcPr>
            <w:tcW w:w="140" w:type="dxa"/>
            <w:vAlign w:val="bottom"/>
            <w:tcBorders>
              <w:top w:val="single" w:sz="8" w:color="808080"/>
              <w:bottom w:val="single" w:sz="8" w:color="808080"/>
            </w:tcBorders>
          </w:tcPr>
          <w:p>
            <w:pPr>
              <w:spacing w:after="0"/>
              <w:rPr>
                <w:sz w:val="24"/>
                <w:szCs w:val="24"/>
                <w:color w:val="auto"/>
              </w:rPr>
            </w:pPr>
          </w:p>
        </w:tc>
        <w:tc>
          <w:tcPr>
            <w:tcW w:w="100" w:type="dxa"/>
            <w:vAlign w:val="bottom"/>
            <w:tcBorders>
              <w:top w:val="single" w:sz="8" w:color="808080"/>
              <w:bottom w:val="single" w:sz="8" w:color="808080"/>
            </w:tcBorders>
          </w:tcPr>
          <w:p>
            <w:pPr>
              <w:spacing w:after="0"/>
              <w:rPr>
                <w:sz w:val="24"/>
                <w:szCs w:val="24"/>
                <w:color w:val="auto"/>
              </w:rPr>
            </w:pPr>
          </w:p>
        </w:tc>
        <w:tc>
          <w:tcPr>
            <w:tcW w:w="1640" w:type="dxa"/>
            <w:vAlign w:val="bottom"/>
            <w:tcBorders>
              <w:top w:val="single" w:sz="8" w:color="808080"/>
              <w:bottom w:val="single" w:sz="8" w:color="808080"/>
            </w:tcBorders>
            <w:gridSpan w:val="3"/>
          </w:tcPr>
          <w:p>
            <w:pPr>
              <w:spacing w:after="0"/>
              <w:rPr>
                <w:sz w:val="24"/>
                <w:szCs w:val="24"/>
                <w:color w:val="auto"/>
              </w:rPr>
            </w:pPr>
          </w:p>
        </w:tc>
        <w:tc>
          <w:tcPr>
            <w:tcW w:w="600" w:type="dxa"/>
            <w:vAlign w:val="bottom"/>
            <w:tcBorders>
              <w:top w:val="single" w:sz="8" w:color="808080"/>
              <w:bottom w:val="single" w:sz="8" w:color="808080"/>
            </w:tcBorders>
          </w:tcPr>
          <w:p>
            <w:pPr>
              <w:spacing w:after="0"/>
              <w:rPr>
                <w:sz w:val="24"/>
                <w:szCs w:val="24"/>
                <w:color w:val="auto"/>
              </w:rPr>
            </w:pPr>
          </w:p>
        </w:tc>
        <w:tc>
          <w:tcPr>
            <w:tcW w:w="160" w:type="dxa"/>
            <w:vAlign w:val="bottom"/>
            <w:tcBorders>
              <w:top w:val="single" w:sz="8" w:color="808080"/>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1680" w:type="dxa"/>
            <w:vAlign w:val="bottom"/>
            <w:gridSpan w:val="6"/>
          </w:tcPr>
          <w:p>
            <w:pPr>
              <w:jc w:val="center"/>
              <w:ind w:right="80"/>
              <w:spacing w:after="0"/>
              <w:rPr>
                <w:sz w:val="20"/>
                <w:szCs w:val="20"/>
                <w:color w:val="auto"/>
              </w:rPr>
            </w:pPr>
            <w:r>
              <w:rPr>
                <w:rFonts w:ascii="Arial" w:cs="Arial" w:eastAsia="Arial" w:hAnsi="Arial"/>
                <w:sz w:val="16"/>
                <w:szCs w:val="16"/>
                <w:i w:val="1"/>
                <w:iCs w:val="1"/>
                <w:color w:val="auto"/>
              </w:rPr>
              <w:t>Three Months Ended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center"/>
              <w:ind w:right="159"/>
              <w:spacing w:after="0"/>
              <w:rPr>
                <w:sz w:val="20"/>
                <w:szCs w:val="20"/>
                <w:color w:val="auto"/>
              </w:rPr>
            </w:pPr>
            <w:r>
              <w:rPr>
                <w:rFonts w:ascii="Arial" w:cs="Arial" w:eastAsia="Arial" w:hAnsi="Arial"/>
                <w:sz w:val="16"/>
                <w:szCs w:val="16"/>
                <w:i w:val="1"/>
                <w:iCs w:val="1"/>
                <w:color w:val="auto"/>
              </w:rPr>
              <w:t>Six Months Ended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gridSpan w:val="2"/>
          </w:tcPr>
          <w:p>
            <w:pPr>
              <w:jc w:val="center"/>
              <w:ind w:left="139"/>
              <w:spacing w:after="0"/>
              <w:rPr>
                <w:sz w:val="20"/>
                <w:szCs w:val="20"/>
                <w:color w:val="auto"/>
              </w:rPr>
            </w:pPr>
            <w:r>
              <w:rPr>
                <w:rFonts w:ascii="Arial" w:cs="Arial" w:eastAsia="Arial" w:hAnsi="Arial"/>
                <w:sz w:val="16"/>
                <w:szCs w:val="16"/>
                <w:i w:val="1"/>
                <w:iCs w:val="1"/>
                <w:color w:val="auto"/>
              </w:rPr>
              <w:t>June 30,</w:t>
            </w:r>
          </w:p>
        </w:tc>
        <w:tc>
          <w:tcPr>
            <w:tcW w:w="48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gridSpan w:val="2"/>
          </w:tcPr>
          <w:p>
            <w:pPr>
              <w:jc w:val="center"/>
              <w:ind w:left="199"/>
              <w:spacing w:after="0"/>
              <w:rPr>
                <w:sz w:val="20"/>
                <w:szCs w:val="20"/>
                <w:color w:val="auto"/>
              </w:rPr>
            </w:pPr>
            <w:r>
              <w:rPr>
                <w:rFonts w:ascii="Arial" w:cs="Arial" w:eastAsia="Arial" w:hAnsi="Arial"/>
                <w:sz w:val="16"/>
                <w:szCs w:val="16"/>
                <w:i w:val="1"/>
                <w:iCs w:val="1"/>
                <w:color w:val="auto"/>
              </w:rPr>
              <w:t>June 30,</w:t>
            </w:r>
          </w:p>
        </w:tc>
        <w:tc>
          <w:tcPr>
            <w:tcW w:w="500" w:type="dxa"/>
            <w:vAlign w:val="bottom"/>
            <w:tcBorders>
              <w:bottom w:val="single" w:sz="8" w:color="808080"/>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b w:val="1"/>
                <w:bCs w:val="1"/>
                <w:i w:val="1"/>
                <w:iCs w:val="1"/>
                <w:color w:val="auto"/>
              </w:rPr>
              <w:t>Average Revenue per Car</w:t>
            </w: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6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gridSpan w:val="3"/>
          </w:tcPr>
          <w:p>
            <w:pPr>
              <w:jc w:val="right"/>
              <w:ind w:right="180"/>
              <w:spacing w:after="0"/>
              <w:rPr>
                <w:sz w:val="20"/>
                <w:szCs w:val="20"/>
                <w:color w:val="auto"/>
              </w:rPr>
            </w:pPr>
            <w:r>
              <w:rPr>
                <w:rFonts w:ascii="Arial" w:cs="Arial" w:eastAsia="Arial" w:hAnsi="Arial"/>
                <w:sz w:val="16"/>
                <w:szCs w:val="16"/>
                <w:b w:val="1"/>
                <w:bCs w:val="1"/>
                <w:i w:val="1"/>
                <w:iCs w:val="1"/>
                <w:color w:val="auto"/>
              </w:rPr>
              <w:t>Change</w:t>
            </w: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6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Agricultural Products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3,813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3,692</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3,793</w:t>
            </w:r>
          </w:p>
        </w:tc>
        <w:tc>
          <w:tcPr>
            <w:tcW w:w="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Automotive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2,393</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2,247</w:t>
            </w: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2,383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2,298</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Chemicals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3,334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3,146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3,390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Coal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2,173</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2,026</w:t>
            </w: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2,153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2,005</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3,271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3,025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3,266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Intermodal [a]</w:t>
            </w: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color w:val="auto"/>
              </w:rPr>
              <w:t>1,140</w:t>
            </w:r>
          </w:p>
        </w:tc>
        <w:tc>
          <w:tcPr>
            <w:tcW w:w="2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99"/>
              </w:rPr>
              <w:t>1,124</w:t>
            </w:r>
          </w:p>
        </w:tc>
        <w:tc>
          <w:tcPr>
            <w:tcW w:w="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color w:val="auto"/>
              </w:rPr>
              <w:t>1,147</w:t>
            </w:r>
          </w:p>
        </w:tc>
        <w:tc>
          <w:tcPr>
            <w:tcW w:w="3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1,120</w:t>
            </w: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w:t>
            </w:r>
          </w:p>
        </w:tc>
        <w:tc>
          <w:tcPr>
            <w:tcW w:w="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2,287</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2,163</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2,292</w:t>
            </w:r>
          </w:p>
        </w:tc>
        <w:tc>
          <w:tcPr>
            <w:tcW w:w="3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54"/>
        </w:trPr>
        <w:tc>
          <w:tcPr>
            <w:tcW w:w="3660" w:type="dxa"/>
            <w:vAlign w:val="bottom"/>
            <w:shd w:val="clear" w:color="auto" w:fill="808080"/>
          </w:tcPr>
          <w:p>
            <w:pPr>
              <w:spacing w:after="0"/>
              <w:rPr>
                <w:sz w:val="4"/>
                <w:szCs w:val="4"/>
                <w:color w:val="auto"/>
              </w:rPr>
            </w:pPr>
          </w:p>
        </w:tc>
        <w:tc>
          <w:tcPr>
            <w:tcW w:w="60" w:type="dxa"/>
            <w:vAlign w:val="bottom"/>
            <w:shd w:val="clear" w:color="auto" w:fill="808080"/>
          </w:tcPr>
          <w:p>
            <w:pPr>
              <w:spacing w:after="0"/>
              <w:rPr>
                <w:sz w:val="4"/>
                <w:szCs w:val="4"/>
                <w:color w:val="auto"/>
              </w:rPr>
            </w:pPr>
          </w:p>
        </w:tc>
        <w:tc>
          <w:tcPr>
            <w:tcW w:w="200" w:type="dxa"/>
            <w:vAlign w:val="bottom"/>
            <w:shd w:val="clear" w:color="auto" w:fill="808080"/>
          </w:tcPr>
          <w:p>
            <w:pPr>
              <w:spacing w:after="0"/>
              <w:rPr>
                <w:sz w:val="4"/>
                <w:szCs w:val="4"/>
                <w:color w:val="auto"/>
              </w:rPr>
            </w:pPr>
          </w:p>
        </w:tc>
        <w:tc>
          <w:tcPr>
            <w:tcW w:w="600" w:type="dxa"/>
            <w:vAlign w:val="bottom"/>
            <w:shd w:val="clear" w:color="auto" w:fill="808080"/>
          </w:tcPr>
          <w:p>
            <w:pPr>
              <w:spacing w:after="0"/>
              <w:rPr>
                <w:sz w:val="4"/>
                <w:szCs w:val="4"/>
                <w:color w:val="auto"/>
              </w:rPr>
            </w:pPr>
          </w:p>
        </w:tc>
        <w:tc>
          <w:tcPr>
            <w:tcW w:w="280" w:type="dxa"/>
            <w:vAlign w:val="bottom"/>
            <w:shd w:val="clear" w:color="auto" w:fill="808080"/>
          </w:tcPr>
          <w:p>
            <w:pPr>
              <w:spacing w:after="0"/>
              <w:rPr>
                <w:sz w:val="4"/>
                <w:szCs w:val="4"/>
                <w:color w:val="auto"/>
              </w:rPr>
            </w:pPr>
          </w:p>
        </w:tc>
        <w:tc>
          <w:tcPr>
            <w:tcW w:w="480" w:type="dxa"/>
            <w:vAlign w:val="bottom"/>
            <w:shd w:val="clear" w:color="auto" w:fill="808080"/>
          </w:tcPr>
          <w:p>
            <w:pPr>
              <w:spacing w:after="0"/>
              <w:rPr>
                <w:sz w:val="4"/>
                <w:szCs w:val="4"/>
                <w:color w:val="auto"/>
              </w:rPr>
            </w:pPr>
          </w:p>
        </w:tc>
        <w:tc>
          <w:tcPr>
            <w:tcW w:w="60" w:type="dxa"/>
            <w:vAlign w:val="bottom"/>
            <w:shd w:val="clear" w:color="auto" w:fill="808080"/>
          </w:tcPr>
          <w:p>
            <w:pPr>
              <w:spacing w:after="0"/>
              <w:rPr>
                <w:sz w:val="4"/>
                <w:szCs w:val="4"/>
                <w:color w:val="auto"/>
              </w:rPr>
            </w:pPr>
          </w:p>
        </w:tc>
        <w:tc>
          <w:tcPr>
            <w:tcW w:w="440" w:type="dxa"/>
            <w:vAlign w:val="bottom"/>
            <w:shd w:val="clear" w:color="auto" w:fill="808080"/>
          </w:tcPr>
          <w:p>
            <w:pPr>
              <w:spacing w:after="0"/>
              <w:rPr>
                <w:sz w:val="4"/>
                <w:szCs w:val="4"/>
                <w:color w:val="auto"/>
              </w:rPr>
            </w:pPr>
          </w:p>
        </w:tc>
        <w:tc>
          <w:tcPr>
            <w:tcW w:w="220" w:type="dxa"/>
            <w:vAlign w:val="bottom"/>
            <w:shd w:val="clear" w:color="auto" w:fill="808080"/>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140" w:type="dxa"/>
            <w:vAlign w:val="bottom"/>
            <w:shd w:val="clear" w:color="auto" w:fill="808080"/>
          </w:tcPr>
          <w:p>
            <w:pPr>
              <w:spacing w:after="0"/>
              <w:rPr>
                <w:sz w:val="4"/>
                <w:szCs w:val="4"/>
                <w:color w:val="auto"/>
              </w:rPr>
            </w:pPr>
          </w:p>
        </w:tc>
        <w:tc>
          <w:tcPr>
            <w:tcW w:w="100" w:type="dxa"/>
            <w:vAlign w:val="bottom"/>
            <w:shd w:val="clear" w:color="auto" w:fill="808080"/>
          </w:tcPr>
          <w:p>
            <w:pPr>
              <w:spacing w:after="0"/>
              <w:rPr>
                <w:sz w:val="4"/>
                <w:szCs w:val="4"/>
                <w:color w:val="auto"/>
              </w:rPr>
            </w:pPr>
          </w:p>
        </w:tc>
        <w:tc>
          <w:tcPr>
            <w:tcW w:w="760" w:type="dxa"/>
            <w:vAlign w:val="bottom"/>
            <w:shd w:val="clear" w:color="auto" w:fill="808080"/>
          </w:tcPr>
          <w:p>
            <w:pPr>
              <w:spacing w:after="0"/>
              <w:rPr>
                <w:sz w:val="4"/>
                <w:szCs w:val="4"/>
                <w:color w:val="auto"/>
              </w:rPr>
            </w:pPr>
          </w:p>
        </w:tc>
        <w:tc>
          <w:tcPr>
            <w:tcW w:w="380" w:type="dxa"/>
            <w:vAlign w:val="bottom"/>
            <w:shd w:val="clear" w:color="auto" w:fill="808080"/>
          </w:tcPr>
          <w:p>
            <w:pPr>
              <w:spacing w:after="0"/>
              <w:rPr>
                <w:sz w:val="4"/>
                <w:szCs w:val="4"/>
                <w:color w:val="auto"/>
              </w:rPr>
            </w:pPr>
          </w:p>
        </w:tc>
        <w:tc>
          <w:tcPr>
            <w:tcW w:w="500" w:type="dxa"/>
            <w:vAlign w:val="bottom"/>
            <w:shd w:val="clear" w:color="auto" w:fill="808080"/>
          </w:tcPr>
          <w:p>
            <w:pPr>
              <w:spacing w:after="0"/>
              <w:rPr>
                <w:sz w:val="4"/>
                <w:szCs w:val="4"/>
                <w:color w:val="auto"/>
              </w:rPr>
            </w:pPr>
          </w:p>
        </w:tc>
        <w:tc>
          <w:tcPr>
            <w:tcW w:w="600" w:type="dxa"/>
            <w:vAlign w:val="bottom"/>
            <w:shd w:val="clear" w:color="auto" w:fill="808080"/>
          </w:tcPr>
          <w:p>
            <w:pPr>
              <w:spacing w:after="0"/>
              <w:rPr>
                <w:sz w:val="4"/>
                <w:szCs w:val="4"/>
                <w:color w:val="auto"/>
              </w:rPr>
            </w:pPr>
          </w:p>
        </w:tc>
        <w:tc>
          <w:tcPr>
            <w:tcW w:w="160" w:type="dxa"/>
            <w:vAlign w:val="bottom"/>
            <w:shd w:val="clear" w:color="auto" w:fill="808080"/>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60" w:hanging="355"/>
        <w:spacing w:after="0"/>
        <w:tabs>
          <w:tab w:leader="none" w:pos="46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Each intermodal container or trailer equals one carload.</w:t>
      </w:r>
    </w:p>
    <w:p>
      <w:pPr>
        <w:spacing w:after="0" w:line="140"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i w:val="1"/>
          <w:iCs w:val="1"/>
          <w:color w:val="auto"/>
        </w:rPr>
        <w:t xml:space="preserve">Agricultural Products </w:t>
      </w:r>
      <w:r>
        <w:rPr>
          <w:rFonts w:ascii="Arial" w:cs="Arial" w:eastAsia="Arial" w:hAnsi="Arial"/>
          <w:sz w:val="18"/>
          <w:szCs w:val="18"/>
          <w:color w:val="auto"/>
        </w:rPr>
        <w:t>– Freight revenue from agricultural products shipments increased in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year-to-date periods of 2017 compared to 2016 due to volume growth, core pricing gains, and higher fuel surcharge revenue, partially offset by mix of traffic. Volumes increased 3% in the second quarter and 5% in the year-to-date period of 2017 compared to 2016. Ample U.S. grain supply and competitiveness in the global market drove strong export demand for wheat shipments.</w:t>
      </w:r>
    </w:p>
    <w:p>
      <w:pPr>
        <w:spacing w:after="0" w:line="118"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Automotive </w:t>
      </w:r>
      <w:r>
        <w:rPr>
          <w:rFonts w:ascii="Arial" w:cs="Arial" w:eastAsia="Arial" w:hAnsi="Arial"/>
          <w:sz w:val="18"/>
          <w:szCs w:val="18"/>
          <w:color w:val="auto"/>
        </w:rPr>
        <w:t>– Freight revenue from automotive shipments increased in the second quarter and year-to-date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of 2017 compared to 2016 due to higher fuel surcharge revenue and core pricing gains, partially offset by lower volume and mix of traffic. Finished vehicle shipments decreased 4% and 6% in the second quarter and year-to-date periods respectively, resulting from reduced vehicle production for certain auto manufacturers. Conversely, automotive parts shipments grew 2% and 3% in the second quarter and year to date periods, respectively, driven by growth in truck-to-rail conversions.</w:t>
      </w:r>
    </w:p>
    <w:p>
      <w:pPr>
        <w:spacing w:after="0" w:line="116" w:lineRule="exact"/>
        <w:rPr>
          <w:sz w:val="20"/>
          <w:szCs w:val="20"/>
          <w:color w:val="auto"/>
        </w:rPr>
      </w:pPr>
    </w:p>
    <w:p>
      <w:pPr>
        <w:jc w:val="both"/>
        <w:ind w:left="100" w:right="99"/>
        <w:spacing w:after="0" w:line="237" w:lineRule="auto"/>
        <w:rPr>
          <w:sz w:val="20"/>
          <w:szCs w:val="20"/>
          <w:color w:val="auto"/>
        </w:rPr>
      </w:pPr>
      <w:r>
        <w:rPr>
          <w:rFonts w:ascii="Arial" w:cs="Arial" w:eastAsia="Arial" w:hAnsi="Arial"/>
          <w:sz w:val="18"/>
          <w:szCs w:val="18"/>
          <w:i w:val="1"/>
          <w:iCs w:val="1"/>
          <w:color w:val="auto"/>
        </w:rPr>
        <w:t xml:space="preserve">Chemicals </w:t>
      </w:r>
      <w:r>
        <w:rPr>
          <w:rFonts w:ascii="Arial" w:cs="Arial" w:eastAsia="Arial" w:hAnsi="Arial"/>
          <w:sz w:val="18"/>
          <w:szCs w:val="18"/>
          <w:color w:val="auto"/>
        </w:rPr>
        <w:t>– Freight revenue from chemical shipments increased in the second quarter of 2017 and year-to-date periods of 2017 compared to 2016 primarily due to core pricing gains and higher fuel surcharge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revenue, which were partially offset by volume declines. Petroleum shipments declined 25% and 30% respectively, resulting from continued declines in crude oil volumes impacted by low crude oil prices and available pipeline capacity. The decrease was partially offset by growth in fertilizer and plastics in both periods compared to 2016.</w:t>
      </w:r>
    </w:p>
    <w:p>
      <w:pPr>
        <w:spacing w:after="0" w:line="118"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Coal </w:t>
      </w:r>
      <w:r>
        <w:rPr>
          <w:rFonts w:ascii="Arial" w:cs="Arial" w:eastAsia="Arial" w:hAnsi="Arial"/>
          <w:sz w:val="18"/>
          <w:szCs w:val="18"/>
          <w:color w:val="auto"/>
        </w:rPr>
        <w:t>– Volume growth, mix of traffic, and higher fuel surcharge revenue increased freight revenue from coal</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shipments in the second quarter and year-to-date periods of 2017 compared to 2016. Shipments out of the Powder River Basin (PRB) increased 17% in both periods versus 2016 due to higher year-over-year natural gas prices and declining inventory levels at utilities. Shipments out of Colorado and Utah increased 4% and 14% in the second quarter and year-to-date periods respectively, compared to 2016 driven by stronger export demand to Asia.</w:t>
      </w:r>
    </w:p>
    <w:p>
      <w:pPr>
        <w:spacing w:after="0" w:line="11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i w:val="1"/>
          <w:iCs w:val="1"/>
          <w:color w:val="auto"/>
        </w:rPr>
        <w:t xml:space="preserve">Industrial Products </w:t>
      </w:r>
      <w:r>
        <w:rPr>
          <w:rFonts w:ascii="Arial" w:cs="Arial" w:eastAsia="Arial" w:hAnsi="Arial"/>
          <w:sz w:val="18"/>
          <w:szCs w:val="18"/>
          <w:color w:val="auto"/>
        </w:rPr>
        <w:t>– Freight revenue from industrial products shipments increased compared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 year-to-date periods of 2016 as a result of volume growth, mix of traffic, higher fuel surcharge revenue, and core pricing gains. Increased shale drilling activity and proppant intensity per drilling well drove volume growth in frac sand shipments in both periods compared to 2016. Conversely, rock shipments for the six-month period declined versus 2016 due to the impact of inclement weather in the West and decreased construction activity in South Texas during the first quarter of 2017 that negatively impacted volumes compared to 2016.</w:t>
      </w:r>
    </w:p>
    <w:p>
      <w:pPr>
        <w:spacing w:after="0" w:line="119"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i w:val="1"/>
          <w:iCs w:val="1"/>
          <w:color w:val="auto"/>
        </w:rPr>
        <w:t xml:space="preserve">Intermodal </w:t>
      </w:r>
      <w:r>
        <w:rPr>
          <w:rFonts w:ascii="Arial" w:cs="Arial" w:eastAsia="Arial" w:hAnsi="Arial"/>
          <w:sz w:val="18"/>
          <w:szCs w:val="18"/>
          <w:color w:val="auto"/>
        </w:rPr>
        <w:t>– Freight revenue from intermodal shipments increased compared to the second quarter and six-month periods of 2016 due to higher fuel surcharge revenue and volume growth, partially offset by mix of traffic. Second quarter volume levels grew 2% versus 2016 driven by 2% growth in both international and domestic shipments. Year-to-date, volumes increased 1%, as domestic shipments declined in the first quarter due to available truck capacity.</w:t>
      </w:r>
    </w:p>
    <w:p>
      <w:pPr>
        <w:spacing w:after="0" w:line="118"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Mexico Business – </w:t>
      </w:r>
      <w:r>
        <w:rPr>
          <w:rFonts w:ascii="Arial" w:cs="Arial" w:eastAsia="Arial" w:hAnsi="Arial"/>
          <w:sz w:val="18"/>
          <w:szCs w:val="18"/>
          <w:color w:val="auto"/>
        </w:rPr>
        <w:t>Each of our commodity groups includes revenue from shipments to and from Mexico.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Mexico business increased 5% to $576 million in the second quarter of 2017 compared to 2016 primarily due core pricing gains and higher fuel surcharge revenue. Overall volumes were flat as growth in shipments of coal, petroleum products, and finished vehicles were offset by declines in automotive parts, intermodal, and grain shipments. For the six-month period, freight revenue increased 5% to $1,142 million compared to 2016 driven by fuel surcharge revenue, core pricing gains, and volume growth.</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 Expenses</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740" w:type="dxa"/>
            <w:vAlign w:val="bottom"/>
            <w:tcBorders>
              <w:top w:val="single" w:sz="8" w:color="7F7F7F"/>
            </w:tcBorders>
          </w:tcPr>
          <w:p>
            <w:pPr>
              <w:spacing w:after="0"/>
              <w:rPr>
                <w:sz w:val="22"/>
                <w:szCs w:val="22"/>
                <w:color w:val="auto"/>
              </w:rPr>
            </w:pPr>
          </w:p>
        </w:tc>
        <w:tc>
          <w:tcPr>
            <w:tcW w:w="1640" w:type="dxa"/>
            <w:vAlign w:val="bottom"/>
            <w:tcBorders>
              <w:top w:val="single" w:sz="8" w:color="7F7F7F"/>
            </w:tcBorders>
            <w:gridSpan w:val="5"/>
          </w:tcPr>
          <w:p>
            <w:pPr>
              <w:jc w:val="center"/>
              <w:spacing w:after="0"/>
              <w:rPr>
                <w:sz w:val="20"/>
                <w:szCs w:val="20"/>
                <w:color w:val="auto"/>
              </w:rPr>
            </w:pPr>
            <w:r>
              <w:rPr>
                <w:rFonts w:ascii="Arial" w:cs="Arial" w:eastAsia="Arial" w:hAnsi="Arial"/>
                <w:sz w:val="16"/>
                <w:szCs w:val="16"/>
                <w:i w:val="1"/>
                <w:iCs w:val="1"/>
                <w:color w:val="auto"/>
              </w:rPr>
              <w:t>Three Months Ended</w:t>
            </w:r>
          </w:p>
        </w:tc>
        <w:tc>
          <w:tcPr>
            <w:tcW w:w="660" w:type="dxa"/>
            <w:vAlign w:val="bottom"/>
            <w:tcBorders>
              <w:top w:val="single" w:sz="8" w:color="7F7F7F"/>
            </w:tcBorders>
          </w:tcPr>
          <w:p>
            <w:pPr>
              <w:spacing w:after="0"/>
              <w:rPr>
                <w:sz w:val="22"/>
                <w:szCs w:val="22"/>
                <w:color w:val="auto"/>
              </w:rPr>
            </w:pPr>
          </w:p>
        </w:tc>
        <w:tc>
          <w:tcPr>
            <w:tcW w:w="160" w:type="dxa"/>
            <w:vAlign w:val="bottom"/>
            <w:tcBorders>
              <w:top w:val="single" w:sz="8" w:color="7F7F7F"/>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c>
          <w:tcPr>
            <w:tcW w:w="1640" w:type="dxa"/>
            <w:vAlign w:val="bottom"/>
            <w:tcBorders>
              <w:top w:val="single" w:sz="8" w:color="808080"/>
            </w:tcBorders>
            <w:gridSpan w:val="4"/>
          </w:tcPr>
          <w:p>
            <w:pPr>
              <w:jc w:val="right"/>
              <w:ind w:right="79"/>
              <w:spacing w:after="0"/>
              <w:rPr>
                <w:sz w:val="20"/>
                <w:szCs w:val="20"/>
                <w:color w:val="auto"/>
              </w:rPr>
            </w:pPr>
            <w:r>
              <w:rPr>
                <w:rFonts w:ascii="Arial" w:cs="Arial" w:eastAsia="Arial" w:hAnsi="Arial"/>
                <w:sz w:val="16"/>
                <w:szCs w:val="16"/>
                <w:i w:val="1"/>
                <w:iCs w:val="1"/>
                <w:color w:val="auto"/>
              </w:rPr>
              <w:t>Six Months Ended</w:t>
            </w:r>
          </w:p>
        </w:tc>
        <w:tc>
          <w:tcPr>
            <w:tcW w:w="620" w:type="dxa"/>
            <w:vAlign w:val="bottom"/>
            <w:tcBorders>
              <w:top w:val="single" w:sz="8" w:color="808080"/>
            </w:tcBorders>
          </w:tcPr>
          <w:p>
            <w:pPr>
              <w:spacing w:after="0"/>
              <w:rPr>
                <w:sz w:val="22"/>
                <w:szCs w:val="22"/>
                <w:color w:val="auto"/>
              </w:rPr>
            </w:pPr>
          </w:p>
        </w:tc>
        <w:tc>
          <w:tcPr>
            <w:tcW w:w="160" w:type="dxa"/>
            <w:vAlign w:val="bottom"/>
            <w:tcBorders>
              <w:top w:val="single" w:sz="8" w:color="808080"/>
            </w:tcBorders>
          </w:tcPr>
          <w:p>
            <w:pPr>
              <w:spacing w:after="0"/>
              <w:rPr>
                <w:sz w:val="22"/>
                <w:szCs w:val="22"/>
                <w:color w:val="auto"/>
              </w:rPr>
            </w:pPr>
          </w:p>
        </w:tc>
      </w:tr>
      <w:tr>
        <w:trPr>
          <w:trHeight w:val="197"/>
        </w:trPr>
        <w:tc>
          <w:tcPr>
            <w:tcW w:w="3740" w:type="dxa"/>
            <w:vAlign w:val="bottom"/>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gridSpan w:val="3"/>
          </w:tcPr>
          <w:p>
            <w:pPr>
              <w:jc w:val="center"/>
              <w:ind w:left="99"/>
              <w:spacing w:after="0"/>
              <w:rPr>
                <w:sz w:val="20"/>
                <w:szCs w:val="20"/>
                <w:color w:val="auto"/>
              </w:rPr>
            </w:pPr>
            <w:r>
              <w:rPr>
                <w:rFonts w:ascii="Arial" w:cs="Arial" w:eastAsia="Arial" w:hAnsi="Arial"/>
                <w:sz w:val="16"/>
                <w:szCs w:val="16"/>
                <w:i w:val="1"/>
                <w:iCs w:val="1"/>
                <w:color w:val="auto"/>
              </w:rPr>
              <w:t>June 30,</w:t>
            </w:r>
          </w:p>
        </w:tc>
        <w:tc>
          <w:tcPr>
            <w:tcW w:w="480" w:type="dxa"/>
            <w:vAlign w:val="bottom"/>
            <w:tcBorders>
              <w:bottom w:val="single" w:sz="8" w:color="808080"/>
            </w:tcBorders>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i w:val="1"/>
                <w:iCs w:val="1"/>
                <w:color w:val="auto"/>
              </w:rPr>
              <w:t>June 30,</w:t>
            </w:r>
          </w:p>
        </w:tc>
        <w:tc>
          <w:tcPr>
            <w:tcW w:w="480" w:type="dxa"/>
            <w:vAlign w:val="bottom"/>
            <w:tcBorders>
              <w:bottom w:val="single" w:sz="8" w:color="808080"/>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74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8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1020" w:type="dxa"/>
            <w:vAlign w:val="bottom"/>
            <w:tcBorders>
              <w:bottom w:val="single" w:sz="8" w:color="808080"/>
            </w:tcBorders>
            <w:gridSpan w:val="3"/>
          </w:tcPr>
          <w:p>
            <w:pPr>
              <w:jc w:val="right"/>
              <w:ind w:right="200"/>
              <w:spacing w:after="0"/>
              <w:rPr>
                <w:sz w:val="20"/>
                <w:szCs w:val="20"/>
                <w:color w:val="auto"/>
              </w:rPr>
            </w:pPr>
            <w:r>
              <w:rPr>
                <w:rFonts w:ascii="Arial" w:cs="Arial" w:eastAsia="Arial" w:hAnsi="Arial"/>
                <w:sz w:val="16"/>
                <w:szCs w:val="16"/>
                <w:b w:val="1"/>
                <w:bCs w:val="1"/>
                <w:i w:val="1"/>
                <w:iCs w:val="1"/>
                <w:color w:val="auto"/>
              </w:rPr>
              <w:t>Change</w:t>
            </w:r>
          </w:p>
        </w:tc>
        <w:tc>
          <w:tcPr>
            <w:tcW w:w="28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8"/>
              </w:rPr>
              <w: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2,454</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215"/>
        </w:trPr>
        <w:tc>
          <w:tcPr>
            <w:tcW w:w="3740" w:type="dxa"/>
            <w:vAlign w:val="bottom"/>
          </w:tcPr>
          <w:p>
            <w:pPr>
              <w:spacing w:after="0"/>
              <w:rPr>
                <w:sz w:val="20"/>
                <w:szCs w:val="20"/>
                <w:color w:val="auto"/>
              </w:rPr>
            </w:pPr>
            <w:r>
              <w:rPr>
                <w:rFonts w:ascii="Arial" w:cs="Arial" w:eastAsia="Arial" w:hAnsi="Arial"/>
                <w:sz w:val="16"/>
                <w:szCs w:val="16"/>
                <w:color w:val="auto"/>
              </w:rPr>
              <w:t>Purchased services and materials</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570</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1,163</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1,139</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r>
      <w:tr>
        <w:trPr>
          <w:trHeight w:val="217"/>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8"/>
                <w:szCs w:val="18"/>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6"/>
                <w:szCs w:val="16"/>
                <w:color w:val="auto"/>
              </w:rPr>
              <w:t>Fuel</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346</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894</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666</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60" w:type="dxa"/>
            <w:vAlign w:val="bottom"/>
          </w:tcPr>
          <w:p>
            <w:pPr>
              <w:spacing w:after="0"/>
              <w:rPr>
                <w:sz w:val="18"/>
                <w:szCs w:val="18"/>
                <w:color w:val="auto"/>
              </w:rPr>
            </w:pPr>
          </w:p>
        </w:tc>
      </w:tr>
      <w:tr>
        <w:trPr>
          <w:trHeight w:val="217"/>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Equipment and other rents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CEEFF"/>
          </w:tcPr>
          <w:p>
            <w:pPr>
              <w:spacing w:after="0"/>
              <w:rPr>
                <w:sz w:val="18"/>
                <w:szCs w:val="18"/>
                <w:color w:val="auto"/>
              </w:rPr>
            </w:pPr>
          </w:p>
        </w:tc>
      </w:tr>
      <w:tr>
        <w:trPr>
          <w:trHeight w:val="210"/>
        </w:trPr>
        <w:tc>
          <w:tcPr>
            <w:tcW w:w="37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219</w:t>
            </w:r>
          </w:p>
        </w:tc>
        <w:tc>
          <w:tcPr>
            <w:tcW w:w="180" w:type="dxa"/>
            <w:vAlign w:val="bottom"/>
            <w:tcBorders>
              <w:bottom w:val="single" w:sz="8" w:color="7F7F7F"/>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244</w:t>
            </w: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479</w:t>
            </w:r>
          </w:p>
        </w:tc>
        <w:tc>
          <w:tcPr>
            <w:tcW w:w="3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493</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Borders>
              <w:bottom w:val="single" w:sz="8" w:color="808080"/>
            </w:tcBorders>
          </w:tcPr>
          <w:p>
            <w:pPr>
              <w:spacing w:after="0"/>
              <w:rPr>
                <w:sz w:val="18"/>
                <w:szCs w:val="18"/>
                <w:color w:val="auto"/>
              </w:rPr>
            </w:pPr>
          </w:p>
        </w:tc>
      </w:tr>
      <w:tr>
        <w:trPr>
          <w:trHeight w:val="2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3,245</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8"/>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6,584</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54"/>
        </w:trPr>
        <w:tc>
          <w:tcPr>
            <w:tcW w:w="3740" w:type="dxa"/>
            <w:vAlign w:val="bottom"/>
            <w:shd w:val="clear" w:color="auto" w:fill="7F7F7F"/>
          </w:tcPr>
          <w:p>
            <w:pPr>
              <w:spacing w:after="0"/>
              <w:rPr>
                <w:sz w:val="4"/>
                <w:szCs w:val="4"/>
                <w:color w:val="auto"/>
              </w:rPr>
            </w:pPr>
          </w:p>
        </w:tc>
        <w:tc>
          <w:tcPr>
            <w:tcW w:w="280" w:type="dxa"/>
            <w:vAlign w:val="bottom"/>
            <w:shd w:val="clear" w:color="auto" w:fill="7F7F7F"/>
          </w:tcPr>
          <w:p>
            <w:pPr>
              <w:spacing w:after="0"/>
              <w:rPr>
                <w:sz w:val="4"/>
                <w:szCs w:val="4"/>
                <w:color w:val="auto"/>
              </w:rPr>
            </w:pPr>
          </w:p>
        </w:tc>
        <w:tc>
          <w:tcPr>
            <w:tcW w:w="560" w:type="dxa"/>
            <w:vAlign w:val="bottom"/>
            <w:shd w:val="clear" w:color="auto" w:fill="7F7F7F"/>
          </w:tcPr>
          <w:p>
            <w:pPr>
              <w:spacing w:after="0"/>
              <w:rPr>
                <w:sz w:val="4"/>
                <w:szCs w:val="4"/>
                <w:color w:val="auto"/>
              </w:rPr>
            </w:pPr>
          </w:p>
        </w:tc>
        <w:tc>
          <w:tcPr>
            <w:tcW w:w="180" w:type="dxa"/>
            <w:vAlign w:val="bottom"/>
            <w:shd w:val="clear" w:color="auto" w:fill="7F7F7F"/>
          </w:tcPr>
          <w:p>
            <w:pPr>
              <w:spacing w:after="0"/>
              <w:rPr>
                <w:sz w:val="4"/>
                <w:szCs w:val="4"/>
                <w:color w:val="auto"/>
              </w:rPr>
            </w:pPr>
          </w:p>
        </w:tc>
        <w:tc>
          <w:tcPr>
            <w:tcW w:w="140" w:type="dxa"/>
            <w:vAlign w:val="bottom"/>
            <w:shd w:val="clear" w:color="auto" w:fill="808080"/>
          </w:tcPr>
          <w:p>
            <w:pPr>
              <w:spacing w:after="0"/>
              <w:rPr>
                <w:sz w:val="4"/>
                <w:szCs w:val="4"/>
                <w:color w:val="auto"/>
              </w:rPr>
            </w:pPr>
          </w:p>
        </w:tc>
        <w:tc>
          <w:tcPr>
            <w:tcW w:w="480" w:type="dxa"/>
            <w:vAlign w:val="bottom"/>
            <w:shd w:val="clear" w:color="auto" w:fill="808080"/>
          </w:tcPr>
          <w:p>
            <w:pPr>
              <w:spacing w:after="0"/>
              <w:rPr>
                <w:sz w:val="4"/>
                <w:szCs w:val="4"/>
                <w:color w:val="auto"/>
              </w:rPr>
            </w:pPr>
          </w:p>
        </w:tc>
        <w:tc>
          <w:tcPr>
            <w:tcW w:w="660" w:type="dxa"/>
            <w:vAlign w:val="bottom"/>
            <w:shd w:val="clear" w:color="auto" w:fill="808080"/>
          </w:tcPr>
          <w:p>
            <w:pPr>
              <w:spacing w:after="0"/>
              <w:rPr>
                <w:sz w:val="4"/>
                <w:szCs w:val="4"/>
                <w:color w:val="auto"/>
              </w:rPr>
            </w:pPr>
          </w:p>
        </w:tc>
        <w:tc>
          <w:tcPr>
            <w:tcW w:w="160" w:type="dxa"/>
            <w:vAlign w:val="bottom"/>
            <w:shd w:val="clear" w:color="auto" w:fill="808080"/>
          </w:tcPr>
          <w:p>
            <w:pPr>
              <w:spacing w:after="0"/>
              <w:rPr>
                <w:sz w:val="4"/>
                <w:szCs w:val="4"/>
                <w:color w:val="auto"/>
              </w:rPr>
            </w:pPr>
          </w:p>
        </w:tc>
        <w:tc>
          <w:tcPr>
            <w:tcW w:w="200" w:type="dxa"/>
            <w:vAlign w:val="bottom"/>
            <w:shd w:val="clear" w:color="auto" w:fill="808080"/>
          </w:tcPr>
          <w:p>
            <w:pPr>
              <w:spacing w:after="0"/>
              <w:rPr>
                <w:sz w:val="4"/>
                <w:szCs w:val="4"/>
                <w:color w:val="auto"/>
              </w:rPr>
            </w:pPr>
          </w:p>
        </w:tc>
        <w:tc>
          <w:tcPr>
            <w:tcW w:w="280" w:type="dxa"/>
            <w:vAlign w:val="bottom"/>
            <w:shd w:val="clear" w:color="auto" w:fill="808080"/>
          </w:tcPr>
          <w:p>
            <w:pPr>
              <w:spacing w:after="0"/>
              <w:rPr>
                <w:sz w:val="4"/>
                <w:szCs w:val="4"/>
                <w:color w:val="auto"/>
              </w:rPr>
            </w:pPr>
          </w:p>
        </w:tc>
        <w:tc>
          <w:tcPr>
            <w:tcW w:w="560" w:type="dxa"/>
            <w:vAlign w:val="bottom"/>
            <w:shd w:val="clear" w:color="auto" w:fill="808080"/>
          </w:tcPr>
          <w:p>
            <w:pPr>
              <w:spacing w:after="0"/>
              <w:rPr>
                <w:sz w:val="4"/>
                <w:szCs w:val="4"/>
                <w:color w:val="auto"/>
              </w:rPr>
            </w:pPr>
          </w:p>
        </w:tc>
        <w:tc>
          <w:tcPr>
            <w:tcW w:w="320" w:type="dxa"/>
            <w:vAlign w:val="bottom"/>
            <w:shd w:val="clear" w:color="auto" w:fill="808080"/>
          </w:tcPr>
          <w:p>
            <w:pPr>
              <w:spacing w:after="0"/>
              <w:rPr>
                <w:sz w:val="4"/>
                <w:szCs w:val="4"/>
                <w:color w:val="auto"/>
              </w:rPr>
            </w:pPr>
          </w:p>
        </w:tc>
        <w:tc>
          <w:tcPr>
            <w:tcW w:w="480" w:type="dxa"/>
            <w:vAlign w:val="bottom"/>
            <w:shd w:val="clear" w:color="auto" w:fill="808080"/>
          </w:tcPr>
          <w:p>
            <w:pPr>
              <w:spacing w:after="0"/>
              <w:rPr>
                <w:sz w:val="4"/>
                <w:szCs w:val="4"/>
                <w:color w:val="auto"/>
              </w:rPr>
            </w:pPr>
          </w:p>
        </w:tc>
        <w:tc>
          <w:tcPr>
            <w:tcW w:w="620" w:type="dxa"/>
            <w:vAlign w:val="bottom"/>
            <w:shd w:val="clear" w:color="auto" w:fill="808080"/>
          </w:tcPr>
          <w:p>
            <w:pPr>
              <w:spacing w:after="0"/>
              <w:rPr>
                <w:sz w:val="4"/>
                <w:szCs w:val="4"/>
                <w:color w:val="auto"/>
              </w:rPr>
            </w:pPr>
          </w:p>
        </w:tc>
        <w:tc>
          <w:tcPr>
            <w:tcW w:w="160" w:type="dxa"/>
            <w:vAlign w:val="bottom"/>
            <w:shd w:val="clear" w:color="auto" w:fill="808080"/>
          </w:tcPr>
          <w:p>
            <w:pPr>
              <w:spacing w:after="0"/>
              <w:rPr>
                <w:sz w:val="4"/>
                <w:szCs w:val="4"/>
                <w:color w:val="auto"/>
              </w:rPr>
            </w:pP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Operating expenses increased $135 million and $332 million in the second quarter and year-to-date periods, respectively, compared to 2016 due to higher fuel prices, volume-related costs, inflation, and depreciation, which were partially offset by productivity gains, continued resource alignments, and lower casualty and other costs.</w:t>
      </w:r>
    </w:p>
    <w:p>
      <w:pPr>
        <w:spacing w:after="0" w:line="118"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w:t>
      </w:r>
      <w:r>
        <w:rPr>
          <w:rFonts w:ascii="Arial" w:cs="Arial" w:eastAsia="Arial" w:hAnsi="Arial"/>
          <w:sz w:val="18"/>
          <w:szCs w:val="18"/>
          <w:i w:val="1"/>
          <w:iCs w:val="1"/>
          <w:color w:val="auto"/>
        </w:rPr>
        <w:t xml:space="preserve"> </w:t>
      </w:r>
      <w:r>
        <w:rPr>
          <w:rFonts w:ascii="Arial" w:cs="Arial" w:eastAsia="Arial" w:hAnsi="Arial"/>
          <w:sz w:val="18"/>
          <w:szCs w:val="18"/>
          <w:color w:val="auto"/>
        </w:rPr>
        <w:t>costs, pension costs, other postretirement benefits, and incentive costs. For the second quarter and year-to-date periods, expenses increased 3% compared to 2016. Wage and benefit inflation, and volume-related costs drove the increases, partially offset by resource productivity.</w:t>
      </w:r>
    </w:p>
    <w:p>
      <w:pPr>
        <w:spacing w:after="0" w:line="119" w:lineRule="exact"/>
        <w:rPr>
          <w:sz w:val="20"/>
          <w:szCs w:val="20"/>
          <w:color w:val="auto"/>
        </w:rPr>
      </w:pPr>
    </w:p>
    <w:p>
      <w:pPr>
        <w:jc w:val="both"/>
        <w:ind w:left="100" w:right="99"/>
        <w:spacing w:after="0" w:line="226" w:lineRule="auto"/>
        <w:rPr>
          <w:sz w:val="20"/>
          <w:szCs w:val="20"/>
          <w:color w:val="auto"/>
        </w:rPr>
      </w:pPr>
      <w:r>
        <w:rPr>
          <w:rFonts w:ascii="Arial" w:cs="Arial" w:eastAsia="Arial" w:hAnsi="Arial"/>
          <w:sz w:val="18"/>
          <w:szCs w:val="18"/>
          <w:i w:val="1"/>
          <w:iCs w:val="1"/>
          <w:color w:val="auto"/>
        </w:rPr>
        <w:t xml:space="preserve">Purchased Services and Materials – </w:t>
      </w:r>
      <w:r>
        <w:rPr>
          <w:rFonts w:ascii="Arial" w:cs="Arial" w:eastAsia="Arial" w:hAnsi="Arial"/>
          <w:sz w:val="18"/>
          <w:szCs w:val="18"/>
          <w:color w:val="auto"/>
        </w:rPr>
        <w:t>Expense for purchased services and materials includes the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purchased from outside contractors and other service providers (including equipment maintenance and contract expenses incurred by our subsidiaries for external transportation services); materials used to</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maintain the Railroad’s lines, structures, and equipment; costs of operating facilities jointly used by UPRR and other railroads; transportation and lodging for train crew employees; trucking and contracting costs for intermodal containers; leased automobile maintenance expenses; and tools and supplies. Purchased services and materials increased 5% in the second quarter and 2% in the year-to-date period of 2017 compared to the same periods of 2016. Volume-related costs, including higher subsidiary contract services drove the increases, but were partially offset by lower joint facility expenses. Lower locomotive repair expense partially offset the higher expenses for the six-month period compared to 2016.</w:t>
      </w:r>
    </w:p>
    <w:p>
      <w:pPr>
        <w:spacing w:after="0" w:line="119"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relates to road property, including rail, ties, ballast, and other track</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 higher depreciable asset base, reflecting recent years’ higher capital spending, increased depreciation expense in the second quarter and year-to-date periods of 2017 compared to 2016. These increases were partially offset by our recent depreciation studies that resulted in lower depreciation rates for some asset classes.</w:t>
      </w:r>
    </w:p>
    <w:p>
      <w:pPr>
        <w:spacing w:after="0" w:line="118" w:lineRule="exact"/>
        <w:rPr>
          <w:sz w:val="20"/>
          <w:szCs w:val="20"/>
          <w:color w:val="auto"/>
        </w:rPr>
      </w:pPr>
    </w:p>
    <w:p>
      <w:pPr>
        <w:jc w:val="both"/>
        <w:ind w:left="100" w:right="99"/>
        <w:spacing w:after="0" w:line="21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fuel for highway and non-highway vehicles and heavy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Locomotive diesel fuel prices, which averaged $1.69 per gallon (including taxes and transportation costs) in the second quarter of 2017, compared to $1.45 per gallon in the same period in 2016, increased expenses by $59 million. In addition, fuel costs were higher as gross ton-miles increased 10% compared to the same period in 2016. The fuel consumption rate (c-rate), computed as gallons of fuel consumed divided by gross ton-miles in thousands, improved 3% compared to the second quarter of 2016. For the six-month period, higher locomotive diesel fuel prices averaged $1.72 per gallon in 2017 compared to $1.35 in 2016, increasing expenses by $186 million.</w:t>
      </w:r>
    </w:p>
    <w:p>
      <w:pPr>
        <w:spacing w:after="0" w:line="11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Equipment and Other Rents – </w:t>
      </w:r>
      <w:r>
        <w:rPr>
          <w:rFonts w:ascii="Arial" w:cs="Arial" w:eastAsia="Arial" w:hAnsi="Arial"/>
          <w:sz w:val="18"/>
          <w:szCs w:val="18"/>
          <w:color w:val="auto"/>
        </w:rPr>
        <w:t>Equipment and other rents expense primarily includes rental expense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Railroad pays for freight cars owned by other railroads or private companies; freight car, intermodal, and locomotive leases; and office and other rentals. Equipment and other rents expense in the second quarter and year to date periods of 2017 both decreased 5% compared to the same periods in 2016, mainly driven by lower locomotive and freight car lease expense (less equipment under lease) and mix of traffic, which reduced car rent expense compared to 2016.</w:t>
      </w:r>
    </w:p>
    <w:p>
      <w:pPr>
        <w:spacing w:after="0" w:line="11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Other expenses include state and local taxes; freight, equipment and property damage;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personal injury, environmental, employee travel, telephone and cellular, computer software, bad debt and other general expenses. Other costs decreased 10% in the second quarter and 3% in the six-month period compared to 2016 due to lower environmental and other expenses. Higher state and local taxes and costs associated with destroyed equipment owned by third parties partially offset these decreases. In addition, personal injury expense decreased in the second quarter of 2017 compared to 2016 due to lower than expected costs for prior years’ activity.</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Non-Operating Items</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660" w:type="dxa"/>
            <w:vAlign w:val="bottom"/>
            <w:tcBorders>
              <w:top w:val="single" w:sz="8" w:color="7F7F7F"/>
            </w:tcBorders>
          </w:tcPr>
          <w:p>
            <w:pPr>
              <w:spacing w:after="0"/>
              <w:rPr>
                <w:sz w:val="22"/>
                <w:szCs w:val="22"/>
                <w:color w:val="auto"/>
              </w:rPr>
            </w:pPr>
          </w:p>
        </w:tc>
        <w:tc>
          <w:tcPr>
            <w:tcW w:w="1680" w:type="dxa"/>
            <w:vAlign w:val="bottom"/>
            <w:tcBorders>
              <w:top w:val="single" w:sz="8" w:color="808080"/>
            </w:tcBorders>
            <w:gridSpan w:val="5"/>
          </w:tcPr>
          <w:p>
            <w:pPr>
              <w:jc w:val="center"/>
              <w:ind w:right="80"/>
              <w:spacing w:after="0"/>
              <w:rPr>
                <w:sz w:val="20"/>
                <w:szCs w:val="20"/>
                <w:color w:val="auto"/>
              </w:rPr>
            </w:pPr>
            <w:r>
              <w:rPr>
                <w:rFonts w:ascii="Arial" w:cs="Arial" w:eastAsia="Arial" w:hAnsi="Arial"/>
                <w:sz w:val="16"/>
                <w:szCs w:val="16"/>
                <w:i w:val="1"/>
                <w:iCs w:val="1"/>
                <w:color w:val="auto"/>
              </w:rPr>
              <w:t>Three Months Ended</w:t>
            </w:r>
          </w:p>
        </w:tc>
        <w:tc>
          <w:tcPr>
            <w:tcW w:w="840" w:type="dxa"/>
            <w:vAlign w:val="bottom"/>
            <w:tcBorders>
              <w:top w:val="single" w:sz="8" w:color="808080"/>
            </w:tcBorders>
          </w:tcPr>
          <w:p>
            <w:pPr>
              <w:spacing w:after="0"/>
              <w:rPr>
                <w:sz w:val="22"/>
                <w:szCs w:val="22"/>
                <w:color w:val="auto"/>
              </w:rPr>
            </w:pPr>
          </w:p>
        </w:tc>
        <w:tc>
          <w:tcPr>
            <w:tcW w:w="240" w:type="dxa"/>
            <w:vAlign w:val="bottom"/>
            <w:tcBorders>
              <w:top w:val="single" w:sz="8" w:color="808080"/>
            </w:tcBorders>
          </w:tcPr>
          <w:p>
            <w:pPr>
              <w:spacing w:after="0"/>
              <w:rPr>
                <w:sz w:val="22"/>
                <w:szCs w:val="22"/>
                <w:color w:val="auto"/>
              </w:rPr>
            </w:pPr>
          </w:p>
        </w:tc>
        <w:tc>
          <w:tcPr>
            <w:tcW w:w="1720" w:type="dxa"/>
            <w:vAlign w:val="bottom"/>
            <w:tcBorders>
              <w:top w:val="single" w:sz="8" w:color="808080"/>
            </w:tcBorders>
            <w:gridSpan w:val="4"/>
          </w:tcPr>
          <w:p>
            <w:pPr>
              <w:jc w:val="center"/>
              <w:ind w:right="320"/>
              <w:spacing w:after="0"/>
              <w:rPr>
                <w:sz w:val="20"/>
                <w:szCs w:val="20"/>
                <w:color w:val="auto"/>
              </w:rPr>
            </w:pPr>
            <w:r>
              <w:rPr>
                <w:rFonts w:ascii="Arial" w:cs="Arial" w:eastAsia="Arial" w:hAnsi="Arial"/>
                <w:sz w:val="16"/>
                <w:szCs w:val="16"/>
                <w:i w:val="1"/>
                <w:iCs w:val="1"/>
                <w:color w:val="auto"/>
              </w:rPr>
              <w:t>Six Months Ended</w:t>
            </w:r>
          </w:p>
        </w:tc>
        <w:tc>
          <w:tcPr>
            <w:tcW w:w="680" w:type="dxa"/>
            <w:vAlign w:val="bottom"/>
            <w:tcBorders>
              <w:top w:val="single" w:sz="8" w:color="808080"/>
            </w:tcBorders>
          </w:tcPr>
          <w:p>
            <w:pPr>
              <w:spacing w:after="0"/>
              <w:rPr>
                <w:sz w:val="22"/>
                <w:szCs w:val="22"/>
                <w:color w:val="auto"/>
              </w:rPr>
            </w:pPr>
          </w:p>
        </w:tc>
      </w:tr>
      <w:tr>
        <w:trPr>
          <w:trHeight w:val="197"/>
        </w:trPr>
        <w:tc>
          <w:tcPr>
            <w:tcW w:w="3660" w:type="dxa"/>
            <w:vAlign w:val="bottom"/>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gridSpan w:val="2"/>
          </w:tcPr>
          <w:p>
            <w:pPr>
              <w:jc w:val="center"/>
              <w:ind w:left="99"/>
              <w:spacing w:after="0"/>
              <w:rPr>
                <w:sz w:val="20"/>
                <w:szCs w:val="20"/>
                <w:color w:val="auto"/>
              </w:rPr>
            </w:pPr>
            <w:r>
              <w:rPr>
                <w:rFonts w:ascii="Arial" w:cs="Arial" w:eastAsia="Arial" w:hAnsi="Arial"/>
                <w:sz w:val="16"/>
                <w:szCs w:val="16"/>
                <w:i w:val="1"/>
                <w:iCs w:val="1"/>
                <w:color w:val="auto"/>
              </w:rPr>
              <w:t>June 30,</w:t>
            </w:r>
          </w:p>
        </w:tc>
        <w:tc>
          <w:tcPr>
            <w:tcW w:w="46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gridSpan w:val="2"/>
          </w:tcPr>
          <w:p>
            <w:pPr>
              <w:jc w:val="center"/>
              <w:ind w:left="279"/>
              <w:spacing w:after="0"/>
              <w:rPr>
                <w:sz w:val="20"/>
                <w:szCs w:val="20"/>
                <w:color w:val="auto"/>
              </w:rPr>
            </w:pPr>
            <w:r>
              <w:rPr>
                <w:rFonts w:ascii="Arial" w:cs="Arial" w:eastAsia="Arial" w:hAnsi="Arial"/>
                <w:sz w:val="16"/>
                <w:szCs w:val="16"/>
                <w:i w:val="1"/>
                <w:iCs w:val="1"/>
                <w:color w:val="auto"/>
              </w:rPr>
              <w:t>June 30,</w:t>
            </w:r>
          </w:p>
        </w:tc>
        <w:tc>
          <w:tcPr>
            <w:tcW w:w="580" w:type="dxa"/>
            <w:vAlign w:val="bottom"/>
            <w:tcBorders>
              <w:bottom w:val="single" w:sz="8" w:color="808080"/>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6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b w:val="1"/>
                <w:bCs w:val="1"/>
                <w:i w:val="1"/>
                <w:iCs w:val="1"/>
                <w:color w:val="auto"/>
              </w:rPr>
              <w:t>Change</w:t>
            </w:r>
          </w:p>
        </w:tc>
        <w:tc>
          <w:tcPr>
            <w:tcW w:w="24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(44) %</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110</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 %</w:t>
            </w: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(179)</w:t>
            </w:r>
          </w:p>
        </w:tc>
        <w:tc>
          <w:tcPr>
            <w:tcW w:w="3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(351)</w:t>
            </w:r>
          </w:p>
        </w:tc>
        <w:tc>
          <w:tcPr>
            <w:tcW w:w="3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(340)</w:t>
            </w: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3</w:t>
            </w:r>
          </w:p>
        </w:tc>
      </w:tr>
      <w:tr>
        <w:trPr>
          <w:trHeight w:val="224"/>
        </w:trPr>
        <w:tc>
          <w:tcPr>
            <w:tcW w:w="3660" w:type="dxa"/>
            <w:vAlign w:val="bottom"/>
            <w:tcBorders>
              <w:bottom w:val="single" w:sz="8" w:color="808080"/>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280" w:type="dxa"/>
            <w:vAlign w:val="bottom"/>
            <w:tcBorders>
              <w:bottom w:val="single" w:sz="8" w:color="808080"/>
            </w:tcBorders>
            <w:shd w:val="clear" w:color="auto" w:fill="CCEEFF"/>
          </w:tcPr>
          <w:p>
            <w:pPr>
              <w:spacing w:after="0"/>
              <w:rPr>
                <w:sz w:val="19"/>
                <w:szCs w:val="19"/>
                <w:color w:val="auto"/>
              </w:rPr>
            </w:pPr>
          </w:p>
        </w:tc>
        <w:tc>
          <w:tcPr>
            <w:tcW w:w="5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w:t>
            </w:r>
          </w:p>
        </w:tc>
        <w:tc>
          <w:tcPr>
            <w:tcW w:w="300" w:type="dxa"/>
            <w:vAlign w:val="bottom"/>
            <w:tcBorders>
              <w:bottom w:val="single" w:sz="8" w:color="808080"/>
            </w:tcBorders>
            <w:shd w:val="clear" w:color="auto" w:fill="CCEEFF"/>
          </w:tcPr>
          <w:p>
            <w:pPr>
              <w:spacing w:after="0"/>
              <w:rPr>
                <w:sz w:val="19"/>
                <w:szCs w:val="19"/>
                <w:color w:val="auto"/>
              </w:rPr>
            </w:pPr>
          </w:p>
        </w:tc>
        <w:tc>
          <w:tcPr>
            <w:tcW w:w="520" w:type="dxa"/>
            <w:vAlign w:val="bottom"/>
            <w:tcBorders>
              <w:bottom w:val="single" w:sz="8" w:color="808080"/>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(585)</w:t>
            </w:r>
          </w:p>
        </w:tc>
        <w:tc>
          <w:tcPr>
            <w:tcW w:w="840" w:type="dxa"/>
            <w:vAlign w:val="bottom"/>
            <w:tcBorders>
              <w:bottom w:val="single" w:sz="8" w:color="808080"/>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w:t>
            </w:r>
          </w:p>
        </w:tc>
        <w:tc>
          <w:tcPr>
            <w:tcW w:w="240" w:type="dxa"/>
            <w:vAlign w:val="bottom"/>
            <w:tcBorders>
              <w:bottom w:val="single" w:sz="8" w:color="808080"/>
            </w:tcBorders>
            <w:shd w:val="clear" w:color="auto" w:fill="CCEEFF"/>
          </w:tcPr>
          <w:p>
            <w:pPr>
              <w:spacing w:after="0"/>
              <w:rPr>
                <w:sz w:val="19"/>
                <w:szCs w:val="19"/>
                <w:color w:val="auto"/>
              </w:rPr>
            </w:pPr>
          </w:p>
        </w:tc>
        <w:tc>
          <w:tcPr>
            <w:tcW w:w="76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(1,317)</w:t>
            </w:r>
          </w:p>
        </w:tc>
        <w:tc>
          <w:tcPr>
            <w:tcW w:w="300" w:type="dxa"/>
            <w:vAlign w:val="bottom"/>
            <w:tcBorders>
              <w:bottom w:val="single" w:sz="8" w:color="808080"/>
            </w:tcBorders>
            <w:shd w:val="clear" w:color="auto" w:fill="CCEEFF"/>
          </w:tcPr>
          <w:p>
            <w:pPr>
              <w:spacing w:after="0"/>
              <w:rPr>
                <w:sz w:val="19"/>
                <w:szCs w:val="19"/>
                <w:color w:val="auto"/>
              </w:rPr>
            </w:pPr>
          </w:p>
        </w:tc>
        <w:tc>
          <w:tcPr>
            <w:tcW w:w="5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80" w:type="dxa"/>
            <w:vAlign w:val="bottom"/>
            <w:tcBorders>
              <w:bottom w:val="single" w:sz="8" w:color="808080"/>
            </w:tcBorders>
            <w:shd w:val="clear" w:color="auto" w:fill="CCEEFF"/>
          </w:tcPr>
          <w:p>
            <w:pPr>
              <w:spacing w:after="0"/>
              <w:rPr>
                <w:sz w:val="19"/>
                <w:szCs w:val="19"/>
                <w:color w:val="auto"/>
              </w:rPr>
            </w:pPr>
          </w:p>
        </w:tc>
        <w:tc>
          <w:tcPr>
            <w:tcW w:w="680" w:type="dxa"/>
            <w:vAlign w:val="bottom"/>
            <w:tcBorders>
              <w:bottom w:val="single" w:sz="8" w:color="808080"/>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12</w:t>
            </w:r>
          </w:p>
        </w:tc>
      </w:tr>
    </w:tbl>
    <w:p>
      <w:pPr>
        <w:spacing w:after="0" w:line="143" w:lineRule="exact"/>
        <w:rPr>
          <w:sz w:val="20"/>
          <w:szCs w:val="20"/>
          <w:color w:val="auto"/>
        </w:rPr>
      </w:pPr>
    </w:p>
    <w:p>
      <w:pPr>
        <w:jc w:val="both"/>
        <w:ind w:left="100" w:right="99"/>
        <w:spacing w:after="0" w:line="226"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 Other income decreased in the second quarter and year-to-date periods of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2016 as a result of a $50 million real estate sale gain in the second quarter of 2016, partially offset by higher other rental income in both periods of 2017 compared to 2016.</w:t>
      </w:r>
    </w:p>
    <w:p>
      <w:pPr>
        <w:spacing w:after="0" w:line="118"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increased in the second quarter of 2017 compared to 2016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weighted-average debt level of $ 15.6 billion in 2017 compared to $ 15.2 billion in 2016. The effective interest rate was 4.6% for both periods. Year-to-date, interest expense increased due to an increased weighted-average debt level of $15.4 billion in 2017 from $14.7 billion in 2016, partially offset by a lower effective interest rate of 4.6% compared to 4.7%.</w:t>
      </w:r>
    </w:p>
    <w:p>
      <w:pPr>
        <w:spacing w:after="0" w:line="118" w:lineRule="exact"/>
        <w:rPr>
          <w:sz w:val="20"/>
          <w:szCs w:val="20"/>
          <w:color w:val="auto"/>
        </w:rPr>
      </w:pPr>
    </w:p>
    <w:p>
      <w:pPr>
        <w:jc w:val="both"/>
        <w:ind w:left="100" w:right="99"/>
        <w:spacing w:after="0" w:line="23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Income taxes were higher in the second quarter and year-to-date periods of 2017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2016, resulting from higher pre-tax income. Our effective tax rates for the second quarter 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2017 and 2016 were 37.5% and 37.4%, respectively. For the six month periods of 2017 and 2016, our effective tax rates were 37.0% and 37.4%, respectively.</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We report a number of key performance measures weekly to the AAR. We provide this data on our website at www.up.com/investor/aar-stb_reports/index.htm.</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Operating/Performance Statistics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71"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700" w:type="dxa"/>
            <w:vAlign w:val="bottom"/>
            <w:tcBorders>
              <w:top w:val="single" w:sz="8" w:color="7F7F7F"/>
            </w:tcBorders>
          </w:tcPr>
          <w:p>
            <w:pPr>
              <w:spacing w:after="0"/>
              <w:rPr>
                <w:sz w:val="22"/>
                <w:szCs w:val="22"/>
                <w:color w:val="auto"/>
              </w:rPr>
            </w:pPr>
          </w:p>
        </w:tc>
        <w:tc>
          <w:tcPr>
            <w:tcW w:w="1600" w:type="dxa"/>
            <w:vAlign w:val="bottom"/>
            <w:tcBorders>
              <w:top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620" w:type="dxa"/>
            <w:vAlign w:val="bottom"/>
            <w:tcBorders>
              <w:top w:val="single" w:sz="8" w:color="7F7F7F"/>
            </w:tcBorders>
          </w:tcPr>
          <w:p>
            <w:pPr>
              <w:spacing w:after="0"/>
              <w:rPr>
                <w:sz w:val="22"/>
                <w:szCs w:val="22"/>
                <w:color w:val="auto"/>
              </w:rPr>
            </w:pPr>
          </w:p>
        </w:tc>
        <w:tc>
          <w:tcPr>
            <w:tcW w:w="220" w:type="dxa"/>
            <w:vAlign w:val="bottom"/>
            <w:tcBorders>
              <w:top w:val="single" w:sz="8" w:color="7F7F7F"/>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c>
          <w:tcPr>
            <w:tcW w:w="1620" w:type="dxa"/>
            <w:vAlign w:val="bottom"/>
            <w:tcBorders>
              <w:top w:val="single" w:sz="8" w:color="808080"/>
            </w:tcBorders>
            <w:gridSpan w:val="2"/>
          </w:tcPr>
          <w:p>
            <w:pPr>
              <w:jc w:val="right"/>
              <w:ind w:right="79"/>
              <w:spacing w:after="0"/>
              <w:rPr>
                <w:sz w:val="20"/>
                <w:szCs w:val="20"/>
                <w:color w:val="auto"/>
              </w:rPr>
            </w:pPr>
            <w:r>
              <w:rPr>
                <w:rFonts w:ascii="Arial" w:cs="Arial" w:eastAsia="Arial" w:hAnsi="Arial"/>
                <w:sz w:val="16"/>
                <w:szCs w:val="16"/>
                <w:i w:val="1"/>
                <w:iCs w:val="1"/>
                <w:color w:val="auto"/>
              </w:rPr>
              <w:t>Six Months Ended</w:t>
            </w:r>
          </w:p>
        </w:tc>
        <w:tc>
          <w:tcPr>
            <w:tcW w:w="660" w:type="dxa"/>
            <w:vAlign w:val="bottom"/>
            <w:tcBorders>
              <w:top w:val="single" w:sz="8" w:color="808080"/>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r>
      <w:tr>
        <w:trPr>
          <w:trHeight w:val="197"/>
        </w:trPr>
        <w:tc>
          <w:tcPr>
            <w:tcW w:w="3700" w:type="dxa"/>
            <w:vAlign w:val="bottom"/>
          </w:tcPr>
          <w:p>
            <w:pPr>
              <w:spacing w:after="0"/>
              <w:rPr>
                <w:sz w:val="17"/>
                <w:szCs w:val="17"/>
                <w:color w:val="auto"/>
              </w:rPr>
            </w:pPr>
          </w:p>
        </w:tc>
        <w:tc>
          <w:tcPr>
            <w:tcW w:w="1600" w:type="dxa"/>
            <w:vAlign w:val="bottom"/>
            <w:tcBorders>
              <w:bottom w:val="single" w:sz="8" w:color="808080"/>
            </w:tcBorders>
            <w:gridSpan w:val="2"/>
          </w:tcPr>
          <w:p>
            <w:pPr>
              <w:jc w:val="right"/>
              <w:ind w:right="399"/>
              <w:spacing w:after="0"/>
              <w:rPr>
                <w:sz w:val="20"/>
                <w:szCs w:val="20"/>
                <w:color w:val="auto"/>
              </w:rPr>
            </w:pPr>
            <w:r>
              <w:rPr>
                <w:rFonts w:ascii="Arial" w:cs="Arial" w:eastAsia="Arial" w:hAnsi="Arial"/>
                <w:sz w:val="16"/>
                <w:szCs w:val="16"/>
                <w:i w:val="1"/>
                <w:iCs w:val="1"/>
                <w:color w:val="auto"/>
              </w:rPr>
              <w:t>June 30,</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808080"/>
            </w:tcBorders>
            <w:gridSpan w:val="2"/>
          </w:tcPr>
          <w:p>
            <w:pPr>
              <w:jc w:val="right"/>
              <w:ind w:right="419"/>
              <w:spacing w:after="0"/>
              <w:rPr>
                <w:sz w:val="20"/>
                <w:szCs w:val="20"/>
                <w:color w:val="auto"/>
              </w:rPr>
            </w:pPr>
            <w:r>
              <w:rPr>
                <w:rFonts w:ascii="Arial" w:cs="Arial" w:eastAsia="Arial" w:hAnsi="Arial"/>
                <w:sz w:val="16"/>
                <w:szCs w:val="16"/>
                <w:i w:val="1"/>
                <w:iCs w:val="1"/>
                <w:color w:val="auto"/>
              </w:rPr>
              <w:t>June 30,</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37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jc w:val="right"/>
              <w:ind w:right="59"/>
              <w:spacing w:after="0"/>
              <w:rPr>
                <w:sz w:val="20"/>
                <w:szCs w:val="20"/>
                <w:color w:val="auto"/>
              </w:rPr>
            </w:pPr>
            <w:r>
              <w:rPr>
                <w:rFonts w:ascii="Arial" w:cs="Arial" w:eastAsia="Arial" w:hAnsi="Arial"/>
                <w:sz w:val="16"/>
                <w:szCs w:val="16"/>
                <w:b w:val="1"/>
                <w:bCs w:val="1"/>
                <w:i w:val="1"/>
                <w:iCs w:val="1"/>
                <w:color w:val="auto"/>
              </w:rPr>
              <w:t>2017</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1040" w:type="dxa"/>
            <w:vAlign w:val="bottom"/>
            <w:tcBorders>
              <w:bottom w:val="single" w:sz="8" w:color="808080"/>
            </w:tcBorders>
            <w:gridSpan w:val="3"/>
          </w:tcPr>
          <w:p>
            <w:pPr>
              <w:jc w:val="right"/>
              <w:ind w:right="200"/>
              <w:spacing w:after="0"/>
              <w:rPr>
                <w:sz w:val="20"/>
                <w:szCs w:val="20"/>
                <w:color w:val="auto"/>
              </w:rPr>
            </w:pPr>
            <w:r>
              <w:rPr>
                <w:rFonts w:ascii="Arial" w:cs="Arial" w:eastAsia="Arial" w:hAnsi="Arial"/>
                <w:sz w:val="16"/>
                <w:szCs w:val="16"/>
                <w:b w:val="1"/>
                <w:bCs w:val="1"/>
                <w:i w:val="1"/>
                <w:iCs w:val="1"/>
                <w:color w:val="auto"/>
              </w:rPr>
              <w:t>Change</w:t>
            </w:r>
          </w:p>
        </w:tc>
        <w:tc>
          <w:tcPr>
            <w:tcW w:w="92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Average train speed (miles per hour)</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5"/>
        </w:trPr>
        <w:tc>
          <w:tcPr>
            <w:tcW w:w="3700" w:type="dxa"/>
            <w:vAlign w:val="bottom"/>
          </w:tcPr>
          <w:p>
            <w:pPr>
              <w:spacing w:after="0"/>
              <w:rPr>
                <w:sz w:val="20"/>
                <w:szCs w:val="20"/>
                <w:color w:val="auto"/>
              </w:rPr>
            </w:pPr>
            <w:r>
              <w:rPr>
                <w:rFonts w:ascii="Arial" w:cs="Arial" w:eastAsia="Arial" w:hAnsi="Arial"/>
                <w:sz w:val="16"/>
                <w:szCs w:val="16"/>
                <w:color w:val="auto"/>
              </w:rPr>
              <w:t>Average terminal dwell time (hours)</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28.3</w:t>
            </w:r>
          </w:p>
        </w:tc>
        <w:tc>
          <w:tcPr>
            <w:tcW w:w="700" w:type="dxa"/>
            <w:vAlign w:val="bottom"/>
          </w:tcPr>
          <w:p>
            <w:pPr>
              <w:jc w:val="right"/>
              <w:spacing w:after="0"/>
              <w:rPr>
                <w:sz w:val="20"/>
                <w:szCs w:val="20"/>
                <w:color w:val="auto"/>
              </w:rPr>
            </w:pPr>
            <w:r>
              <w:rPr>
                <w:rFonts w:ascii="Arial" w:cs="Arial" w:eastAsia="Arial" w:hAnsi="Arial"/>
                <w:sz w:val="16"/>
                <w:szCs w:val="16"/>
                <w:color w:val="auto"/>
              </w:rPr>
              <w:t>27.1</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29.4</w:t>
            </w:r>
          </w:p>
        </w:tc>
        <w:tc>
          <w:tcPr>
            <w:tcW w:w="700" w:type="dxa"/>
            <w:vAlign w:val="bottom"/>
          </w:tcPr>
          <w:p>
            <w:pPr>
              <w:jc w:val="right"/>
              <w:spacing w:after="0"/>
              <w:rPr>
                <w:sz w:val="20"/>
                <w:szCs w:val="20"/>
                <w:color w:val="auto"/>
              </w:rPr>
            </w:pPr>
            <w:r>
              <w:rPr>
                <w:rFonts w:ascii="Arial" w:cs="Arial" w:eastAsia="Arial" w:hAnsi="Arial"/>
                <w:sz w:val="16"/>
                <w:szCs w:val="16"/>
                <w:color w:val="auto"/>
              </w:rPr>
              <w:t>27.8</w:t>
            </w:r>
          </w:p>
        </w:tc>
        <w:tc>
          <w:tcPr>
            <w:tcW w:w="660" w:type="dxa"/>
            <w:vAlign w:val="bottom"/>
          </w:tcPr>
          <w:p>
            <w:pPr>
              <w:jc w:val="right"/>
              <w:ind w:right="39"/>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Gross ton-miles (billions)</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222.8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441.8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5"/>
        </w:trPr>
        <w:tc>
          <w:tcPr>
            <w:tcW w:w="3700" w:type="dxa"/>
            <w:vAlign w:val="bottom"/>
          </w:tcPr>
          <w:p>
            <w:pPr>
              <w:spacing w:after="0"/>
              <w:rPr>
                <w:sz w:val="20"/>
                <w:szCs w:val="20"/>
                <w:color w:val="auto"/>
              </w:rPr>
            </w:pPr>
            <w:r>
              <w:rPr>
                <w:rFonts w:ascii="Arial" w:cs="Arial" w:eastAsia="Arial" w:hAnsi="Arial"/>
                <w:sz w:val="16"/>
                <w:szCs w:val="16"/>
                <w:color w:val="auto"/>
              </w:rPr>
              <w:t>Revenue ton-miles (billions)</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114.8</w:t>
            </w:r>
          </w:p>
        </w:tc>
        <w:tc>
          <w:tcPr>
            <w:tcW w:w="700" w:type="dxa"/>
            <w:vAlign w:val="bottom"/>
          </w:tcPr>
          <w:p>
            <w:pPr>
              <w:jc w:val="right"/>
              <w:spacing w:after="0"/>
              <w:rPr>
                <w:sz w:val="20"/>
                <w:szCs w:val="20"/>
                <w:color w:val="auto"/>
              </w:rPr>
            </w:pPr>
            <w:r>
              <w:rPr>
                <w:rFonts w:ascii="Arial" w:cs="Arial" w:eastAsia="Arial" w:hAnsi="Arial"/>
                <w:sz w:val="16"/>
                <w:szCs w:val="16"/>
                <w:color w:val="auto"/>
              </w:rPr>
              <w:t>102.9</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228.9</w:t>
            </w:r>
          </w:p>
        </w:tc>
        <w:tc>
          <w:tcPr>
            <w:tcW w:w="700" w:type="dxa"/>
            <w:vAlign w:val="bottom"/>
          </w:tcPr>
          <w:p>
            <w:pPr>
              <w:jc w:val="right"/>
              <w:spacing w:after="0"/>
              <w:rPr>
                <w:sz w:val="20"/>
                <w:szCs w:val="20"/>
                <w:color w:val="auto"/>
              </w:rPr>
            </w:pPr>
            <w:r>
              <w:rPr>
                <w:rFonts w:ascii="Arial" w:cs="Arial" w:eastAsia="Arial" w:hAnsi="Arial"/>
                <w:sz w:val="16"/>
                <w:szCs w:val="16"/>
                <w:color w:val="auto"/>
              </w:rPr>
              <w:t>207.5</w:t>
            </w:r>
          </w:p>
        </w:tc>
        <w:tc>
          <w:tcPr>
            <w:tcW w:w="660" w:type="dxa"/>
            <w:vAlign w:val="bottom"/>
          </w:tcPr>
          <w:p>
            <w:pPr>
              <w:jc w:val="right"/>
              <w:ind w:right="39"/>
              <w:spacing w:after="0"/>
              <w:rPr>
                <w:sz w:val="20"/>
                <w:szCs w:val="20"/>
                <w:color w:val="auto"/>
              </w:rPr>
            </w:pPr>
            <w:r>
              <w:rPr>
                <w:rFonts w:ascii="Arial" w:cs="Arial" w:eastAsia="Arial" w:hAnsi="Arial"/>
                <w:sz w:val="16"/>
                <w:szCs w:val="16"/>
                <w:b w:val="1"/>
                <w:bCs w:val="1"/>
                <w:color w:val="auto"/>
              </w:rPr>
              <w:t>10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Operating ratio</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61.8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(3.4) pts</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 pts</w:t>
            </w:r>
          </w:p>
        </w:tc>
      </w:tr>
      <w:tr>
        <w:trPr>
          <w:trHeight w:val="223"/>
        </w:trPr>
        <w:tc>
          <w:tcPr>
            <w:tcW w:w="370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Employees (average)</w:t>
            </w:r>
          </w:p>
        </w:tc>
        <w:tc>
          <w:tcPr>
            <w:tcW w:w="900" w:type="dxa"/>
            <w:vAlign w:val="bottom"/>
            <w:tcBorders>
              <w:bottom w:val="single" w:sz="8" w:color="808080"/>
            </w:tcBorders>
          </w:tcPr>
          <w:p>
            <w:pPr>
              <w:jc w:val="right"/>
              <w:ind w:right="59"/>
              <w:spacing w:after="0"/>
              <w:rPr>
                <w:sz w:val="20"/>
                <w:szCs w:val="20"/>
                <w:color w:val="auto"/>
              </w:rPr>
            </w:pPr>
            <w:r>
              <w:rPr>
                <w:rFonts w:ascii="Arial" w:cs="Arial" w:eastAsia="Arial" w:hAnsi="Arial"/>
                <w:sz w:val="16"/>
                <w:szCs w:val="16"/>
                <w:b w:val="1"/>
                <w:bCs w:val="1"/>
                <w:color w:val="auto"/>
              </w:rPr>
              <w:t>42,256</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43,053</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w:t>
            </w:r>
          </w:p>
        </w:tc>
        <w:tc>
          <w:tcPr>
            <w:tcW w:w="420" w:type="dxa"/>
            <w:vAlign w:val="bottom"/>
            <w:tcBorders>
              <w:bottom w:val="single" w:sz="8" w:color="808080"/>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b w:val="1"/>
                <w:bCs w:val="1"/>
                <w:color w:val="auto"/>
              </w:rPr>
              <w:t>42,162</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43,354</w:t>
            </w: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143"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Average Train Speed </w:t>
      </w:r>
      <w:r>
        <w:rPr>
          <w:rFonts w:ascii="Arial" w:cs="Arial" w:eastAsia="Arial" w:hAnsi="Arial"/>
          <w:sz w:val="18"/>
          <w:szCs w:val="18"/>
          <w:color w:val="auto"/>
        </w:rPr>
        <w:t>– Average train speed is calculated by dividing train miles by hours operated on our main</w:t>
      </w:r>
      <w:r>
        <w:rPr>
          <w:rFonts w:ascii="Arial" w:cs="Arial" w:eastAsia="Arial" w:hAnsi="Arial"/>
          <w:sz w:val="18"/>
          <w:szCs w:val="18"/>
          <w:i w:val="1"/>
          <w:iCs w:val="1"/>
          <w:color w:val="auto"/>
        </w:rPr>
        <w:t xml:space="preserve"> </w:t>
      </w:r>
      <w:r>
        <w:rPr>
          <w:rFonts w:ascii="Arial" w:cs="Arial" w:eastAsia="Arial" w:hAnsi="Arial"/>
          <w:sz w:val="18"/>
          <w:szCs w:val="18"/>
          <w:color w:val="auto"/>
        </w:rPr>
        <w:t>lines between terminals. Average train speed for the second quarter and year-to-date periods of 2017, as reported to the AAR, decreased 5% compared to the same periods in 2016 resulting from some disruptions across our network that negatively impacted network fluidity.</w:t>
      </w:r>
    </w:p>
    <w:p>
      <w:pPr>
        <w:spacing w:after="0" w:line="119"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Average Terminal Dwell Time </w:t>
      </w:r>
      <w:r>
        <w:rPr>
          <w:rFonts w:ascii="Arial" w:cs="Arial" w:eastAsia="Arial" w:hAnsi="Arial"/>
          <w:sz w:val="18"/>
          <w:szCs w:val="18"/>
          <w:color w:val="auto"/>
        </w:rPr>
        <w:t>– Average terminal dwell time is the average time that a rail car spends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terminals. Lower average terminal dwell time improves asset utilization and service. Average terminal dwell time in the second quarter and year-to-date periods of 2017 increased 4% and 6%, respectively, compared to the same periods of 2016 resulting from some disruptions that negatively impacted network fluidity.</w:t>
      </w:r>
    </w:p>
    <w:p>
      <w:pPr>
        <w:spacing w:after="0" w:line="119"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freight cars by the number of miles hauled. Revenue ton-miles are calculated by multiplying the weight of freight by the number of tariff miles. Gross ton-miles and revenue ton-miles increased 10% and 12%, respectively, during the second quarter of 2017 compared to 2016, resulting from a 5% increase in carloadings. Changes in commodity mix drove the variances in year-over-year increases between gross ton-miles, revenue ton-miles and carloads.</w:t>
      </w:r>
    </w:p>
    <w:p>
      <w:pPr>
        <w:spacing w:after="0" w:line="116"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Our second quarter operating ratio of 61.8% improved 3.4 points compared to the second quarter of 2016 driven by the positive impact of volume growth, core pricing gains, resource productivity, and a modest benefit from the fuel surcharge recovery lag. Inflation and other cost hurdles partially offset this improvement. Year-to-date, our operating ratio was 63.4%, improving 1.7 points compared to 2016.</w:t>
      </w:r>
    </w:p>
    <w:p>
      <w:pPr>
        <w:spacing w:after="0" w:line="118" w:lineRule="exact"/>
        <w:rPr>
          <w:sz w:val="20"/>
          <w:szCs w:val="20"/>
          <w:color w:val="auto"/>
        </w:rPr>
      </w:pPr>
    </w:p>
    <w:p>
      <w:pPr>
        <w:jc w:val="both"/>
        <w:ind w:left="100" w:right="99"/>
        <w:spacing w:after="0" w:line="226" w:lineRule="auto"/>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 Employee levels decreased 2% in the second quarter and 3% in the six-month period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2016. Productivity gains, a smaller capital workforce, and fewer management and administrative personnel, more than offset the impact of higher volume levels.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Debt to Capital / Adjusted Debt to Capital</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480" w:type="dxa"/>
            <w:vAlign w:val="bottom"/>
            <w:tcBorders>
              <w:top w:val="single" w:sz="8" w:color="7F7F7F"/>
            </w:tcBorders>
          </w:tcPr>
          <w:p>
            <w:pPr>
              <w:spacing w:after="0"/>
              <w:rPr>
                <w:sz w:val="20"/>
                <w:szCs w:val="20"/>
                <w:color w:val="auto"/>
              </w:rPr>
            </w:pPr>
          </w:p>
        </w:tc>
        <w:tc>
          <w:tcPr>
            <w:tcW w:w="2600" w:type="dxa"/>
            <w:vAlign w:val="bottom"/>
            <w:tcBorders>
              <w:top w:val="single" w:sz="8" w:color="7F7F7F"/>
            </w:tcBorders>
          </w:tcPr>
          <w:p>
            <w:pPr>
              <w:spacing w:after="0"/>
              <w:rPr>
                <w:sz w:val="20"/>
                <w:szCs w:val="20"/>
                <w:color w:val="auto"/>
              </w:rPr>
            </w:pPr>
          </w:p>
        </w:tc>
        <w:tc>
          <w:tcPr>
            <w:tcW w:w="760" w:type="dxa"/>
            <w:vAlign w:val="bottom"/>
            <w:tcBorders>
              <w:top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Jun. 30,</w:t>
            </w:r>
          </w:p>
        </w:tc>
        <w:tc>
          <w:tcPr>
            <w:tcW w:w="280" w:type="dxa"/>
            <w:vAlign w:val="bottom"/>
            <w:tcBorders>
              <w:top w:val="single" w:sz="8" w:color="7F7F7F"/>
            </w:tcBorders>
          </w:tcPr>
          <w:p>
            <w:pPr>
              <w:spacing w:after="0"/>
              <w:rPr>
                <w:sz w:val="20"/>
                <w:szCs w:val="20"/>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44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 Except Percentages</w:t>
            </w:r>
          </w:p>
        </w:tc>
        <w:tc>
          <w:tcPr>
            <w:tcW w:w="2600" w:type="dxa"/>
            <w:vAlign w:val="bottom"/>
            <w:tcBorders>
              <w:bottom w:val="single" w:sz="8" w:color="7F7F7F"/>
            </w:tcBorders>
          </w:tcPr>
          <w:p>
            <w:pPr>
              <w:spacing w:after="0"/>
              <w:rPr>
                <w:sz w:val="18"/>
                <w:szCs w:val="18"/>
                <w:color w:val="auto"/>
              </w:rPr>
            </w:pPr>
          </w:p>
        </w:tc>
        <w:tc>
          <w:tcPr>
            <w:tcW w:w="76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2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Debt (a)</w:t>
            </w:r>
          </w:p>
        </w:tc>
        <w:tc>
          <w:tcPr>
            <w:tcW w:w="2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15,760</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15,007</w:t>
            </w:r>
          </w:p>
        </w:tc>
      </w:tr>
      <w:tr>
        <w:trPr>
          <w:trHeight w:val="210"/>
        </w:trPr>
        <w:tc>
          <w:tcPr>
            <w:tcW w:w="44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Equity</w:t>
            </w:r>
          </w:p>
        </w:tc>
        <w:tc>
          <w:tcPr>
            <w:tcW w:w="2600" w:type="dxa"/>
            <w:vAlign w:val="bottom"/>
            <w:tcBorders>
              <w:bottom w:val="single" w:sz="8" w:color="7F7F7F"/>
            </w:tcBorders>
          </w:tcPr>
          <w:p>
            <w:pPr>
              <w:spacing w:after="0"/>
              <w:rPr>
                <w:sz w:val="18"/>
                <w:szCs w:val="18"/>
                <w:color w:val="auto"/>
              </w:rPr>
            </w:pPr>
          </w:p>
        </w:tc>
        <w:tc>
          <w:tcPr>
            <w:tcW w:w="76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19,615</w:t>
            </w:r>
          </w:p>
        </w:tc>
        <w:tc>
          <w:tcPr>
            <w:tcW w:w="2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19,932</w:t>
            </w:r>
          </w:p>
        </w:tc>
      </w:tr>
      <w:tr>
        <w:trPr>
          <w:trHeight w:val="196"/>
        </w:trPr>
        <w:tc>
          <w:tcPr>
            <w:tcW w:w="44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Capital (b)</w:t>
            </w:r>
          </w:p>
        </w:tc>
        <w:tc>
          <w:tcPr>
            <w:tcW w:w="26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35,375</w:t>
            </w:r>
          </w:p>
        </w:tc>
        <w:tc>
          <w:tcPr>
            <w:tcW w:w="2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34,939</w:t>
            </w:r>
          </w:p>
        </w:tc>
      </w:tr>
      <w:tr>
        <w:trPr>
          <w:trHeight w:val="237"/>
        </w:trPr>
        <w:tc>
          <w:tcPr>
            <w:tcW w:w="4480" w:type="dxa"/>
            <w:vAlign w:val="bottom"/>
          </w:tcPr>
          <w:p>
            <w:pPr>
              <w:spacing w:after="0"/>
              <w:rPr>
                <w:sz w:val="20"/>
                <w:szCs w:val="20"/>
                <w:color w:val="auto"/>
              </w:rPr>
            </w:pPr>
            <w:r>
              <w:rPr>
                <w:rFonts w:ascii="Arial" w:cs="Arial" w:eastAsia="Arial" w:hAnsi="Arial"/>
                <w:sz w:val="16"/>
                <w:szCs w:val="16"/>
                <w:color w:val="auto"/>
              </w:rPr>
              <w:t>Debt to capital (a/b)</w:t>
            </w:r>
          </w:p>
        </w:tc>
        <w:tc>
          <w:tcPr>
            <w:tcW w:w="26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44.6%</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81"/>
        </w:trPr>
        <w:tc>
          <w:tcPr>
            <w:tcW w:w="4480" w:type="dxa"/>
            <w:vAlign w:val="bottom"/>
            <w:tcBorders>
              <w:bottom w:val="single" w:sz="8" w:color="7F7F7F"/>
            </w:tcBorders>
          </w:tcPr>
          <w:p>
            <w:pPr>
              <w:spacing w:after="0"/>
              <w:rPr>
                <w:sz w:val="7"/>
                <w:szCs w:val="7"/>
                <w:color w:val="auto"/>
              </w:rPr>
            </w:pPr>
          </w:p>
        </w:tc>
        <w:tc>
          <w:tcPr>
            <w:tcW w:w="260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28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6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620" w:type="dxa"/>
            <w:vAlign w:val="bottom"/>
            <w:tcBorders>
              <w:top w:val="single" w:sz="8" w:color="7F7F7F"/>
            </w:tcBorders>
          </w:tcPr>
          <w:p>
            <w:pPr>
              <w:spacing w:after="0"/>
              <w:rPr>
                <w:sz w:val="20"/>
                <w:szCs w:val="20"/>
                <w:color w:val="auto"/>
              </w:rPr>
            </w:pPr>
          </w:p>
        </w:tc>
        <w:tc>
          <w:tcPr>
            <w:tcW w:w="1460" w:type="dxa"/>
            <w:vAlign w:val="bottom"/>
            <w:tcBorders>
              <w:top w:val="single" w:sz="8" w:color="7F7F7F"/>
            </w:tcBorders>
          </w:tcPr>
          <w:p>
            <w:pPr>
              <w:spacing w:after="0"/>
              <w:rPr>
                <w:sz w:val="20"/>
                <w:szCs w:val="20"/>
                <w:color w:val="auto"/>
              </w:rPr>
            </w:pPr>
          </w:p>
        </w:tc>
        <w:tc>
          <w:tcPr>
            <w:tcW w:w="760" w:type="dxa"/>
            <w:vAlign w:val="bottom"/>
            <w:tcBorders>
              <w:top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Jun. 30,</w:t>
            </w:r>
          </w:p>
        </w:tc>
        <w:tc>
          <w:tcPr>
            <w:tcW w:w="280" w:type="dxa"/>
            <w:vAlign w:val="bottom"/>
            <w:tcBorders>
              <w:top w:val="single" w:sz="8" w:color="7F7F7F"/>
            </w:tcBorders>
          </w:tcPr>
          <w:p>
            <w:pPr>
              <w:spacing w:after="0"/>
              <w:rPr>
                <w:sz w:val="20"/>
                <w:szCs w:val="20"/>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56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 Except Percentages</w:t>
            </w:r>
          </w:p>
        </w:tc>
        <w:tc>
          <w:tcPr>
            <w:tcW w:w="1460" w:type="dxa"/>
            <w:vAlign w:val="bottom"/>
            <w:tcBorders>
              <w:bottom w:val="single" w:sz="8" w:color="7F7F7F"/>
            </w:tcBorders>
          </w:tcPr>
          <w:p>
            <w:pPr>
              <w:spacing w:after="0"/>
              <w:rPr>
                <w:sz w:val="18"/>
                <w:szCs w:val="18"/>
                <w:color w:val="auto"/>
              </w:rPr>
            </w:pPr>
          </w:p>
        </w:tc>
        <w:tc>
          <w:tcPr>
            <w:tcW w:w="76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2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Debt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15,760</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15,007</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Net present value of operating leases</w:t>
            </w:r>
          </w:p>
        </w:tc>
        <w:tc>
          <w:tcPr>
            <w:tcW w:w="14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2,267</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2,435</w:t>
            </w:r>
          </w:p>
        </w:tc>
      </w:tr>
      <w:tr>
        <w:trPr>
          <w:trHeight w:val="210"/>
        </w:trPr>
        <w:tc>
          <w:tcPr>
            <w:tcW w:w="5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Unfunded pension and OPEB, net of taxes of $248 and $261</w:t>
            </w:r>
          </w:p>
        </w:tc>
        <w:tc>
          <w:tcPr>
            <w:tcW w:w="1460" w:type="dxa"/>
            <w:vAlign w:val="bottom"/>
            <w:tcBorders>
              <w:bottom w:val="single" w:sz="8" w:color="7F7F7F"/>
            </w:tcBorders>
            <w:shd w:val="clear" w:color="auto" w:fill="CCEEFF"/>
          </w:tcPr>
          <w:p>
            <w:pPr>
              <w:spacing w:after="0"/>
              <w:rPr>
                <w:sz w:val="18"/>
                <w:szCs w:val="18"/>
                <w:color w:val="auto"/>
              </w:rPr>
            </w:pPr>
          </w:p>
        </w:tc>
        <w:tc>
          <w:tcPr>
            <w:tcW w:w="76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413</w:t>
            </w:r>
          </w:p>
        </w:tc>
        <w:tc>
          <w:tcPr>
            <w:tcW w:w="28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Adjusted debt (a)</w:t>
            </w:r>
          </w:p>
        </w:tc>
        <w:tc>
          <w:tcPr>
            <w:tcW w:w="14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18,440</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17,878</w:t>
            </w:r>
          </w:p>
        </w:tc>
      </w:tr>
      <w:tr>
        <w:trPr>
          <w:trHeight w:val="210"/>
        </w:trPr>
        <w:tc>
          <w:tcPr>
            <w:tcW w:w="5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Equity</w:t>
            </w:r>
          </w:p>
        </w:tc>
        <w:tc>
          <w:tcPr>
            <w:tcW w:w="1460" w:type="dxa"/>
            <w:vAlign w:val="bottom"/>
            <w:tcBorders>
              <w:bottom w:val="single" w:sz="8" w:color="7F7F7F"/>
            </w:tcBorders>
            <w:shd w:val="clear" w:color="auto" w:fill="CCEEFF"/>
          </w:tcPr>
          <w:p>
            <w:pPr>
              <w:spacing w:after="0"/>
              <w:rPr>
                <w:sz w:val="18"/>
                <w:szCs w:val="18"/>
                <w:color w:val="auto"/>
              </w:rPr>
            </w:pPr>
          </w:p>
        </w:tc>
        <w:tc>
          <w:tcPr>
            <w:tcW w:w="76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19,615</w:t>
            </w:r>
          </w:p>
        </w:tc>
        <w:tc>
          <w:tcPr>
            <w:tcW w:w="28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19,932</w:t>
            </w:r>
          </w:p>
        </w:tc>
      </w:tr>
      <w:tr>
        <w:trPr>
          <w:trHeight w:val="196"/>
        </w:trPr>
        <w:tc>
          <w:tcPr>
            <w:tcW w:w="5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Adjusted capital (b)</w:t>
            </w:r>
          </w:p>
        </w:tc>
        <w:tc>
          <w:tcPr>
            <w:tcW w:w="146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38,055</w:t>
            </w:r>
          </w:p>
        </w:tc>
        <w:tc>
          <w:tcPr>
            <w:tcW w:w="2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37,810</w:t>
            </w:r>
          </w:p>
        </w:tc>
      </w:tr>
      <w:tr>
        <w:trPr>
          <w:trHeight w:val="264"/>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debt to capital (a/b)</w:t>
            </w:r>
          </w:p>
        </w:tc>
        <w:tc>
          <w:tcPr>
            <w:tcW w:w="1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48.5%</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54"/>
        </w:trPr>
        <w:tc>
          <w:tcPr>
            <w:tcW w:w="5620" w:type="dxa"/>
            <w:vAlign w:val="bottom"/>
            <w:shd w:val="clear" w:color="auto" w:fill="7F7F7F"/>
          </w:tcPr>
          <w:p>
            <w:pPr>
              <w:spacing w:after="0"/>
              <w:rPr>
                <w:sz w:val="4"/>
                <w:szCs w:val="4"/>
                <w:color w:val="auto"/>
              </w:rPr>
            </w:pPr>
          </w:p>
        </w:tc>
        <w:tc>
          <w:tcPr>
            <w:tcW w:w="1460" w:type="dxa"/>
            <w:vAlign w:val="bottom"/>
            <w:shd w:val="clear" w:color="auto" w:fill="7F7F7F"/>
          </w:tcPr>
          <w:p>
            <w:pPr>
              <w:spacing w:after="0"/>
              <w:rPr>
                <w:sz w:val="4"/>
                <w:szCs w:val="4"/>
                <w:color w:val="auto"/>
              </w:rPr>
            </w:pPr>
          </w:p>
        </w:tc>
        <w:tc>
          <w:tcPr>
            <w:tcW w:w="760" w:type="dxa"/>
            <w:vAlign w:val="bottom"/>
            <w:shd w:val="clear" w:color="auto" w:fill="7F7F7F"/>
          </w:tcPr>
          <w:p>
            <w:pPr>
              <w:spacing w:after="0"/>
              <w:rPr>
                <w:sz w:val="4"/>
                <w:szCs w:val="4"/>
                <w:color w:val="auto"/>
              </w:rPr>
            </w:pPr>
          </w:p>
        </w:tc>
        <w:tc>
          <w:tcPr>
            <w:tcW w:w="280" w:type="dxa"/>
            <w:vAlign w:val="bottom"/>
            <w:shd w:val="clear" w:color="auto" w:fill="7F7F7F"/>
          </w:tcPr>
          <w:p>
            <w:pPr>
              <w:spacing w:after="0"/>
              <w:rPr>
                <w:sz w:val="4"/>
                <w:szCs w:val="4"/>
                <w:color w:val="auto"/>
              </w:rPr>
            </w:pPr>
          </w:p>
        </w:tc>
        <w:tc>
          <w:tcPr>
            <w:tcW w:w="700" w:type="dxa"/>
            <w:vAlign w:val="bottom"/>
            <w:shd w:val="clear" w:color="auto" w:fill="7F7F7F"/>
          </w:tcPr>
          <w:p>
            <w:pPr>
              <w:spacing w:after="0"/>
              <w:rPr>
                <w:sz w:val="4"/>
                <w:szCs w:val="4"/>
                <w:color w:val="auto"/>
              </w:rPr>
            </w:pPr>
          </w:p>
        </w:tc>
      </w:tr>
    </w:tbl>
    <w:p>
      <w:pPr>
        <w:spacing w:after="0" w:line="161"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Adjusted debt to capital is a non-GAAP financial measure under SEC Regulation G and Item 10 of SEC Regulation S-K, and may not be defined and calculated by other companies in the same manner. We believe this measure is important to management and investors in evaluating the total amount of leverage in our capital structure, including off-balance sheet lease obligations, which we generally incur in connection with financing the acquisition of locomotives and freight cars and certain facilities. Operating leases were discounted using 4.6% at June 30, 2017, and 4.7% at December 31, 2016. The discount rate reflects our effective interest rate. We monitor the ratio of adjusted debt to capital as we manage our capital structure to balance cost-effective and efficient access to the capital markets with the Corporation’s overall cost of capital. Adjusted debt to capital should be considered in addition to, rather than as a substitute for, debt to capital. The tables above provide reconciliations from debt to capital to adjusted debt to capital.</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Financial Condition</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69"/>
        </w:trPr>
        <w:tc>
          <w:tcPr>
            <w:tcW w:w="492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Flows</w:t>
            </w:r>
          </w:p>
        </w:tc>
        <w:tc>
          <w:tcPr>
            <w:tcW w:w="2200" w:type="dxa"/>
            <w:vAlign w:val="bottom"/>
            <w:tcBorders>
              <w:top w:val="single" w:sz="8" w:color="7F7F7F"/>
            </w:tcBorders>
          </w:tcPr>
          <w:p>
            <w:pPr>
              <w:spacing w:after="0"/>
              <w:rPr>
                <w:sz w:val="23"/>
                <w:szCs w:val="23"/>
                <w:color w:val="auto"/>
              </w:rPr>
            </w:pPr>
          </w:p>
        </w:tc>
        <w:tc>
          <w:tcPr>
            <w:tcW w:w="720" w:type="dxa"/>
            <w:vAlign w:val="bottom"/>
            <w:tcBorders>
              <w:top w:val="single" w:sz="8" w:color="7F7F7F"/>
            </w:tcBorders>
          </w:tcPr>
          <w:p>
            <w:pPr>
              <w:spacing w:after="0"/>
              <w:rPr>
                <w:sz w:val="23"/>
                <w:szCs w:val="23"/>
                <w:color w:val="auto"/>
              </w:rPr>
            </w:pPr>
          </w:p>
        </w:tc>
        <w:tc>
          <w:tcPr>
            <w:tcW w:w="320" w:type="dxa"/>
            <w:vAlign w:val="bottom"/>
            <w:tcBorders>
              <w:top w:val="single" w:sz="8" w:color="7F7F7F"/>
            </w:tcBorders>
          </w:tcPr>
          <w:p>
            <w:pPr>
              <w:spacing w:after="0"/>
              <w:rPr>
                <w:sz w:val="23"/>
                <w:szCs w:val="23"/>
                <w:color w:val="auto"/>
              </w:rPr>
            </w:pPr>
          </w:p>
        </w:tc>
        <w:tc>
          <w:tcPr>
            <w:tcW w:w="660" w:type="dxa"/>
            <w:vAlign w:val="bottom"/>
            <w:tcBorders>
              <w:top w:val="single" w:sz="8" w:color="7F7F7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i w:val="1"/>
                <w:iCs w:val="1"/>
                <w:color w:val="auto"/>
              </w:rPr>
              <w:t>Millions,</w:t>
            </w:r>
          </w:p>
        </w:tc>
        <w:tc>
          <w:tcPr>
            <w:tcW w:w="2200" w:type="dxa"/>
            <w:vAlign w:val="bottom"/>
          </w:tcPr>
          <w:p>
            <w:pPr>
              <w:spacing w:after="0"/>
              <w:rPr>
                <w:sz w:val="17"/>
                <w:szCs w:val="17"/>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49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2200" w:type="dxa"/>
            <w:vAlign w:val="bottom"/>
            <w:tcBorders>
              <w:bottom w:val="single" w:sz="8" w:color="7F7F7F"/>
            </w:tcBorders>
          </w:tcPr>
          <w:p>
            <w:pPr>
              <w:spacing w:after="0"/>
              <w:rPr>
                <w:sz w:val="17"/>
                <w:szCs w:val="17"/>
                <w:color w:val="auto"/>
              </w:rPr>
            </w:pPr>
          </w:p>
        </w:tc>
        <w:tc>
          <w:tcPr>
            <w:tcW w:w="720" w:type="dxa"/>
            <w:vAlign w:val="bottom"/>
            <w:tcBorders>
              <w:bottom w:val="single" w:sz="8" w:color="7F7F7F"/>
            </w:tcBorders>
            <w:vMerge w:val="continue"/>
          </w:tcPr>
          <w:p>
            <w:pPr>
              <w:spacing w:after="0"/>
              <w:rPr>
                <w:sz w:val="17"/>
                <w:szCs w:val="17"/>
                <w:color w:val="auto"/>
              </w:rPr>
            </w:pPr>
          </w:p>
        </w:tc>
        <w:tc>
          <w:tcPr>
            <w:tcW w:w="32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operating activities</w:t>
            </w:r>
          </w:p>
        </w:tc>
        <w:tc>
          <w:tcPr>
            <w:tcW w:w="2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3,459</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2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(1,564)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Cash used in financing activities</w:t>
            </w:r>
          </w:p>
        </w:tc>
        <w:tc>
          <w:tcPr>
            <w:tcW w:w="2200" w:type="dxa"/>
            <w:vAlign w:val="bottom"/>
            <w:tcBorders>
              <w:bottom w:val="single" w:sz="8" w:color="7F7F7F"/>
            </w:tcBorders>
            <w:shd w:val="clear" w:color="auto" w:fill="CCEEFF"/>
          </w:tcPr>
          <w:p>
            <w:pPr>
              <w:spacing w:after="0"/>
              <w:rPr>
                <w:sz w:val="18"/>
                <w:szCs w:val="18"/>
                <w:color w:val="auto"/>
              </w:rPr>
            </w:pPr>
          </w:p>
        </w:tc>
        <w:tc>
          <w:tcPr>
            <w:tcW w:w="7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(1,886)</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22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81"/>
        </w:trPr>
        <w:tc>
          <w:tcPr>
            <w:tcW w:w="4920" w:type="dxa"/>
            <w:vAlign w:val="bottom"/>
            <w:tcBorders>
              <w:bottom w:val="single" w:sz="8" w:color="7F7F7F"/>
            </w:tcBorders>
          </w:tcPr>
          <w:p>
            <w:pPr>
              <w:spacing w:after="0"/>
              <w:rPr>
                <w:sz w:val="7"/>
                <w:szCs w:val="7"/>
                <w:color w:val="auto"/>
              </w:rPr>
            </w:pPr>
          </w:p>
        </w:tc>
        <w:tc>
          <w:tcPr>
            <w:tcW w:w="2200" w:type="dxa"/>
            <w:vAlign w:val="bottom"/>
            <w:tcBorders>
              <w:bottom w:val="single" w:sz="8" w:color="7F7F7F"/>
            </w:tcBorders>
          </w:tcPr>
          <w:p>
            <w:pPr>
              <w:spacing w:after="0"/>
              <w:rPr>
                <w:sz w:val="7"/>
                <w:szCs w:val="7"/>
                <w:color w:val="auto"/>
              </w:rPr>
            </w:pPr>
          </w:p>
        </w:tc>
        <w:tc>
          <w:tcPr>
            <w:tcW w:w="720" w:type="dxa"/>
            <w:vAlign w:val="bottom"/>
            <w:tcBorders>
              <w:bottom w:val="single" w:sz="8" w:color="7F7F7F"/>
            </w:tcBorders>
          </w:tcPr>
          <w:p>
            <w:pPr>
              <w:spacing w:after="0"/>
              <w:rPr>
                <w:sz w:val="7"/>
                <w:szCs w:val="7"/>
                <w:color w:val="auto"/>
              </w:rPr>
            </w:pPr>
          </w:p>
        </w:tc>
        <w:tc>
          <w:tcPr>
            <w:tcW w:w="320" w:type="dxa"/>
            <w:vAlign w:val="bottom"/>
            <w:tcBorders>
              <w:bottom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 Activities</w:t>
      </w:r>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In the first six months of 2017, cash provided by operating activities decreased compared to the same period of 2016 due to the timing of tax payments in 2016 related to bonus depreciation on capital spending. The decrease was mostly offset by higher income in the first six months of 2017 compared to 2016.</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Investing Activities</w:t>
      </w:r>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 reduction in purchased short-term investments mainly drove lower cash used in investing activities in the first six months of 2017 compared to the same period in 2016. Capital investments were essentially flat in 2017 versus 2016.</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table below details cash capital investments:</w:t>
      </w:r>
    </w:p>
    <w:p>
      <w:pPr>
        <w:spacing w:after="0" w:line="8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90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140" w:type="dxa"/>
            <w:vAlign w:val="bottom"/>
            <w:tcBorders>
              <w:top w:val="single" w:sz="8" w:color="7F7F7F"/>
            </w:tcBorders>
          </w:tcPr>
          <w:p>
            <w:pPr>
              <w:spacing w:after="0"/>
              <w:rPr>
                <w:sz w:val="22"/>
                <w:szCs w:val="22"/>
                <w:color w:val="auto"/>
              </w:rPr>
            </w:pPr>
          </w:p>
        </w:tc>
        <w:tc>
          <w:tcPr>
            <w:tcW w:w="72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top w:val="single" w:sz="8" w:color="7F7F7F"/>
            </w:tcBorders>
          </w:tcPr>
          <w:p>
            <w:pPr>
              <w:spacing w:after="0"/>
              <w:rPr>
                <w:sz w:val="22"/>
                <w:szCs w:val="22"/>
                <w:color w:val="auto"/>
              </w:rPr>
            </w:pPr>
          </w:p>
        </w:tc>
        <w:tc>
          <w:tcPr>
            <w:tcW w:w="66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49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2140" w:type="dxa"/>
            <w:vAlign w:val="bottom"/>
            <w:tcBorders>
              <w:bottom w:val="single" w:sz="8" w:color="7F7F7F"/>
            </w:tcBorders>
          </w:tcPr>
          <w:p>
            <w:pPr>
              <w:spacing w:after="0"/>
              <w:rPr>
                <w:sz w:val="17"/>
                <w:szCs w:val="17"/>
                <w:color w:val="auto"/>
              </w:rPr>
            </w:pPr>
          </w:p>
        </w:tc>
        <w:tc>
          <w:tcPr>
            <w:tcW w:w="720" w:type="dxa"/>
            <w:vAlign w:val="bottom"/>
            <w:tcBorders>
              <w:bottom w:val="single" w:sz="8" w:color="7F7F7F"/>
            </w:tcBorders>
            <w:vMerge w:val="continue"/>
          </w:tcPr>
          <w:p>
            <w:pPr>
              <w:spacing w:after="0"/>
              <w:rPr>
                <w:sz w:val="17"/>
                <w:szCs w:val="17"/>
                <w:color w:val="auto"/>
              </w:rPr>
            </w:pPr>
          </w:p>
        </w:tc>
        <w:tc>
          <w:tcPr>
            <w:tcW w:w="40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Rail and other track material</w:t>
            </w:r>
          </w:p>
        </w:tc>
        <w:tc>
          <w:tcPr>
            <w:tcW w:w="21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327</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Ties</w:t>
            </w:r>
          </w:p>
        </w:tc>
        <w:tc>
          <w:tcPr>
            <w:tcW w:w="21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248</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Ballast</w:t>
            </w:r>
          </w:p>
        </w:tc>
        <w:tc>
          <w:tcPr>
            <w:tcW w:w="2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 [a]</w:t>
            </w:r>
          </w:p>
        </w:tc>
        <w:tc>
          <w:tcPr>
            <w:tcW w:w="2140" w:type="dxa"/>
            <w:vAlign w:val="bottom"/>
            <w:tcBorders>
              <w:bottom w:val="single" w:sz="8" w:color="7F7F7F"/>
            </w:tcBorders>
          </w:tcPr>
          <w:p>
            <w:pPr>
              <w:spacing w:after="0"/>
              <w:rPr>
                <w:sz w:val="18"/>
                <w:szCs w:val="18"/>
                <w:color w:val="auto"/>
              </w:rPr>
            </w:pPr>
          </w:p>
        </w:tc>
        <w:tc>
          <w:tcPr>
            <w:tcW w:w="7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224</w:t>
            </w:r>
          </w:p>
        </w:tc>
        <w:tc>
          <w:tcPr>
            <w:tcW w:w="400" w:type="dxa"/>
            <w:vAlign w:val="bottom"/>
            <w:tcBorders>
              <w:bottom w:val="single" w:sz="8" w:color="7F7F7F"/>
            </w:tcBorders>
          </w:tcPr>
          <w:p>
            <w:pPr>
              <w:spacing w:after="0"/>
              <w:rPr>
                <w:sz w:val="18"/>
                <w:szCs w:val="18"/>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309"/>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road infrastructure replacements</w:t>
            </w:r>
          </w:p>
        </w:tc>
        <w:tc>
          <w:tcPr>
            <w:tcW w:w="2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916</w:t>
            </w:r>
          </w:p>
        </w:tc>
        <w:tc>
          <w:tcPr>
            <w:tcW w:w="4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03"/>
        </w:trPr>
        <w:tc>
          <w:tcPr>
            <w:tcW w:w="49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Line expansion and other capacity projects</w:t>
            </w:r>
          </w:p>
        </w:tc>
        <w:tc>
          <w:tcPr>
            <w:tcW w:w="2140" w:type="dxa"/>
            <w:vAlign w:val="bottom"/>
            <w:tcBorders>
              <w:top w:val="single" w:sz="8" w:color="7F7F7F"/>
            </w:tcBorders>
          </w:tcPr>
          <w:p>
            <w:pPr>
              <w:spacing w:after="0"/>
              <w:rPr>
                <w:sz w:val="17"/>
                <w:szCs w:val="17"/>
                <w:color w:val="auto"/>
              </w:rPr>
            </w:pPr>
          </w:p>
        </w:tc>
        <w:tc>
          <w:tcPr>
            <w:tcW w:w="720" w:type="dxa"/>
            <w:vAlign w:val="bottom"/>
            <w:tcBorders>
              <w:top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31</w:t>
            </w:r>
          </w:p>
        </w:tc>
        <w:tc>
          <w:tcPr>
            <w:tcW w:w="400" w:type="dxa"/>
            <w:vAlign w:val="bottom"/>
            <w:tcBorders>
              <w:top w:val="single" w:sz="8" w:color="7F7F7F"/>
            </w:tcBorders>
          </w:tcPr>
          <w:p>
            <w:pPr>
              <w:spacing w:after="0"/>
              <w:rPr>
                <w:sz w:val="17"/>
                <w:szCs w:val="17"/>
                <w:color w:val="auto"/>
              </w:rPr>
            </w:pPr>
          </w:p>
        </w:tc>
        <w:tc>
          <w:tcPr>
            <w:tcW w:w="66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Commercial facilities</w:t>
            </w:r>
          </w:p>
        </w:tc>
        <w:tc>
          <w:tcPr>
            <w:tcW w:w="2140" w:type="dxa"/>
            <w:vAlign w:val="bottom"/>
            <w:tcBorders>
              <w:bottom w:val="single" w:sz="8" w:color="7F7F7F"/>
            </w:tcBorders>
            <w:shd w:val="clear" w:color="auto" w:fill="CCEEFF"/>
          </w:tcPr>
          <w:p>
            <w:pPr>
              <w:spacing w:after="0"/>
              <w:rPr>
                <w:sz w:val="18"/>
                <w:szCs w:val="18"/>
                <w:color w:val="auto"/>
              </w:rPr>
            </w:pPr>
          </w:p>
        </w:tc>
        <w:tc>
          <w:tcPr>
            <w:tcW w:w="72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w:t>
            </w:r>
          </w:p>
        </w:tc>
        <w:tc>
          <w:tcPr>
            <w:tcW w:w="40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6"/>
                <w:szCs w:val="16"/>
                <w:color w:val="auto"/>
              </w:rPr>
              <w:t>Total capacity and commercial facilities</w:t>
            </w:r>
          </w:p>
        </w:tc>
        <w:tc>
          <w:tcPr>
            <w:tcW w:w="214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99</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54"/>
        </w:trPr>
        <w:tc>
          <w:tcPr>
            <w:tcW w:w="4900" w:type="dxa"/>
            <w:vAlign w:val="bottom"/>
            <w:tcBorders>
              <w:bottom w:val="single" w:sz="8" w:color="7F7F7F"/>
            </w:tcBorders>
          </w:tcPr>
          <w:p>
            <w:pPr>
              <w:spacing w:after="0"/>
              <w:rPr>
                <w:sz w:val="4"/>
                <w:szCs w:val="4"/>
                <w:color w:val="auto"/>
              </w:rPr>
            </w:pPr>
          </w:p>
        </w:tc>
        <w:tc>
          <w:tcPr>
            <w:tcW w:w="21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Locomotives and freight cars [b]</w:t>
            </w:r>
          </w:p>
        </w:tc>
        <w:tc>
          <w:tcPr>
            <w:tcW w:w="2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301</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Positive train control</w:t>
            </w:r>
          </w:p>
        </w:tc>
        <w:tc>
          <w:tcPr>
            <w:tcW w:w="21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177</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Technology and other</w:t>
            </w:r>
          </w:p>
        </w:tc>
        <w:tc>
          <w:tcPr>
            <w:tcW w:w="2140" w:type="dxa"/>
            <w:vAlign w:val="bottom"/>
            <w:tcBorders>
              <w:bottom w:val="single" w:sz="8" w:color="7F7F7F"/>
            </w:tcBorders>
            <w:shd w:val="clear" w:color="auto" w:fill="CCEEFF"/>
          </w:tcPr>
          <w:p>
            <w:pPr>
              <w:spacing w:after="0"/>
              <w:rPr>
                <w:sz w:val="18"/>
                <w:szCs w:val="18"/>
                <w:color w:val="auto"/>
              </w:rPr>
            </w:pPr>
          </w:p>
        </w:tc>
        <w:tc>
          <w:tcPr>
            <w:tcW w:w="72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w:t>
            </w:r>
          </w:p>
        </w:tc>
        <w:tc>
          <w:tcPr>
            <w:tcW w:w="40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6"/>
                <w:szCs w:val="16"/>
                <w:color w:val="auto"/>
              </w:rPr>
              <w:t>Total cash capital investments</w:t>
            </w: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1,589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81"/>
        </w:trPr>
        <w:tc>
          <w:tcPr>
            <w:tcW w:w="4900" w:type="dxa"/>
            <w:vAlign w:val="bottom"/>
            <w:tcBorders>
              <w:bottom w:val="single" w:sz="8" w:color="7F7F7F"/>
            </w:tcBorders>
          </w:tcPr>
          <w:p>
            <w:pPr>
              <w:spacing w:after="0"/>
              <w:rPr>
                <w:sz w:val="7"/>
                <w:szCs w:val="7"/>
                <w:color w:val="auto"/>
              </w:rPr>
            </w:pPr>
          </w:p>
        </w:tc>
        <w:tc>
          <w:tcPr>
            <w:tcW w:w="2140" w:type="dxa"/>
            <w:vAlign w:val="bottom"/>
            <w:tcBorders>
              <w:bottom w:val="single" w:sz="8" w:color="7F7F7F"/>
            </w:tcBorders>
          </w:tcPr>
          <w:p>
            <w:pPr>
              <w:spacing w:after="0"/>
              <w:rPr>
                <w:sz w:val="7"/>
                <w:szCs w:val="7"/>
                <w:color w:val="auto"/>
              </w:rPr>
            </w:pPr>
          </w:p>
        </w:tc>
        <w:tc>
          <w:tcPr>
            <w:tcW w:w="720" w:type="dxa"/>
            <w:vAlign w:val="bottom"/>
            <w:tcBorders>
              <w:bottom w:val="single" w:sz="8" w:color="7F7F7F"/>
            </w:tcBorders>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60" w:hanging="355"/>
        <w:spacing w:after="0"/>
        <w:tabs>
          <w:tab w:leader="none" w:pos="4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Other includes bridges and tunnels, signals, other road assets, and road work equipment.</w:t>
      </w:r>
    </w:p>
    <w:p>
      <w:pPr>
        <w:spacing w:after="0" w:line="28" w:lineRule="exact"/>
        <w:rPr>
          <w:rFonts w:ascii="Arial" w:cs="Arial" w:eastAsia="Arial" w:hAnsi="Arial"/>
          <w:sz w:val="14"/>
          <w:szCs w:val="14"/>
          <w:i w:val="1"/>
          <w:iCs w:val="1"/>
          <w:color w:val="auto"/>
        </w:rPr>
      </w:pPr>
    </w:p>
    <w:p>
      <w:pPr>
        <w:ind w:left="460" w:hanging="355"/>
        <w:spacing w:after="0"/>
        <w:tabs>
          <w:tab w:leader="none" w:pos="4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Locomotives and freight cars include lease buyouts of $144 million in 2017 and $27 million in 2016.</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Capital Plan</w:t>
      </w:r>
    </w:p>
    <w:p>
      <w:pPr>
        <w:spacing w:after="0" w:line="153"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As previously stated, we expect our 2017 capital plan to be approximately $3.1 billion, which may be revised if business conditions or the regulatory environment affect our ability to generate sufficient returns on these investments.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Financing Activities</w:t>
      </w:r>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Cash used in financing activities increased $638 million in the first six months of 2017 compared to the same period of 2016. A $359 million increase in shares repurchased combined with a $242 million decrease in debt issued drove the increase.</w:t>
      </w:r>
    </w:p>
    <w:p>
      <w:pPr>
        <w:spacing w:after="0" w:line="13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See Note 14 of the Condensed Consolidated Financial Statements for a description of all our outstanding financing arrangements and significant new borrowings.</w:t>
      </w:r>
    </w:p>
    <w:p>
      <w:pPr>
        <w:spacing w:after="0" w:line="113" w:lineRule="exact"/>
        <w:rPr>
          <w:sz w:val="20"/>
          <w:szCs w:val="20"/>
          <w:color w:val="auto"/>
        </w:rPr>
      </w:pPr>
    </w:p>
    <w:p>
      <w:pPr>
        <w:jc w:val="both"/>
        <w:ind w:left="100" w:right="99"/>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 Free cash flow is defined as cash provided by operating activities less cash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activities and dividends paid.</w:t>
      </w:r>
    </w:p>
    <w:p>
      <w:pPr>
        <w:spacing w:after="0" w:line="135"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Free cash flow is not considered a financial measure under GAAP by SEC Regulation G and Item 10 of SEC Regulation S-K and may not be defined and calculated by other companies in the same manner. We believe free cash flow is important to management and investors in evaluating our financial performance and measures our ability to generate cash without additional external financing. Free cash flow should be considered in addition to, rather than as a substitute for, cash provided by operating activities. The following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reconciles cash provided by operating activities (GAAP measure) to free cash flow (non-GAAP measure):</w:t>
      </w:r>
    </w:p>
    <w:p>
      <w:pPr>
        <w:spacing w:after="0" w:line="8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66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280" w:type="dxa"/>
            <w:vAlign w:val="bottom"/>
            <w:tcBorders>
              <w:top w:val="single" w:sz="8" w:color="7F7F7F"/>
            </w:tcBorders>
          </w:tcPr>
          <w:p>
            <w:pPr>
              <w:spacing w:after="0"/>
              <w:rPr>
                <w:sz w:val="22"/>
                <w:szCs w:val="22"/>
                <w:color w:val="auto"/>
              </w:rPr>
            </w:pPr>
          </w:p>
        </w:tc>
        <w:tc>
          <w:tcPr>
            <w:tcW w:w="800" w:type="dxa"/>
            <w:vAlign w:val="bottom"/>
            <w:tcBorders>
              <w:top w:val="single" w:sz="8" w:color="7F7F7F"/>
            </w:tcBorders>
            <w:vMerge w:val="restart"/>
          </w:tcPr>
          <w:p>
            <w:pPr>
              <w:jc w:val="right"/>
              <w:ind w:right="5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46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2280" w:type="dxa"/>
            <w:vAlign w:val="bottom"/>
            <w:tcBorders>
              <w:bottom w:val="single" w:sz="8" w:color="7F7F7F"/>
            </w:tcBorders>
          </w:tcPr>
          <w:p>
            <w:pPr>
              <w:spacing w:after="0"/>
              <w:rPr>
                <w:sz w:val="17"/>
                <w:szCs w:val="17"/>
                <w:color w:val="auto"/>
              </w:rPr>
            </w:pPr>
          </w:p>
        </w:tc>
        <w:tc>
          <w:tcPr>
            <w:tcW w:w="80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operating activities</w:t>
            </w:r>
          </w:p>
        </w:tc>
        <w:tc>
          <w:tcPr>
            <w:tcW w:w="2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3,459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22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(1,564)</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2280" w:type="dxa"/>
            <w:vAlign w:val="bottom"/>
            <w:tcBorders>
              <w:bottom w:val="single" w:sz="8" w:color="7F7F7F"/>
            </w:tcBorders>
            <w:shd w:val="clear" w:color="auto" w:fill="CCEEFF"/>
          </w:tcPr>
          <w:p>
            <w:pPr>
              <w:spacing w:after="0"/>
              <w:rPr>
                <w:sz w:val="18"/>
                <w:szCs w:val="18"/>
                <w:color w:val="auto"/>
              </w:rPr>
            </w:pPr>
          </w:p>
        </w:tc>
        <w:tc>
          <w:tcPr>
            <w:tcW w:w="8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(980)</w:t>
            </w:r>
          </w:p>
        </w:tc>
        <w:tc>
          <w:tcPr>
            <w:tcW w:w="38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6"/>
                <w:szCs w:val="16"/>
                <w:color w:val="auto"/>
              </w:rPr>
              <w:t>Free cash flow</w:t>
            </w:r>
          </w:p>
        </w:tc>
        <w:tc>
          <w:tcPr>
            <w:tcW w:w="22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915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81"/>
        </w:trPr>
        <w:tc>
          <w:tcPr>
            <w:tcW w:w="4660" w:type="dxa"/>
            <w:vAlign w:val="bottom"/>
            <w:tcBorders>
              <w:bottom w:val="single" w:sz="8" w:color="7F7F7F"/>
            </w:tcBorders>
          </w:tcPr>
          <w:p>
            <w:pPr>
              <w:spacing w:after="0"/>
              <w:rPr>
                <w:sz w:val="7"/>
                <w:szCs w:val="7"/>
                <w:color w:val="auto"/>
              </w:rPr>
            </w:pPr>
          </w:p>
        </w:tc>
        <w:tc>
          <w:tcPr>
            <w:tcW w:w="2280" w:type="dxa"/>
            <w:vAlign w:val="bottom"/>
            <w:tcBorders>
              <w:bottom w:val="single" w:sz="8" w:color="7F7F7F"/>
            </w:tcBorders>
          </w:tcPr>
          <w:p>
            <w:pPr>
              <w:spacing w:after="0"/>
              <w:rPr>
                <w:sz w:val="7"/>
                <w:szCs w:val="7"/>
                <w:color w:val="auto"/>
              </w:rPr>
            </w:pPr>
          </w:p>
        </w:tc>
        <w:tc>
          <w:tcPr>
            <w:tcW w:w="800" w:type="dxa"/>
            <w:vAlign w:val="bottom"/>
            <w:tcBorders>
              <w:bottom w:val="single" w:sz="8" w:color="7F7F7F"/>
            </w:tcBorders>
          </w:tcPr>
          <w:p>
            <w:pPr>
              <w:spacing w:after="0"/>
              <w:rPr>
                <w:sz w:val="7"/>
                <w:szCs w:val="7"/>
                <w:color w:val="auto"/>
              </w:rPr>
            </w:pPr>
          </w:p>
        </w:tc>
        <w:tc>
          <w:tcPr>
            <w:tcW w:w="38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Share Repurchase Program</w:t>
      </w:r>
    </w:p>
    <w:p>
      <w:pPr>
        <w:spacing w:after="0" w:line="16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Effective January 1, 2017, our Board of Directors authorized the repurchase of up to 120 million shares of our common stock by December 31, 2020, replacing our previous repurchase program. As of June 30, 2017, we repurchased a total of $20.8 billion of our common stock since the commencement of our repurchase programs in 2007. The table below represents shares repurchased in the first and second quarter of 2017 under our new repurchase program, and shares repurchased in the first and second quarter of 2016 under our previous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121920</wp:posOffset>
            </wp:positionV>
            <wp:extent cx="560006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2780" w:type="dxa"/>
            <w:vAlign w:val="bottom"/>
            <w:tcBorders>
              <w:bottom w:val="single" w:sz="8" w:color="7F7F7F"/>
            </w:tcBorders>
            <w:gridSpan w:val="2"/>
          </w:tcPr>
          <w:p>
            <w:pPr>
              <w:jc w:val="right"/>
              <w:ind w:right="39"/>
              <w:spacing w:after="0"/>
              <w:rPr>
                <w:sz w:val="20"/>
                <w:szCs w:val="20"/>
                <w:color w:val="auto"/>
              </w:rPr>
            </w:pPr>
            <w:r>
              <w:rPr>
                <w:rFonts w:ascii="Arial" w:cs="Arial" w:eastAsia="Arial" w:hAnsi="Arial"/>
                <w:sz w:val="16"/>
                <w:szCs w:val="16"/>
                <w:i w:val="1"/>
                <w:iCs w:val="1"/>
                <w:color w:val="auto"/>
              </w:rPr>
              <w:t>Number of Shares Purchased</w:t>
            </w:r>
          </w:p>
        </w:tc>
        <w:tc>
          <w:tcPr>
            <w:tcW w:w="340" w:type="dxa"/>
            <w:vAlign w:val="bottom"/>
            <w:tcBorders>
              <w:bottom w:val="single" w:sz="8" w:color="7F7F7F"/>
            </w:tcBorders>
          </w:tcPr>
          <w:p>
            <w:pPr>
              <w:spacing w:after="0"/>
              <w:rPr>
                <w:sz w:val="17"/>
                <w:szCs w:val="17"/>
                <w:color w:val="auto"/>
              </w:rPr>
            </w:pPr>
          </w:p>
        </w:tc>
        <w:tc>
          <w:tcPr>
            <w:tcW w:w="1800" w:type="dxa"/>
            <w:vAlign w:val="bottom"/>
            <w:tcBorders>
              <w:bottom w:val="single" w:sz="8" w:color="7F7F7F"/>
            </w:tcBorders>
            <w:gridSpan w:val="3"/>
          </w:tcPr>
          <w:p>
            <w:pPr>
              <w:jc w:val="right"/>
              <w:spacing w:after="0"/>
              <w:rPr>
                <w:sz w:val="20"/>
                <w:szCs w:val="20"/>
                <w:color w:val="auto"/>
              </w:rPr>
            </w:pPr>
            <w:r>
              <w:rPr>
                <w:rFonts w:ascii="Arial" w:cs="Arial" w:eastAsia="Arial" w:hAnsi="Arial"/>
                <w:sz w:val="16"/>
                <w:szCs w:val="16"/>
                <w:i w:val="1"/>
                <w:iCs w:val="1"/>
                <w:color w:val="auto"/>
              </w:rPr>
              <w:t>Average Price Paid</w:t>
            </w:r>
          </w:p>
        </w:tc>
      </w:tr>
      <w:tr>
        <w:trPr>
          <w:trHeight w:val="210"/>
        </w:trPr>
        <w:tc>
          <w:tcPr>
            <w:tcW w:w="3900" w:type="dxa"/>
            <w:vAlign w:val="bottom"/>
            <w:tcBorders>
              <w:bottom w:val="single" w:sz="8" w:color="7F7F7F"/>
            </w:tcBorders>
          </w:tcPr>
          <w:p>
            <w:pPr>
              <w:spacing w:after="0"/>
              <w:rPr>
                <w:sz w:val="18"/>
                <w:szCs w:val="18"/>
                <w:color w:val="auto"/>
              </w:rPr>
            </w:pPr>
          </w:p>
        </w:tc>
        <w:tc>
          <w:tcPr>
            <w:tcW w:w="1740" w:type="dxa"/>
            <w:vAlign w:val="bottom"/>
            <w:tcBorders>
              <w:bottom w:val="single" w:sz="8" w:color="7F7F7F"/>
            </w:tcBorders>
          </w:tcPr>
          <w:p>
            <w:pPr>
              <w:jc w:val="right"/>
              <w:ind w:right="379"/>
              <w:spacing w:after="0"/>
              <w:rPr>
                <w:sz w:val="20"/>
                <w:szCs w:val="20"/>
                <w:color w:val="auto"/>
              </w:rPr>
            </w:pPr>
            <w:r>
              <w:rPr>
                <w:rFonts w:ascii="Arial" w:cs="Arial" w:eastAsia="Arial" w:hAnsi="Arial"/>
                <w:sz w:val="16"/>
                <w:szCs w:val="16"/>
                <w:b w:val="1"/>
                <w:bCs w:val="1"/>
                <w:i w:val="1"/>
                <w:iCs w:val="1"/>
                <w:color w:val="auto"/>
              </w:rPr>
              <w:t>2017</w:t>
            </w:r>
          </w:p>
        </w:tc>
        <w:tc>
          <w:tcPr>
            <w:tcW w:w="1040" w:type="dxa"/>
            <w:vAlign w:val="bottom"/>
            <w:tcBorders>
              <w:bottom w:val="single" w:sz="8" w:color="7F7F7F"/>
            </w:tcBorders>
          </w:tcPr>
          <w:p>
            <w:pPr>
              <w:jc w:val="right"/>
              <w:ind w:right="99"/>
              <w:spacing w:after="0"/>
              <w:rPr>
                <w:sz w:val="20"/>
                <w:szCs w:val="20"/>
                <w:color w:val="auto"/>
              </w:rPr>
            </w:pPr>
            <w:r>
              <w:rPr>
                <w:rFonts w:ascii="Arial" w:cs="Arial" w:eastAsia="Arial" w:hAnsi="Arial"/>
                <w:sz w:val="16"/>
                <w:szCs w:val="16"/>
                <w:i w:val="1"/>
                <w:iCs w:val="1"/>
                <w:color w:val="auto"/>
              </w:rPr>
              <w:t>2016</w:t>
            </w:r>
          </w:p>
        </w:tc>
        <w:tc>
          <w:tcPr>
            <w:tcW w:w="34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44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174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7,531,300</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9,315,807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106.55</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r>
      <w:tr>
        <w:trPr>
          <w:trHeight w:val="223"/>
        </w:trPr>
        <w:tc>
          <w:tcPr>
            <w:tcW w:w="390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Second quarter</w:t>
            </w:r>
          </w:p>
        </w:tc>
        <w:tc>
          <w:tcPr>
            <w:tcW w:w="1740" w:type="dxa"/>
            <w:vAlign w:val="bottom"/>
            <w:tcBorders>
              <w:bottom w:val="single" w:sz="8" w:color="808080"/>
            </w:tcBorders>
          </w:tcPr>
          <w:p>
            <w:pPr>
              <w:jc w:val="right"/>
              <w:ind w:right="379"/>
              <w:spacing w:after="0"/>
              <w:rPr>
                <w:sz w:val="20"/>
                <w:szCs w:val="20"/>
                <w:color w:val="auto"/>
              </w:rPr>
            </w:pPr>
            <w:r>
              <w:rPr>
                <w:rFonts w:ascii="Arial" w:cs="Arial" w:eastAsia="Arial" w:hAnsi="Arial"/>
                <w:sz w:val="16"/>
                <w:szCs w:val="16"/>
                <w:b w:val="1"/>
                <w:bCs w:val="1"/>
                <w:color w:val="auto"/>
              </w:rPr>
              <w:t>7,788,283</w:t>
            </w:r>
          </w:p>
        </w:tc>
        <w:tc>
          <w:tcPr>
            <w:tcW w:w="104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color w:val="auto"/>
              </w:rPr>
              <w:t>7,026,100</w:t>
            </w: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jc w:val="right"/>
              <w:ind w:right="39"/>
              <w:spacing w:after="0"/>
              <w:rPr>
                <w:sz w:val="20"/>
                <w:szCs w:val="20"/>
                <w:color w:val="auto"/>
              </w:rPr>
            </w:pPr>
            <w:r>
              <w:rPr>
                <w:rFonts w:ascii="Arial" w:cs="Arial" w:eastAsia="Arial" w:hAnsi="Arial"/>
                <w:sz w:val="16"/>
                <w:szCs w:val="16"/>
                <w:b w:val="1"/>
                <w:bCs w:val="1"/>
                <w:color w:val="auto"/>
              </w:rPr>
              <w:t>109.10</w:t>
            </w:r>
          </w:p>
        </w:tc>
        <w:tc>
          <w:tcPr>
            <w:tcW w:w="4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85.66</w:t>
            </w:r>
          </w:p>
        </w:tc>
      </w:tr>
      <w:tr>
        <w:trPr>
          <w:trHeight w:val="222"/>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74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15,319,583</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16,341,907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107.85</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r>
      <w:tr>
        <w:trPr>
          <w:trHeight w:val="61"/>
        </w:trPr>
        <w:tc>
          <w:tcPr>
            <w:tcW w:w="5640" w:type="dxa"/>
            <w:vAlign w:val="bottom"/>
            <w:gridSpan w:val="2"/>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60" w:type="dxa"/>
            <w:vAlign w:val="bottom"/>
            <w:gridSpan w:val="2"/>
            <w:shd w:val="clear" w:color="auto" w:fill="808080"/>
          </w:tcPr>
          <w:p>
            <w:pPr>
              <w:spacing w:after="0"/>
              <w:rPr>
                <w:sz w:val="5"/>
                <w:szCs w:val="5"/>
                <w:color w:val="auto"/>
              </w:rPr>
            </w:pPr>
          </w:p>
        </w:tc>
      </w:tr>
      <w:tr>
        <w:trPr>
          <w:trHeight w:val="223"/>
        </w:trPr>
        <w:tc>
          <w:tcPr>
            <w:tcW w:w="5640" w:type="dxa"/>
            <w:vAlign w:val="bottom"/>
            <w:tcBorders>
              <w:bottom w:val="single" w:sz="8" w:color="808080"/>
            </w:tcBorders>
            <w:gridSpan w:val="2"/>
          </w:tcPr>
          <w:p>
            <w:pPr>
              <w:spacing w:after="0"/>
              <w:rPr>
                <w:sz w:val="20"/>
                <w:szCs w:val="20"/>
                <w:color w:val="auto"/>
              </w:rPr>
            </w:pPr>
            <w:r>
              <w:rPr>
                <w:rFonts w:ascii="Arial" w:cs="Arial" w:eastAsia="Arial" w:hAnsi="Arial"/>
                <w:sz w:val="16"/>
                <w:szCs w:val="16"/>
                <w:color w:val="auto"/>
              </w:rPr>
              <w:t>Remaining number of shares that may be repurchased under current authority</w:t>
            </w:r>
          </w:p>
        </w:tc>
        <w:tc>
          <w:tcPr>
            <w:tcW w:w="1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color w:val="auto"/>
              </w:rPr>
              <w:t>104,680,417</w:t>
            </w:r>
          </w:p>
        </w:tc>
      </w:tr>
    </w:tbl>
    <w:p>
      <w:pPr>
        <w:spacing w:after="0" w:line="161"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Management's assessments of market conditions and other pertinent factors guide the timing and volume of all repurchases. We expect to fund any share repurchases under this program through cash generated from operations, the sale or lease of various operating and non-operating properties, debt issuances, and cash on hand. Repurchased shares are recorded in treasury stock at cost, which includes any applicable commissions and fees.</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Off-Balance Sheet Arrangements, Contractual Obligations, and Commercial Commitments</w:t>
      </w:r>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As described in the notes to the Condensed Consolidated Financial Statements and as referenced in the tables below, we have contractual obligations and commercial commitments that may affect our financial condition. However, based on our assessment of the underlying provisions and circumstances of our contractual obligations and commercial commitments, including material sources of off-balance sheet and structured finance arrangements,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similar to those of other comparable corporations, particularly within the transportation industry.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tables identify material obligations and commitments as of June 30, 2017:</w:t>
      </w:r>
    </w:p>
    <w:p>
      <w:pPr>
        <w:spacing w:after="0" w:line="84"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2380" w:type="dxa"/>
            <w:vAlign w:val="bottom"/>
            <w:tcBorders>
              <w:top w:val="single" w:sz="8" w:color="7F7F7F"/>
            </w:tcBorders>
          </w:tcPr>
          <w:p>
            <w:pPr>
              <w:spacing w:after="0"/>
              <w:rPr>
                <w:sz w:val="20"/>
                <w:szCs w:val="20"/>
                <w:color w:val="auto"/>
              </w:rPr>
            </w:pPr>
          </w:p>
        </w:tc>
        <w:tc>
          <w:tcPr>
            <w:tcW w:w="200" w:type="dxa"/>
            <w:vAlign w:val="bottom"/>
            <w:tcBorders>
              <w:top w:val="single" w:sz="8" w:color="7F7F7F"/>
            </w:tcBorders>
          </w:tcPr>
          <w:p>
            <w:pPr>
              <w:spacing w:after="0"/>
              <w:rPr>
                <w:sz w:val="20"/>
                <w:szCs w:val="20"/>
                <w:color w:val="auto"/>
              </w:rPr>
            </w:pPr>
          </w:p>
        </w:tc>
        <w:tc>
          <w:tcPr>
            <w:tcW w:w="680" w:type="dxa"/>
            <w:vAlign w:val="bottom"/>
            <w:tcBorders>
              <w:top w:val="single" w:sz="8" w:color="7F7F7F"/>
            </w:tcBorders>
          </w:tcPr>
          <w:p>
            <w:pPr>
              <w:spacing w:after="0"/>
              <w:rPr>
                <w:sz w:val="20"/>
                <w:szCs w:val="20"/>
                <w:color w:val="auto"/>
              </w:rPr>
            </w:pPr>
          </w:p>
        </w:tc>
        <w:tc>
          <w:tcPr>
            <w:tcW w:w="140" w:type="dxa"/>
            <w:vAlign w:val="bottom"/>
            <w:tcBorders>
              <w:top w:val="single" w:sz="8" w:color="7F7F7F"/>
            </w:tcBorders>
          </w:tcPr>
          <w:p>
            <w:pPr>
              <w:spacing w:after="0"/>
              <w:rPr>
                <w:sz w:val="20"/>
                <w:szCs w:val="20"/>
                <w:color w:val="auto"/>
              </w:rPr>
            </w:pPr>
          </w:p>
        </w:tc>
        <w:tc>
          <w:tcPr>
            <w:tcW w:w="62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Jul. 1</w:t>
            </w:r>
          </w:p>
        </w:tc>
        <w:tc>
          <w:tcPr>
            <w:tcW w:w="40" w:type="dxa"/>
            <w:vAlign w:val="bottom"/>
            <w:tcBorders>
              <w:top w:val="single" w:sz="8" w:color="7F7F7F"/>
              <w:bottom w:val="single" w:sz="8" w:color="7F7F7F"/>
            </w:tcBorders>
          </w:tcPr>
          <w:p>
            <w:pPr>
              <w:spacing w:after="0"/>
              <w:rPr>
                <w:sz w:val="20"/>
                <w:szCs w:val="20"/>
                <w:color w:val="auto"/>
              </w:rPr>
            </w:pPr>
          </w:p>
        </w:tc>
        <w:tc>
          <w:tcPr>
            <w:tcW w:w="240" w:type="dxa"/>
            <w:vAlign w:val="bottom"/>
            <w:tcBorders>
              <w:top w:val="single" w:sz="8" w:color="7F7F7F"/>
              <w:bottom w:val="single" w:sz="8" w:color="7F7F7F"/>
            </w:tcBorders>
          </w:tcPr>
          <w:p>
            <w:pPr>
              <w:spacing w:after="0"/>
              <w:rPr>
                <w:sz w:val="20"/>
                <w:szCs w:val="20"/>
                <w:color w:val="auto"/>
              </w:rPr>
            </w:pPr>
          </w:p>
        </w:tc>
        <w:tc>
          <w:tcPr>
            <w:tcW w:w="580" w:type="dxa"/>
            <w:vAlign w:val="bottom"/>
            <w:tcBorders>
              <w:top w:val="single" w:sz="8" w:color="7F7F7F"/>
              <w:bottom w:val="single" w:sz="8" w:color="7F7F7F"/>
            </w:tcBorders>
          </w:tcPr>
          <w:p>
            <w:pPr>
              <w:spacing w:after="0"/>
              <w:rPr>
                <w:sz w:val="20"/>
                <w:szCs w:val="20"/>
                <w:color w:val="auto"/>
              </w:rPr>
            </w:pPr>
          </w:p>
        </w:tc>
        <w:tc>
          <w:tcPr>
            <w:tcW w:w="220" w:type="dxa"/>
            <w:vAlign w:val="bottom"/>
            <w:tcBorders>
              <w:top w:val="single" w:sz="8" w:color="7F7F7F"/>
              <w:bottom w:val="single" w:sz="8" w:color="7F7F7F"/>
            </w:tcBorders>
          </w:tcPr>
          <w:p>
            <w:pPr>
              <w:spacing w:after="0"/>
              <w:rPr>
                <w:sz w:val="20"/>
                <w:szCs w:val="20"/>
                <w:color w:val="auto"/>
              </w:rPr>
            </w:pPr>
          </w:p>
        </w:tc>
        <w:tc>
          <w:tcPr>
            <w:tcW w:w="2380" w:type="dxa"/>
            <w:vAlign w:val="bottom"/>
            <w:tcBorders>
              <w:top w:val="single" w:sz="8" w:color="7F7F7F"/>
              <w:bottom w:val="single" w:sz="8" w:color="7F7F7F"/>
            </w:tcBorders>
            <w:gridSpan w:val="6"/>
          </w:tcPr>
          <w:p>
            <w:pPr>
              <w:jc w:val="right"/>
              <w:ind w:right="19"/>
              <w:spacing w:after="0"/>
              <w:rPr>
                <w:sz w:val="20"/>
                <w:szCs w:val="20"/>
                <w:color w:val="auto"/>
              </w:rPr>
            </w:pPr>
            <w:r>
              <w:rPr>
                <w:rFonts w:ascii="Arial" w:cs="Arial" w:eastAsia="Arial" w:hAnsi="Arial"/>
                <w:sz w:val="16"/>
                <w:szCs w:val="16"/>
                <w:i w:val="1"/>
                <w:iCs w:val="1"/>
                <w:color w:val="auto"/>
              </w:rPr>
              <w:t>Payments Due by Dec. 31,</w:t>
            </w:r>
          </w:p>
        </w:tc>
        <w:tc>
          <w:tcPr>
            <w:tcW w:w="660" w:type="dxa"/>
            <w:vAlign w:val="bottom"/>
            <w:tcBorders>
              <w:top w:val="single" w:sz="8" w:color="7F7F7F"/>
              <w:bottom w:val="single" w:sz="8" w:color="7F7F7F"/>
            </w:tcBorders>
          </w:tcPr>
          <w:p>
            <w:pPr>
              <w:spacing w:after="0"/>
              <w:rPr>
                <w:sz w:val="20"/>
                <w:szCs w:val="20"/>
                <w:color w:val="auto"/>
              </w:rPr>
            </w:pPr>
          </w:p>
        </w:tc>
        <w:tc>
          <w:tcPr>
            <w:tcW w:w="200" w:type="dxa"/>
            <w:vAlign w:val="bottom"/>
            <w:tcBorders>
              <w:top w:val="single" w:sz="8" w:color="7F7F7F"/>
              <w:bottom w:val="single" w:sz="8" w:color="7F7F7F"/>
            </w:tcBorders>
          </w:tcPr>
          <w:p>
            <w:pPr>
              <w:spacing w:after="0"/>
              <w:rPr>
                <w:sz w:val="20"/>
                <w:szCs w:val="20"/>
                <w:color w:val="auto"/>
              </w:rPr>
            </w:pPr>
          </w:p>
        </w:tc>
        <w:tc>
          <w:tcPr>
            <w:tcW w:w="480" w:type="dxa"/>
            <w:vAlign w:val="bottom"/>
            <w:tcBorders>
              <w:top w:val="single" w:sz="8" w:color="7F7F7F"/>
              <w:bottom w:val="single" w:sz="8" w:color="7F7F7F"/>
            </w:tcBorders>
          </w:tcPr>
          <w:p>
            <w:pPr>
              <w:spacing w:after="0"/>
              <w:rPr>
                <w:sz w:val="20"/>
                <w:szCs w:val="20"/>
                <w:color w:val="auto"/>
              </w:rPr>
            </w:pPr>
          </w:p>
        </w:tc>
      </w:tr>
      <w:tr>
        <w:trPr>
          <w:trHeight w:val="224"/>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through</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194"/>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Contractual Obligations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Dec. 31,</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i w:val="1"/>
                <w:iCs w:val="1"/>
                <w:color w:val="auto"/>
              </w:rPr>
              <w:t>After</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0"/>
        </w:trPr>
        <w:tc>
          <w:tcPr>
            <w:tcW w:w="23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0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Total</w:t>
            </w:r>
          </w:p>
        </w:tc>
        <w:tc>
          <w:tcPr>
            <w:tcW w:w="14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2017</w:t>
            </w:r>
          </w:p>
        </w:tc>
        <w:tc>
          <w:tcPr>
            <w:tcW w:w="40" w:type="dxa"/>
            <w:vAlign w:val="bottom"/>
            <w:tcBorders>
              <w:bottom w:val="single" w:sz="8" w:color="7F7F7F"/>
            </w:tcBorders>
          </w:tcPr>
          <w:p>
            <w:pPr>
              <w:spacing w:after="0"/>
              <w:rPr>
                <w:sz w:val="18"/>
                <w:szCs w:val="18"/>
                <w:color w:val="auto"/>
              </w:rPr>
            </w:pPr>
          </w:p>
        </w:tc>
        <w:tc>
          <w:tcPr>
            <w:tcW w:w="24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2018</w:t>
            </w:r>
          </w:p>
        </w:tc>
        <w:tc>
          <w:tcPr>
            <w:tcW w:w="22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22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2020</w:t>
            </w:r>
          </w:p>
        </w:tc>
        <w:tc>
          <w:tcPr>
            <w:tcW w:w="20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2021</w:t>
            </w:r>
          </w:p>
        </w:tc>
        <w:tc>
          <w:tcPr>
            <w:tcW w:w="220" w:type="dxa"/>
            <w:vAlign w:val="bottom"/>
            <w:tcBorders>
              <w:bottom w:val="single" w:sz="8" w:color="7F7F7F"/>
            </w:tcBorders>
          </w:tcPr>
          <w:p>
            <w:pPr>
              <w:spacing w:after="0"/>
              <w:rPr>
                <w:sz w:val="18"/>
                <w:szCs w:val="18"/>
                <w:color w:val="auto"/>
              </w:rPr>
            </w:pPr>
          </w:p>
        </w:tc>
        <w:tc>
          <w:tcPr>
            <w:tcW w:w="66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2021</w:t>
            </w:r>
          </w:p>
        </w:tc>
        <w:tc>
          <w:tcPr>
            <w:tcW w:w="20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Other</w:t>
            </w: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Debt [a]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26,697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21,228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Operating leases [b]</w:t>
            </w:r>
          </w:p>
        </w:tc>
        <w:tc>
          <w:tcPr>
            <w:tcW w:w="2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2,806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356</w:t>
            </w:r>
          </w:p>
        </w:tc>
        <w:tc>
          <w:tcPr>
            <w:tcW w:w="22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1,326</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Capital lease obligations [c]</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Purchase obligations [d]</w:t>
            </w:r>
          </w:p>
        </w:tc>
        <w:tc>
          <w:tcPr>
            <w:tcW w:w="2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3,623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1,371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1,180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378</w:t>
            </w:r>
          </w:p>
        </w:tc>
        <w:tc>
          <w:tcPr>
            <w:tcW w:w="22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Other postretirement benefits [e]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Income tax contingencies [f]</w:t>
            </w:r>
          </w:p>
        </w:tc>
        <w:tc>
          <w:tcPr>
            <w:tcW w:w="20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122</w:t>
            </w:r>
          </w:p>
        </w:tc>
        <w:tc>
          <w:tcPr>
            <w:tcW w:w="14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7F7F7F"/>
            </w:tcBorders>
          </w:tcPr>
          <w:p>
            <w:pPr>
              <w:spacing w:after="0"/>
              <w:rPr>
                <w:sz w:val="18"/>
                <w:szCs w:val="18"/>
                <w:color w:val="auto"/>
              </w:rPr>
            </w:pPr>
          </w:p>
        </w:tc>
        <w:tc>
          <w:tcPr>
            <w:tcW w:w="24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spacing w:after="0"/>
              <w:rPr>
                <w:sz w:val="18"/>
                <w:szCs w:val="18"/>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122</w:t>
            </w:r>
          </w:p>
        </w:tc>
      </w:tr>
      <w:tr>
        <w:trPr>
          <w:trHeight w:val="264"/>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contractual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34,796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54"/>
        </w:trPr>
        <w:tc>
          <w:tcPr>
            <w:tcW w:w="238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680" w:type="dxa"/>
            <w:vAlign w:val="bottom"/>
            <w:shd w:val="clear" w:color="auto" w:fill="7F7F7F"/>
          </w:tcPr>
          <w:p>
            <w:pPr>
              <w:spacing w:after="0"/>
              <w:rPr>
                <w:sz w:val="4"/>
                <w:szCs w:val="4"/>
                <w:color w:val="auto"/>
              </w:rPr>
            </w:pPr>
          </w:p>
        </w:tc>
        <w:tc>
          <w:tcPr>
            <w:tcW w:w="14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c>
          <w:tcPr>
            <w:tcW w:w="40" w:type="dxa"/>
            <w:vAlign w:val="bottom"/>
            <w:shd w:val="clear" w:color="auto" w:fill="7F7F7F"/>
          </w:tcPr>
          <w:p>
            <w:pPr>
              <w:spacing w:after="0"/>
              <w:rPr>
                <w:sz w:val="4"/>
                <w:szCs w:val="4"/>
                <w:color w:val="auto"/>
              </w:rPr>
            </w:pPr>
          </w:p>
        </w:tc>
        <w:tc>
          <w:tcPr>
            <w:tcW w:w="24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2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2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20" w:type="dxa"/>
            <w:vAlign w:val="bottom"/>
            <w:shd w:val="clear" w:color="auto" w:fill="7F7F7F"/>
          </w:tcPr>
          <w:p>
            <w:pPr>
              <w:spacing w:after="0"/>
              <w:rPr>
                <w:sz w:val="4"/>
                <w:szCs w:val="4"/>
                <w:color w:val="auto"/>
              </w:rPr>
            </w:pPr>
          </w:p>
        </w:tc>
        <w:tc>
          <w:tcPr>
            <w:tcW w:w="66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480" w:type="dxa"/>
            <w:vAlign w:val="bottom"/>
            <w:shd w:val="clear" w:color="auto" w:fill="7F7F7F"/>
          </w:tcPr>
          <w:p>
            <w:pPr>
              <w:spacing w:after="0"/>
              <w:rPr>
                <w:sz w:val="4"/>
                <w:szCs w:val="4"/>
                <w:color w:val="auto"/>
              </w:rPr>
            </w:pPr>
          </w:p>
        </w:tc>
      </w:tr>
    </w:tbl>
    <w:p>
      <w:pPr>
        <w:spacing w:after="0" w:line="153" w:lineRule="exact"/>
        <w:rPr>
          <w:sz w:val="20"/>
          <w:szCs w:val="20"/>
          <w:color w:val="auto"/>
        </w:rPr>
      </w:pPr>
    </w:p>
    <w:p>
      <w:pPr>
        <w:ind w:left="420" w:right="99" w:hanging="315"/>
        <w:spacing w:after="0" w:line="239" w:lineRule="auto"/>
        <w:tabs>
          <w:tab w:leader="none" w:pos="445"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capital lease obligations of $904 million, as well as unamortized discount and deferred issuance costs of ($897) million. Includes an interest component of $10,944 million.</w:t>
      </w:r>
    </w:p>
    <w:p>
      <w:pPr>
        <w:spacing w:after="0" w:line="3" w:lineRule="exact"/>
        <w:rPr>
          <w:rFonts w:ascii="Arial" w:cs="Arial" w:eastAsia="Arial" w:hAnsi="Arial"/>
          <w:sz w:val="14"/>
          <w:szCs w:val="14"/>
          <w:i w:val="1"/>
          <w:iCs w:val="1"/>
          <w:color w:val="auto"/>
        </w:rPr>
      </w:pPr>
    </w:p>
    <w:p>
      <w:pPr>
        <w:ind w:left="460" w:hanging="355"/>
        <w:spacing w:after="0"/>
        <w:tabs>
          <w:tab w:leader="none" w:pos="4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leases for locomotives, freight cars, other equipment, and real estate.</w:t>
      </w:r>
    </w:p>
    <w:p>
      <w:pPr>
        <w:spacing w:after="0" w:line="28" w:lineRule="exact"/>
        <w:rPr>
          <w:rFonts w:ascii="Arial" w:cs="Arial" w:eastAsia="Arial" w:hAnsi="Arial"/>
          <w:sz w:val="14"/>
          <w:szCs w:val="14"/>
          <w:i w:val="1"/>
          <w:iCs w:val="1"/>
          <w:color w:val="auto"/>
        </w:rPr>
      </w:pPr>
    </w:p>
    <w:p>
      <w:pPr>
        <w:ind w:left="440" w:hanging="335"/>
        <w:spacing w:after="0"/>
        <w:tabs>
          <w:tab w:leader="none" w:pos="4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total obligations, including interest component of $202 million.</w:t>
      </w:r>
    </w:p>
    <w:p>
      <w:pPr>
        <w:spacing w:after="0" w:line="28" w:lineRule="exact"/>
        <w:rPr>
          <w:rFonts w:ascii="Arial" w:cs="Arial" w:eastAsia="Arial" w:hAnsi="Arial"/>
          <w:sz w:val="14"/>
          <w:szCs w:val="14"/>
          <w:i w:val="1"/>
          <w:iCs w:val="1"/>
          <w:color w:val="auto"/>
        </w:rPr>
      </w:pPr>
    </w:p>
    <w:p>
      <w:pPr>
        <w:jc w:val="both"/>
        <w:ind w:left="420" w:right="99" w:hanging="315"/>
        <w:spacing w:after="0" w:line="226" w:lineRule="auto"/>
        <w:tabs>
          <w:tab w:leader="none" w:pos="445"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Purchase obligations include locomotive maintenance contracts; purchase commitments for fuel purchases, locomotives, ties, ballast, and rail; and agreements to purchase other goods and services. For amounts where we cannot reasonably estimate the year of settlement, they are included in the Other column.</w:t>
      </w:r>
    </w:p>
    <w:p>
      <w:pPr>
        <w:spacing w:after="0" w:line="4" w:lineRule="exact"/>
        <w:rPr>
          <w:rFonts w:ascii="Arial" w:cs="Arial" w:eastAsia="Arial" w:hAnsi="Arial"/>
          <w:sz w:val="14"/>
          <w:szCs w:val="14"/>
          <w:i w:val="1"/>
          <w:iCs w:val="1"/>
          <w:color w:val="auto"/>
        </w:rPr>
      </w:pPr>
    </w:p>
    <w:p>
      <w:pPr>
        <w:ind w:left="420" w:right="99" w:hanging="315"/>
        <w:spacing w:after="0" w:line="239" w:lineRule="auto"/>
        <w:tabs>
          <w:tab w:leader="none" w:pos="445"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estimated other postretirement, medical, and life insurance payments and payments made under the unfunded pension plan for the next ten years.</w:t>
      </w:r>
    </w:p>
    <w:p>
      <w:pPr>
        <w:spacing w:after="0" w:line="3" w:lineRule="exact"/>
        <w:rPr>
          <w:rFonts w:ascii="Arial" w:cs="Arial" w:eastAsia="Arial" w:hAnsi="Arial"/>
          <w:sz w:val="14"/>
          <w:szCs w:val="14"/>
          <w:i w:val="1"/>
          <w:iCs w:val="1"/>
          <w:color w:val="auto"/>
        </w:rPr>
      </w:pPr>
    </w:p>
    <w:p>
      <w:pPr>
        <w:jc w:val="both"/>
        <w:ind w:left="420" w:right="99" w:hanging="315"/>
        <w:spacing w:after="0"/>
        <w:tabs>
          <w:tab w:leader="none" w:pos="405"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Future cash flows for income tax contingencies reflect the recorded liabilities and assets for unrecognized tax benefits, including any interest or penalties, as of June 30, 2017. For amounts where the year of settlement is uncertain, they are included in the Other column.</w:t>
      </w: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760" w:type="dxa"/>
            <w:vAlign w:val="bottom"/>
            <w:tcBorders>
              <w:top w:val="single" w:sz="8" w:color="7F7F7F"/>
            </w:tcBorders>
          </w:tcPr>
          <w:p>
            <w:pPr>
              <w:spacing w:after="0"/>
              <w:rPr>
                <w:sz w:val="19"/>
                <w:szCs w:val="19"/>
                <w:color w:val="auto"/>
              </w:rPr>
            </w:pPr>
          </w:p>
        </w:tc>
        <w:tc>
          <w:tcPr>
            <w:tcW w:w="380" w:type="dxa"/>
            <w:vAlign w:val="bottom"/>
            <w:tcBorders>
              <w:top w:val="single" w:sz="8" w:color="7F7F7F"/>
            </w:tcBorders>
          </w:tcPr>
          <w:p>
            <w:pPr>
              <w:spacing w:after="0"/>
              <w:rPr>
                <w:sz w:val="19"/>
                <w:szCs w:val="19"/>
                <w:color w:val="auto"/>
              </w:rPr>
            </w:pPr>
          </w:p>
        </w:tc>
        <w:tc>
          <w:tcPr>
            <w:tcW w:w="640" w:type="dxa"/>
            <w:vAlign w:val="bottom"/>
            <w:tcBorders>
              <w:top w:val="single" w:sz="8" w:color="7F7F7F"/>
            </w:tcBorders>
          </w:tcPr>
          <w:p>
            <w:pPr>
              <w:spacing w:after="0"/>
              <w:rPr>
                <w:sz w:val="19"/>
                <w:szCs w:val="19"/>
                <w:color w:val="auto"/>
              </w:rPr>
            </w:pPr>
          </w:p>
        </w:tc>
        <w:tc>
          <w:tcPr>
            <w:tcW w:w="180" w:type="dxa"/>
            <w:vAlign w:val="bottom"/>
            <w:tcBorders>
              <w:top w:val="single" w:sz="8" w:color="7F7F7F"/>
            </w:tcBorders>
          </w:tcPr>
          <w:p>
            <w:pPr>
              <w:spacing w:after="0"/>
              <w:rPr>
                <w:sz w:val="19"/>
                <w:szCs w:val="19"/>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Jul. 1</w:t>
            </w:r>
          </w:p>
        </w:tc>
        <w:tc>
          <w:tcPr>
            <w:tcW w:w="280" w:type="dxa"/>
            <w:vAlign w:val="bottom"/>
            <w:tcBorders>
              <w:top w:val="single" w:sz="8" w:color="7F7F7F"/>
            </w:tcBorders>
          </w:tcPr>
          <w:p>
            <w:pPr>
              <w:spacing w:after="0"/>
              <w:rPr>
                <w:sz w:val="19"/>
                <w:szCs w:val="19"/>
                <w:color w:val="auto"/>
              </w:rPr>
            </w:pPr>
          </w:p>
        </w:tc>
        <w:tc>
          <w:tcPr>
            <w:tcW w:w="3460" w:type="dxa"/>
            <w:vAlign w:val="bottom"/>
            <w:tcBorders>
              <w:top w:val="single" w:sz="8" w:color="7F7F7F"/>
            </w:tcBorders>
            <w:gridSpan w:val="8"/>
          </w:tcPr>
          <w:p>
            <w:pPr>
              <w:jc w:val="right"/>
              <w:spacing w:after="0"/>
              <w:rPr>
                <w:sz w:val="20"/>
                <w:szCs w:val="20"/>
                <w:color w:val="auto"/>
              </w:rPr>
            </w:pPr>
            <w:r>
              <w:rPr>
                <w:rFonts w:ascii="Arial" w:cs="Arial" w:eastAsia="Arial" w:hAnsi="Arial"/>
                <w:sz w:val="16"/>
                <w:szCs w:val="16"/>
                <w:i w:val="1"/>
                <w:iCs w:val="1"/>
                <w:color w:val="auto"/>
              </w:rPr>
              <w:t>Amount of Commitment Expiration by Dec. 31,</w:t>
            </w:r>
          </w:p>
        </w:tc>
        <w:tc>
          <w:tcPr>
            <w:tcW w:w="420" w:type="dxa"/>
            <w:vAlign w:val="bottom"/>
            <w:tcBorders>
              <w:top w:val="single" w:sz="8" w:color="7F7F7F"/>
            </w:tcBorders>
          </w:tcPr>
          <w:p>
            <w:pPr>
              <w:spacing w:after="0"/>
              <w:rPr>
                <w:sz w:val="19"/>
                <w:szCs w:val="19"/>
                <w:color w:val="auto"/>
              </w:rPr>
            </w:pPr>
          </w:p>
        </w:tc>
      </w:tr>
      <w:tr>
        <w:trPr>
          <w:trHeight w:val="27"/>
        </w:trPr>
        <w:tc>
          <w:tcPr>
            <w:tcW w:w="2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right w:val="single" w:sz="8" w:color="7F7F7F"/>
            </w:tcBorders>
          </w:tcPr>
          <w:p>
            <w:pPr>
              <w:spacing w:after="0"/>
              <w:rPr>
                <w:sz w:val="2"/>
                <w:szCs w:val="2"/>
                <w:color w:val="auto"/>
              </w:rPr>
            </w:pPr>
          </w:p>
        </w:tc>
        <w:tc>
          <w:tcPr>
            <w:tcW w:w="280" w:type="dxa"/>
            <w:vAlign w:val="bottom"/>
            <w:shd w:val="clear" w:color="auto" w:fill="7F7F7F"/>
          </w:tcPr>
          <w:p>
            <w:pPr>
              <w:spacing w:after="0"/>
              <w:rPr>
                <w:sz w:val="2"/>
                <w:szCs w:val="2"/>
                <w:color w:val="auto"/>
              </w:rPr>
            </w:pPr>
          </w:p>
        </w:tc>
        <w:tc>
          <w:tcPr>
            <w:tcW w:w="580" w:type="dxa"/>
            <w:vAlign w:val="bottom"/>
            <w:shd w:val="clear" w:color="auto" w:fill="7F7F7F"/>
          </w:tcPr>
          <w:p>
            <w:pPr>
              <w:spacing w:after="0"/>
              <w:rPr>
                <w:sz w:val="2"/>
                <w:szCs w:val="2"/>
                <w:color w:val="auto"/>
              </w:rPr>
            </w:pPr>
          </w:p>
        </w:tc>
        <w:tc>
          <w:tcPr>
            <w:tcW w:w="240" w:type="dxa"/>
            <w:vAlign w:val="bottom"/>
            <w:shd w:val="clear" w:color="auto" w:fill="7F7F7F"/>
          </w:tcPr>
          <w:p>
            <w:pPr>
              <w:spacing w:after="0"/>
              <w:rPr>
                <w:sz w:val="2"/>
                <w:szCs w:val="2"/>
                <w:color w:val="auto"/>
              </w:rPr>
            </w:pPr>
          </w:p>
        </w:tc>
        <w:tc>
          <w:tcPr>
            <w:tcW w:w="600" w:type="dxa"/>
            <w:vAlign w:val="bottom"/>
            <w:shd w:val="clear" w:color="auto" w:fill="7F7F7F"/>
          </w:tcPr>
          <w:p>
            <w:pPr>
              <w:spacing w:after="0"/>
              <w:rPr>
                <w:sz w:val="2"/>
                <w:szCs w:val="2"/>
                <w:color w:val="auto"/>
              </w:rPr>
            </w:pPr>
          </w:p>
        </w:tc>
        <w:tc>
          <w:tcPr>
            <w:tcW w:w="280" w:type="dxa"/>
            <w:vAlign w:val="bottom"/>
            <w:shd w:val="clear" w:color="auto" w:fill="7F7F7F"/>
          </w:tcPr>
          <w:p>
            <w:pPr>
              <w:spacing w:after="0"/>
              <w:rPr>
                <w:sz w:val="2"/>
                <w:szCs w:val="2"/>
                <w:color w:val="auto"/>
              </w:rPr>
            </w:pPr>
          </w:p>
        </w:tc>
        <w:tc>
          <w:tcPr>
            <w:tcW w:w="580" w:type="dxa"/>
            <w:vAlign w:val="bottom"/>
            <w:shd w:val="clear" w:color="auto" w:fill="7F7F7F"/>
          </w:tcPr>
          <w:p>
            <w:pPr>
              <w:spacing w:after="0"/>
              <w:rPr>
                <w:sz w:val="2"/>
                <w:szCs w:val="2"/>
                <w:color w:val="auto"/>
              </w:rPr>
            </w:pPr>
          </w:p>
        </w:tc>
        <w:tc>
          <w:tcPr>
            <w:tcW w:w="260" w:type="dxa"/>
            <w:vAlign w:val="bottom"/>
            <w:shd w:val="clear" w:color="auto" w:fill="7F7F7F"/>
          </w:tcPr>
          <w:p>
            <w:pPr>
              <w:spacing w:after="0"/>
              <w:rPr>
                <w:sz w:val="2"/>
                <w:szCs w:val="2"/>
                <w:color w:val="auto"/>
              </w:rPr>
            </w:pPr>
          </w:p>
        </w:tc>
        <w:tc>
          <w:tcPr>
            <w:tcW w:w="560" w:type="dxa"/>
            <w:vAlign w:val="bottom"/>
            <w:shd w:val="clear" w:color="auto" w:fill="7F7F7F"/>
          </w:tcPr>
          <w:p>
            <w:pPr>
              <w:spacing w:after="0"/>
              <w:rPr>
                <w:sz w:val="2"/>
                <w:szCs w:val="2"/>
                <w:color w:val="auto"/>
              </w:rPr>
            </w:pPr>
          </w:p>
        </w:tc>
        <w:tc>
          <w:tcPr>
            <w:tcW w:w="360" w:type="dxa"/>
            <w:vAlign w:val="bottom"/>
            <w:shd w:val="clear" w:color="auto" w:fill="7F7F7F"/>
          </w:tcPr>
          <w:p>
            <w:pPr>
              <w:spacing w:after="0"/>
              <w:rPr>
                <w:sz w:val="2"/>
                <w:szCs w:val="2"/>
                <w:color w:val="auto"/>
              </w:rPr>
            </w:pPr>
          </w:p>
        </w:tc>
        <w:tc>
          <w:tcPr>
            <w:tcW w:w="420" w:type="dxa"/>
            <w:vAlign w:val="bottom"/>
            <w:shd w:val="clear" w:color="auto" w:fill="7F7F7F"/>
          </w:tcPr>
          <w:p>
            <w:pPr>
              <w:spacing w:after="0"/>
              <w:rPr>
                <w:sz w:val="2"/>
                <w:szCs w:val="2"/>
                <w:color w:val="auto"/>
              </w:rPr>
            </w:pPr>
          </w:p>
        </w:tc>
      </w:tr>
      <w:tr>
        <w:trPr>
          <w:trHeight w:val="224"/>
        </w:trPr>
        <w:tc>
          <w:tcPr>
            <w:tcW w:w="2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through</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94"/>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Other Commercial Commitments</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i w:val="1"/>
                <w:iCs w:val="1"/>
                <w:color w:val="auto"/>
              </w:rPr>
              <w:t>After</w:t>
            </w:r>
          </w:p>
        </w:tc>
      </w:tr>
      <w:tr>
        <w:trPr>
          <w:trHeight w:val="210"/>
        </w:trPr>
        <w:tc>
          <w:tcPr>
            <w:tcW w:w="27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380" w:type="dxa"/>
            <w:vAlign w:val="bottom"/>
            <w:tcBorders>
              <w:bottom w:val="single" w:sz="8" w:color="7F7F7F"/>
            </w:tcBorders>
          </w:tcPr>
          <w:p>
            <w:pPr>
              <w:spacing w:after="0"/>
              <w:rPr>
                <w:sz w:val="18"/>
                <w:szCs w:val="18"/>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Total</w:t>
            </w:r>
          </w:p>
        </w:tc>
        <w:tc>
          <w:tcPr>
            <w:tcW w:w="1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2017</w:t>
            </w:r>
          </w:p>
        </w:tc>
        <w:tc>
          <w:tcPr>
            <w:tcW w:w="2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2018</w:t>
            </w:r>
          </w:p>
        </w:tc>
        <w:tc>
          <w:tcPr>
            <w:tcW w:w="240" w:type="dxa"/>
            <w:vAlign w:val="bottom"/>
            <w:tcBorders>
              <w:bottom w:val="single" w:sz="8" w:color="7F7F7F"/>
            </w:tcBorders>
          </w:tcPr>
          <w:p>
            <w:pPr>
              <w:spacing w:after="0"/>
              <w:rPr>
                <w:sz w:val="18"/>
                <w:szCs w:val="18"/>
                <w:color w:val="auto"/>
              </w:rPr>
            </w:pPr>
          </w:p>
        </w:tc>
        <w:tc>
          <w:tcPr>
            <w:tcW w:w="6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2019</w:t>
            </w:r>
          </w:p>
        </w:tc>
        <w:tc>
          <w:tcPr>
            <w:tcW w:w="2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2020</w:t>
            </w:r>
          </w:p>
        </w:tc>
        <w:tc>
          <w:tcPr>
            <w:tcW w:w="26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2021</w:t>
            </w:r>
          </w:p>
        </w:tc>
        <w:tc>
          <w:tcPr>
            <w:tcW w:w="360" w:type="dxa"/>
            <w:vAlign w:val="bottom"/>
            <w:tcBorders>
              <w:bottom w:val="single" w:sz="8" w:color="7F7F7F"/>
            </w:tcBorders>
          </w:tcPr>
          <w:p>
            <w:pPr>
              <w:spacing w:after="0"/>
              <w:rPr>
                <w:sz w:val="18"/>
                <w:szCs w:val="18"/>
                <w:color w:val="auto"/>
              </w:rPr>
            </w:pPr>
          </w:p>
        </w:tc>
        <w:tc>
          <w:tcPr>
            <w:tcW w:w="4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2021</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Credit facilities [a]</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Receivables securitization facility [b]</w:t>
            </w: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Guarantees [c]</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27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Standby letters of credit [d]</w:t>
            </w:r>
          </w:p>
        </w:tc>
        <w:tc>
          <w:tcPr>
            <w:tcW w:w="380" w:type="dxa"/>
            <w:vAlign w:val="bottom"/>
            <w:tcBorders>
              <w:bottom w:val="single" w:sz="8" w:color="7F7F7F"/>
            </w:tcBorders>
          </w:tcPr>
          <w:p>
            <w:pPr>
              <w:spacing w:after="0"/>
              <w:rPr>
                <w:sz w:val="18"/>
                <w:szCs w:val="18"/>
                <w:color w:val="auto"/>
              </w:rPr>
            </w:pPr>
          </w:p>
        </w:tc>
        <w:tc>
          <w:tcPr>
            <w:tcW w:w="64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7F7F7F"/>
            </w:tcBorders>
          </w:tcPr>
          <w:p>
            <w:pPr>
              <w:spacing w:after="0"/>
              <w:rPr>
                <w:sz w:val="18"/>
                <w:szCs w:val="18"/>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7F7F7F"/>
            </w:tcBorders>
          </w:tcPr>
          <w:p>
            <w:pPr>
              <w:spacing w:after="0"/>
              <w:rPr>
                <w:sz w:val="18"/>
                <w:szCs w:val="18"/>
                <w:color w:val="auto"/>
              </w:rPr>
            </w:pPr>
          </w:p>
        </w:tc>
        <w:tc>
          <w:tcPr>
            <w:tcW w:w="4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commercial commitments</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54"/>
        </w:trPr>
        <w:tc>
          <w:tcPr>
            <w:tcW w:w="276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640" w:type="dxa"/>
            <w:vAlign w:val="bottom"/>
            <w:shd w:val="clear" w:color="auto" w:fill="7F7F7F"/>
          </w:tcPr>
          <w:p>
            <w:pPr>
              <w:spacing w:after="0"/>
              <w:rPr>
                <w:sz w:val="4"/>
                <w:szCs w:val="4"/>
                <w:color w:val="auto"/>
              </w:rPr>
            </w:pPr>
          </w:p>
        </w:tc>
        <w:tc>
          <w:tcPr>
            <w:tcW w:w="180" w:type="dxa"/>
            <w:vAlign w:val="bottom"/>
            <w:shd w:val="clear" w:color="auto" w:fill="7F7F7F"/>
          </w:tcPr>
          <w:p>
            <w:pPr>
              <w:spacing w:after="0"/>
              <w:rPr>
                <w:sz w:val="4"/>
                <w:szCs w:val="4"/>
                <w:color w:val="auto"/>
              </w:rPr>
            </w:pPr>
          </w:p>
        </w:tc>
        <w:tc>
          <w:tcPr>
            <w:tcW w:w="700" w:type="dxa"/>
            <w:vAlign w:val="bottom"/>
            <w:tcBorders>
              <w:right w:val="single" w:sz="8" w:color="7F7F7F"/>
            </w:tcBorders>
            <w:shd w:val="clear" w:color="auto" w:fill="7F7F7F"/>
          </w:tcPr>
          <w:p>
            <w:pPr>
              <w:spacing w:after="0"/>
              <w:rPr>
                <w:sz w:val="4"/>
                <w:szCs w:val="4"/>
                <w:color w:val="auto"/>
              </w:rPr>
            </w:pPr>
          </w:p>
        </w:tc>
        <w:tc>
          <w:tcPr>
            <w:tcW w:w="2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4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c>
          <w:tcPr>
            <w:tcW w:w="2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60" w:type="dxa"/>
            <w:vAlign w:val="bottom"/>
            <w:shd w:val="clear" w:color="auto" w:fill="7F7F7F"/>
          </w:tcPr>
          <w:p>
            <w:pPr>
              <w:spacing w:after="0"/>
              <w:rPr>
                <w:sz w:val="4"/>
                <w:szCs w:val="4"/>
                <w:color w:val="auto"/>
              </w:rPr>
            </w:pPr>
          </w:p>
        </w:tc>
        <w:tc>
          <w:tcPr>
            <w:tcW w:w="560" w:type="dxa"/>
            <w:vAlign w:val="bottom"/>
            <w:shd w:val="clear" w:color="auto" w:fill="7F7F7F"/>
          </w:tcPr>
          <w:p>
            <w:pPr>
              <w:spacing w:after="0"/>
              <w:rPr>
                <w:sz w:val="4"/>
                <w:szCs w:val="4"/>
                <w:color w:val="auto"/>
              </w:rPr>
            </w:pPr>
          </w:p>
        </w:tc>
        <w:tc>
          <w:tcPr>
            <w:tcW w:w="360" w:type="dxa"/>
            <w:vAlign w:val="bottom"/>
            <w:shd w:val="clear" w:color="auto" w:fill="7F7F7F"/>
          </w:tcPr>
          <w:p>
            <w:pPr>
              <w:spacing w:after="0"/>
              <w:rPr>
                <w:sz w:val="4"/>
                <w:szCs w:val="4"/>
                <w:color w:val="auto"/>
              </w:rPr>
            </w:pPr>
          </w:p>
        </w:tc>
        <w:tc>
          <w:tcPr>
            <w:tcW w:w="420" w:type="dxa"/>
            <w:vAlign w:val="bottom"/>
            <w:shd w:val="clear" w:color="auto" w:fill="7F7F7F"/>
          </w:tcPr>
          <w:p>
            <w:pPr>
              <w:spacing w:after="0"/>
              <w:rPr>
                <w:sz w:val="4"/>
                <w:szCs w:val="4"/>
                <w:color w:val="auto"/>
              </w:rPr>
            </w:pPr>
          </w:p>
        </w:tc>
      </w:tr>
    </w:tbl>
    <w:p>
      <w:pPr>
        <w:spacing w:after="0" w:line="153" w:lineRule="exact"/>
        <w:rPr>
          <w:sz w:val="20"/>
          <w:szCs w:val="20"/>
          <w:color w:val="auto"/>
        </w:rPr>
      </w:pPr>
    </w:p>
    <w:p>
      <w:pPr>
        <w:ind w:left="460" w:hanging="355"/>
        <w:spacing w:after="0"/>
        <w:tabs>
          <w:tab w:leader="none" w:pos="4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None of the credit facility was used as of June 30, 2017.</w:t>
      </w:r>
    </w:p>
    <w:p>
      <w:pPr>
        <w:spacing w:after="0" w:line="28" w:lineRule="exact"/>
        <w:rPr>
          <w:rFonts w:ascii="Arial" w:cs="Arial" w:eastAsia="Arial" w:hAnsi="Arial"/>
          <w:sz w:val="14"/>
          <w:szCs w:val="14"/>
          <w:i w:val="1"/>
          <w:iCs w:val="1"/>
          <w:color w:val="auto"/>
        </w:rPr>
      </w:pPr>
    </w:p>
    <w:p>
      <w:pPr>
        <w:ind w:left="420" w:right="99" w:hanging="315"/>
        <w:spacing w:after="0" w:line="239" w:lineRule="auto"/>
        <w:tabs>
          <w:tab w:leader="none" w:pos="45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$200 million of the receivables securitization facility was utilized as of June 30, 2017, which is accounted for as debt. The full program matures in July 2019.</w:t>
      </w:r>
    </w:p>
    <w:p>
      <w:pPr>
        <w:spacing w:after="0" w:line="3" w:lineRule="exact"/>
        <w:rPr>
          <w:rFonts w:ascii="Arial" w:cs="Arial" w:eastAsia="Arial" w:hAnsi="Arial"/>
          <w:sz w:val="14"/>
          <w:szCs w:val="14"/>
          <w:i w:val="1"/>
          <w:iCs w:val="1"/>
          <w:color w:val="auto"/>
        </w:rPr>
      </w:pPr>
    </w:p>
    <w:p>
      <w:pPr>
        <w:ind w:left="440" w:hanging="335"/>
        <w:spacing w:after="0"/>
        <w:tabs>
          <w:tab w:leader="none" w:pos="4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guaranteed obligations related to our affiliated operations.</w:t>
      </w:r>
    </w:p>
    <w:p>
      <w:pPr>
        <w:spacing w:after="0" w:line="28" w:lineRule="exact"/>
        <w:rPr>
          <w:rFonts w:ascii="Arial" w:cs="Arial" w:eastAsia="Arial" w:hAnsi="Arial"/>
          <w:sz w:val="14"/>
          <w:szCs w:val="14"/>
          <w:i w:val="1"/>
          <w:iCs w:val="1"/>
          <w:color w:val="auto"/>
        </w:rPr>
      </w:pPr>
    </w:p>
    <w:p>
      <w:pPr>
        <w:ind w:left="460" w:hanging="355"/>
        <w:spacing w:after="0"/>
        <w:tabs>
          <w:tab w:leader="none" w:pos="4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None of the letters of credit were drawn upon as of June 30, 2017.</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We cannot fully determine the effect of all asserted and unasserted claims on our consolidated results of operations, financial condition, or liquidity. To the extent possible, we have recorded a liability where asserted and unasserted claims are considered probable and where such claims can be reasonably estimated. We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13" w:lineRule="exact"/>
        <w:rPr>
          <w:sz w:val="20"/>
          <w:szCs w:val="20"/>
          <w:color w:val="auto"/>
        </w:rPr>
      </w:pPr>
    </w:p>
    <w:p>
      <w:pPr>
        <w:jc w:val="both"/>
        <w:ind w:left="100" w:right="99"/>
        <w:spacing w:after="0" w:line="221"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We are contingently obligated under a variety of indemnification arrangements, although in</w:t>
      </w:r>
      <w:r>
        <w:rPr>
          <w:rFonts w:ascii="Arial" w:cs="Arial" w:eastAsia="Arial" w:hAnsi="Arial"/>
          <w:sz w:val="18"/>
          <w:szCs w:val="18"/>
          <w:b w:val="1"/>
          <w:bCs w:val="1"/>
          <w:color w:val="auto"/>
        </w:rPr>
        <w:t xml:space="preserve"> </w:t>
      </w:r>
      <w:r>
        <w:rPr>
          <w:rFonts w:ascii="Arial" w:cs="Arial" w:eastAsia="Arial" w:hAnsi="Arial"/>
          <w:sz w:val="18"/>
          <w:szCs w:val="18"/>
          <w:color w:val="auto"/>
        </w:rPr>
        <w:t>some cases the extent of our potential liability is limited, depending on the nature of the transactions and the agreements. Due to uncertainty as to whether claims will be made or how they will be resolved, we cannot reasonably determine the probability of an adverse claim or reasonably estimate any adverse liability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or the total maximum exposure under these indemnification arrangements. We do not have any reason to believe that we will be required to make any material payments under these indemnity provisions.</w:t>
      </w:r>
    </w:p>
    <w:p>
      <w:pPr>
        <w:spacing w:after="0" w:line="113" w:lineRule="exact"/>
        <w:rPr>
          <w:sz w:val="20"/>
          <w:szCs w:val="20"/>
          <w:color w:val="auto"/>
        </w:rPr>
      </w:pPr>
    </w:p>
    <w:p>
      <w:pPr>
        <w:ind w:left="100" w:right="959"/>
        <w:spacing w:after="0" w:line="419" w:lineRule="auto"/>
        <w:rPr>
          <w:sz w:val="20"/>
          <w:szCs w:val="20"/>
          <w:color w:val="auto"/>
        </w:rPr>
      </w:pPr>
      <w:r>
        <w:rPr>
          <w:rFonts w:ascii="Arial" w:cs="Arial" w:eastAsia="Arial" w:hAnsi="Arial"/>
          <w:sz w:val="18"/>
          <w:szCs w:val="18"/>
          <w:b w:val="1"/>
          <w:bCs w:val="1"/>
          <w:color w:val="auto"/>
        </w:rPr>
        <w:t xml:space="preserve">Accounting Pronouncements </w:t>
      </w:r>
      <w:r>
        <w:rPr>
          <w:rFonts w:ascii="Arial" w:cs="Arial" w:eastAsia="Arial" w:hAnsi="Arial"/>
          <w:sz w:val="18"/>
          <w:szCs w:val="18"/>
          <w:color w:val="auto"/>
        </w:rPr>
        <w:t>– See Note 2 to the Condensed Consolidated Financial Statements.</w:t>
      </w:r>
      <w:r>
        <w:rPr>
          <w:rFonts w:ascii="Arial" w:cs="Arial" w:eastAsia="Arial" w:hAnsi="Arial"/>
          <w:sz w:val="18"/>
          <w:szCs w:val="18"/>
          <w:b w:val="1"/>
          <w:bCs w:val="1"/>
          <w:color w:val="auto"/>
        </w:rPr>
        <w:t xml:space="preserve"> CAUTIONARY INFORMATION</w:t>
      </w:r>
    </w:p>
    <w:p>
      <w:pPr>
        <w:spacing w:after="0" w:line="2" w:lineRule="exact"/>
        <w:rPr>
          <w:sz w:val="20"/>
          <w:szCs w:val="20"/>
          <w:color w:val="auto"/>
        </w:rPr>
      </w:pPr>
    </w:p>
    <w:p>
      <w:pPr>
        <w:jc w:val="both"/>
        <w:ind w:left="100" w:right="99"/>
        <w:spacing w:after="0" w:line="206"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Exchange Act. These forward-looking statements and information include, without limitation, the statements and information set forth under the caption “Liquidity and Capital Resources” in Item 2 regarding our capital plan and statements under the caption “Off-Balance Sheet Arrangements, Contractual Obligations, and Commercial Commitments.” Forward-looking statements and information also include any other statements or information in this report regarding: expectations as to operational or service improvements; expectations regarding the effectiveness of steps taken or to be taken to improve operations, service, infrastructure improvements, and transportation plan modifications; expectations as to cost savings, revenue growth, and earnings; the time by which goals, targets,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expectations that claims, litigation, environmental costs, commitments, contingent liabilities, labor negotiations or agreements, or other matters will not have a material adverse effect on our consolidated results of operations, financial condition, or liquidity and any other similar expressions concerning matters that are not historical facts.</w:t>
      </w:r>
    </w:p>
    <w:p>
      <w:pPr>
        <w:spacing w:after="0" w:line="140" w:lineRule="exact"/>
        <w:rPr>
          <w:sz w:val="20"/>
          <w:szCs w:val="20"/>
          <w:color w:val="auto"/>
        </w:rPr>
      </w:pPr>
    </w:p>
    <w:p>
      <w:pPr>
        <w:jc w:val="both"/>
        <w:ind w:left="100" w:right="99"/>
        <w:spacing w:after="0" w:line="206" w:lineRule="auto"/>
        <w:rPr>
          <w:sz w:val="20"/>
          <w:szCs w:val="20"/>
          <w:color w:val="auto"/>
        </w:rPr>
      </w:pPr>
      <w:r>
        <w:rPr>
          <w:rFonts w:ascii="Arial" w:cs="Arial" w:eastAsia="Arial" w:hAnsi="Arial"/>
          <w:sz w:val="18"/>
          <w:szCs w:val="18"/>
          <w:color w:val="auto"/>
        </w:rPr>
        <w:t>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The Risk Factors in Item 1A of our 2016 Annual Report on Form 10-K, filed February 3, 2017, could affect our future results and could cause those results or other outcomes to differ materially from those expressed or implied in the forward-looking statements, and this report, including this Item 2, should be read in conjunction with these Risk Factors. To the extent circumstances require or we deem it otherwise necessary, we will update or amend these risk factors in a Form 10-Q or Form 8-K. Information regarding new risk factors or material changes to our risk factors, if any, is set forth in Item 1A of Part II of this report. Forward-looking statements should not be read as a guarantee of future performance or results, and will not necessarily be accurate indications of the times that, or by which, such performance or results will be achieved. Forward-looking information is subject to risks and uncertainties that could cause actual performance or results to differ materially from those expressed in the statements.</w:t>
      </w:r>
    </w:p>
    <w:p>
      <w:pPr>
        <w:spacing w:after="0" w:line="14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There were no material changes to the Quantitative and Qualitative Disclosures About Market Risk previously disclosed in our 2016 Annual Report on Form 10-K.</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Controls and Procedures</w:t>
      </w:r>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color w:val="auto"/>
        </w:rPr>
        <w:t>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38"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 and such other pending matters that we may determine to be appropriate.</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Environmental Matters</w:t>
      </w:r>
    </w:p>
    <w:p>
      <w:pPr>
        <w:spacing w:after="0" w:line="166"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On January 21, 2016, California Air Resources Board (CARB) sent UPRR a notice of violation alleging that it had failed to report all information required by the Drayage Truck Rule. The CARB Drayage Truck Rule requires URRR, as an operator of an intermodal railyard, to submit quarterly reports with detailed information, such as the vehicle identification number, about all trucks entering its intermodal railyard that are not compliant with the rule. UPRR has reached an agreement in principle resolving the notice of violation, which includes the payment of a fine of $525,000. Prior to reaching this resolution, UPRR was uncertain of the disposition regarding this CARB notice or the amount of any fine that would result from this notice.</w:t>
      </w:r>
    </w:p>
    <w:p>
      <w:pPr>
        <w:spacing w:after="0" w:line="137"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We receive notices from the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37"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Policies – Environmental, Item 7 of our 2016 Annual Report on Form 10-K.</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100" w:right="99"/>
        <w:spacing w:after="0" w:line="212" w:lineRule="auto"/>
        <w:rPr>
          <w:sz w:val="20"/>
          <w:szCs w:val="20"/>
          <w:color w:val="auto"/>
        </w:rPr>
      </w:pPr>
      <w:r>
        <w:rPr>
          <w:rFonts w:ascii="Arial" w:cs="Arial" w:eastAsia="Arial" w:hAnsi="Arial"/>
          <w:sz w:val="18"/>
          <w:szCs w:val="18"/>
          <w:b w:val="1"/>
          <w:bCs w:val="1"/>
          <w:color w:val="auto"/>
        </w:rPr>
        <w:t xml:space="preserve">Antitrust Litigation </w:t>
      </w:r>
      <w:r>
        <w:rPr>
          <w:rFonts w:ascii="Arial" w:cs="Arial" w:eastAsia="Arial" w:hAnsi="Arial"/>
          <w:sz w:val="18"/>
          <w:szCs w:val="18"/>
          <w:color w:val="auto"/>
        </w:rPr>
        <w:t>- As we reported in our Quarterly Report on Form 10-Q for the quarter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2007, 20 rail shippers (many of whom are represented by the same law firms) filed virtually identical antitrust lawsuits in various federal district courts against us and four other Class I railroads in the U.S. Currently, UPRR and three other Class I railroads are the named defendants in the lawsuit. The parties are awaiting the results of a class certification hearing that was conducted on September 26, 2016, before the court may commence any proceedings on the merits of the case. For additional information on this lawsuit, please refer to Item 3. Legal Proceedings, under Other Matters, Antitrust Litigation in our most recently filed Annual Report on Form 10-K for the year ended December 31, 2016.</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As we reported in our Current Report on Form 8-K, filed on June 10, 2011, the Railroad received a complaint filed in the U.S. District Court for the District of Columbia on June 7, 2011, by Oxbow Carbon &amp; Minerals LLC and related entities (Oxbow). The parties are currently conducting discovery in this matter. For additional information on Oxbow, please refer to Item 3. Legal Proceedings, under Other Matters, Antitrust Litigation in our most recently filed Annual Report on Form 10-K for the year ended December 31, 2016.</w:t>
      </w:r>
    </w:p>
    <w:p>
      <w:pPr>
        <w:spacing w:after="0" w:line="135"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deny the allegations that our fuel surcharge programs violate the antitrust laws or any other laws. We believe that these lawsuits are without merit, and we will vigorously defend our actions. Therefore, we currently believe that these matters will not have a material adverse effect on any of our results of operations, financial condition, and liquidity.</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There were no material changes from the risk factors previously disclosed in our 2016 Annual Report on Form 10-K.</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jc w:val="both"/>
        <w:ind w:left="100" w:right="99"/>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presents common stock repurchases during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month for the second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60325</wp:posOffset>
            </wp:positionV>
            <wp:extent cx="560006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Total Number of</w:t>
            </w:r>
          </w:p>
        </w:tc>
        <w:tc>
          <w:tcPr>
            <w:tcW w:w="18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i w:val="1"/>
                <w:iCs w:val="1"/>
                <w:color w:val="auto"/>
              </w:rPr>
              <w:t>Average</w:t>
            </w:r>
          </w:p>
        </w:tc>
        <w:tc>
          <w:tcPr>
            <w:tcW w:w="2120" w:type="dxa"/>
            <w:vAlign w:val="bottom"/>
          </w:tcPr>
          <w:p>
            <w:pPr>
              <w:jc w:val="right"/>
              <w:ind w:right="59"/>
              <w:spacing w:after="0"/>
              <w:rPr>
                <w:sz w:val="20"/>
                <w:szCs w:val="20"/>
                <w:color w:val="auto"/>
              </w:rPr>
            </w:pPr>
            <w:r>
              <w:rPr>
                <w:rFonts w:ascii="Arial" w:cs="Arial" w:eastAsia="Arial" w:hAnsi="Arial"/>
                <w:sz w:val="16"/>
                <w:szCs w:val="16"/>
                <w:i w:val="1"/>
                <w:iCs w:val="1"/>
                <w:color w:val="auto"/>
              </w:rPr>
              <w:t>Total Number of Shares</w:t>
            </w: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Maximum Number of</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120" w:type="dxa"/>
            <w:vAlign w:val="bottom"/>
          </w:tcPr>
          <w:p>
            <w:pPr>
              <w:jc w:val="right"/>
              <w:ind w:right="59"/>
              <w:spacing w:after="0" w:line="162" w:lineRule="exact"/>
              <w:rPr>
                <w:sz w:val="20"/>
                <w:szCs w:val="20"/>
                <w:color w:val="auto"/>
              </w:rPr>
            </w:pPr>
            <w:r>
              <w:rPr>
                <w:rFonts w:ascii="Arial" w:cs="Arial" w:eastAsia="Arial" w:hAnsi="Arial"/>
                <w:sz w:val="16"/>
                <w:szCs w:val="16"/>
                <w:i w:val="1"/>
                <w:iCs w:val="1"/>
                <w:color w:val="auto"/>
              </w:rPr>
              <w:t>Purchased as Part of a</w:t>
            </w:r>
          </w:p>
        </w:tc>
        <w:tc>
          <w:tcPr>
            <w:tcW w:w="200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Shares That May Be</w:t>
            </w:r>
          </w:p>
        </w:tc>
        <w:tc>
          <w:tcPr>
            <w:tcW w:w="0" w:type="dxa"/>
            <w:vAlign w:val="bottom"/>
          </w:tcPr>
          <w:p>
            <w:pPr>
              <w:spacing w:after="0"/>
              <w:rPr>
                <w:sz w:val="1"/>
                <w:szCs w:val="1"/>
                <w:color w:val="auto"/>
              </w:rPr>
            </w:pPr>
          </w:p>
        </w:tc>
      </w:tr>
      <w:tr>
        <w:trPr>
          <w:trHeight w:val="162"/>
        </w:trPr>
        <w:tc>
          <w:tcPr>
            <w:tcW w:w="2000" w:type="dxa"/>
            <w:vAlign w:val="bottom"/>
            <w:vMerge w:val="restart"/>
          </w:tcPr>
          <w:p>
            <w:pPr>
              <w:spacing w:after="0"/>
              <w:rPr>
                <w:sz w:val="20"/>
                <w:szCs w:val="20"/>
                <w:color w:val="auto"/>
              </w:rPr>
            </w:pPr>
            <w:r>
              <w:rPr>
                <w:rFonts w:ascii="Arial" w:cs="Arial" w:eastAsia="Arial" w:hAnsi="Arial"/>
                <w:sz w:val="16"/>
                <w:szCs w:val="16"/>
                <w:i w:val="1"/>
                <w:iCs w:val="1"/>
                <w:color w:val="auto"/>
              </w:rPr>
              <w:t>Period</w:t>
            </w:r>
          </w:p>
        </w:tc>
        <w:tc>
          <w:tcPr>
            <w:tcW w:w="162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Shares</w:t>
            </w:r>
          </w:p>
        </w:tc>
        <w:tc>
          <w:tcPr>
            <w:tcW w:w="1080" w:type="dxa"/>
            <w:vAlign w:val="bottom"/>
            <w:gridSpan w:val="2"/>
          </w:tcPr>
          <w:p>
            <w:pPr>
              <w:jc w:val="right"/>
              <w:ind w:right="99"/>
              <w:spacing w:after="0" w:line="162" w:lineRule="exact"/>
              <w:rPr>
                <w:sz w:val="20"/>
                <w:szCs w:val="20"/>
                <w:color w:val="auto"/>
              </w:rPr>
            </w:pPr>
            <w:r>
              <w:rPr>
                <w:rFonts w:ascii="Arial" w:cs="Arial" w:eastAsia="Arial" w:hAnsi="Arial"/>
                <w:sz w:val="16"/>
                <w:szCs w:val="16"/>
                <w:i w:val="1"/>
                <w:iCs w:val="1"/>
                <w:color w:val="auto"/>
              </w:rPr>
              <w:t>Price Paid</w:t>
            </w:r>
          </w:p>
        </w:tc>
        <w:tc>
          <w:tcPr>
            <w:tcW w:w="2120" w:type="dxa"/>
            <w:vAlign w:val="bottom"/>
          </w:tcPr>
          <w:p>
            <w:pPr>
              <w:jc w:val="right"/>
              <w:ind w:right="59"/>
              <w:spacing w:after="0" w:line="162" w:lineRule="exact"/>
              <w:rPr>
                <w:sz w:val="20"/>
                <w:szCs w:val="20"/>
                <w:color w:val="auto"/>
              </w:rPr>
            </w:pPr>
            <w:r>
              <w:rPr>
                <w:rFonts w:ascii="Arial" w:cs="Arial" w:eastAsia="Arial" w:hAnsi="Arial"/>
                <w:sz w:val="16"/>
                <w:szCs w:val="16"/>
                <w:i w:val="1"/>
                <w:iCs w:val="1"/>
                <w:color w:val="auto"/>
              </w:rPr>
              <w:t>Publicly Announced Plan</w:t>
            </w:r>
          </w:p>
        </w:tc>
        <w:tc>
          <w:tcPr>
            <w:tcW w:w="200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Purchased Under Current</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7F7F7F"/>
            </w:tcBorders>
            <w:vMerge w:val="continue"/>
          </w:tcPr>
          <w:p>
            <w:pPr>
              <w:spacing w:after="0"/>
              <w:rPr>
                <w:sz w:val="17"/>
                <w:szCs w:val="17"/>
                <w:color w:val="auto"/>
              </w:rPr>
            </w:pPr>
          </w:p>
        </w:tc>
        <w:tc>
          <w:tcPr>
            <w:tcW w:w="1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Purchased [a]</w:t>
            </w:r>
          </w:p>
        </w:tc>
        <w:tc>
          <w:tcPr>
            <w:tcW w:w="18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99"/>
              <w:spacing w:after="0"/>
              <w:rPr>
                <w:sz w:val="20"/>
                <w:szCs w:val="20"/>
                <w:color w:val="auto"/>
              </w:rPr>
            </w:pPr>
            <w:r>
              <w:rPr>
                <w:rFonts w:ascii="Arial" w:cs="Arial" w:eastAsia="Arial" w:hAnsi="Arial"/>
                <w:sz w:val="16"/>
                <w:szCs w:val="16"/>
                <w:i w:val="1"/>
                <w:iCs w:val="1"/>
                <w:color w:val="auto"/>
                <w:w w:val="97"/>
              </w:rPr>
              <w:t>Per Share</w:t>
            </w:r>
          </w:p>
        </w:tc>
        <w:tc>
          <w:tcPr>
            <w:tcW w:w="212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i w:val="1"/>
                <w:iCs w:val="1"/>
                <w:color w:val="auto"/>
              </w:rPr>
              <w:t>or Program [b]</w:t>
            </w:r>
          </w:p>
        </w:tc>
        <w:tc>
          <w:tcPr>
            <w:tcW w:w="20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Authority [b]</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Apr. 1 through Apr. 30</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2,376,401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108.03</w:t>
            </w:r>
          </w:p>
        </w:tc>
        <w:tc>
          <w:tcPr>
            <w:tcW w:w="2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2,375,000</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110,093,700</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6"/>
                <w:szCs w:val="16"/>
                <w:color w:val="auto"/>
              </w:rPr>
              <w:t>May 1 through May 31</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2,697,643</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109.68</w:t>
            </w:r>
          </w:p>
        </w:tc>
        <w:tc>
          <w:tcPr>
            <w:tcW w:w="2120" w:type="dxa"/>
            <w:vAlign w:val="bottom"/>
          </w:tcPr>
          <w:p>
            <w:pPr>
              <w:jc w:val="right"/>
              <w:ind w:right="99"/>
              <w:spacing w:after="0"/>
              <w:rPr>
                <w:sz w:val="20"/>
                <w:szCs w:val="20"/>
                <w:color w:val="auto"/>
              </w:rPr>
            </w:pPr>
            <w:r>
              <w:rPr>
                <w:rFonts w:ascii="Arial" w:cs="Arial" w:eastAsia="Arial" w:hAnsi="Arial"/>
                <w:sz w:val="16"/>
                <w:szCs w:val="16"/>
                <w:color w:val="auto"/>
              </w:rPr>
              <w:t>2,694,092</w:t>
            </w:r>
          </w:p>
        </w:tc>
        <w:tc>
          <w:tcPr>
            <w:tcW w:w="2000" w:type="dxa"/>
            <w:vAlign w:val="bottom"/>
          </w:tcPr>
          <w:p>
            <w:pPr>
              <w:jc w:val="right"/>
              <w:spacing w:after="0"/>
              <w:rPr>
                <w:sz w:val="20"/>
                <w:szCs w:val="20"/>
                <w:color w:val="auto"/>
              </w:rPr>
            </w:pPr>
            <w:r>
              <w:rPr>
                <w:rFonts w:ascii="Arial" w:cs="Arial" w:eastAsia="Arial" w:hAnsi="Arial"/>
                <w:sz w:val="16"/>
                <w:szCs w:val="16"/>
                <w:color w:val="auto"/>
              </w:rPr>
              <w:t>107,399,608</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Jun. 1 through Jun. 30</w:t>
            </w:r>
          </w:p>
        </w:tc>
        <w:tc>
          <w:tcPr>
            <w:tcW w:w="162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color w:val="auto"/>
              </w:rPr>
              <w:t>2,726,362</w:t>
            </w:r>
          </w:p>
        </w:tc>
        <w:tc>
          <w:tcPr>
            <w:tcW w:w="18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color w:val="auto"/>
              </w:rPr>
              <w:t>109.46</w:t>
            </w:r>
          </w:p>
        </w:tc>
        <w:tc>
          <w:tcPr>
            <w:tcW w:w="212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2,719,191</w:t>
            </w:r>
          </w:p>
        </w:tc>
        <w:tc>
          <w:tcPr>
            <w:tcW w:w="20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104,680,417</w:t>
            </w: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6"/>
                <w:szCs w:val="16"/>
                <w:color w:val="auto"/>
              </w:rPr>
              <w:t>Total</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7,800,406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rPr>
              <w:t>109.10</w:t>
            </w:r>
          </w:p>
        </w:tc>
        <w:tc>
          <w:tcPr>
            <w:tcW w:w="2120" w:type="dxa"/>
            <w:vAlign w:val="bottom"/>
          </w:tcPr>
          <w:p>
            <w:pPr>
              <w:jc w:val="right"/>
              <w:ind w:right="99"/>
              <w:spacing w:after="0"/>
              <w:rPr>
                <w:sz w:val="20"/>
                <w:szCs w:val="20"/>
                <w:color w:val="auto"/>
              </w:rPr>
            </w:pPr>
            <w:r>
              <w:rPr>
                <w:rFonts w:ascii="Arial" w:cs="Arial" w:eastAsia="Arial" w:hAnsi="Arial"/>
                <w:sz w:val="16"/>
                <w:szCs w:val="16"/>
                <w:color w:val="auto"/>
              </w:rPr>
              <w:t>7,788,283</w:t>
            </w:r>
          </w:p>
        </w:tc>
        <w:tc>
          <w:tcPr>
            <w:tcW w:w="20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1"/>
        </w:trPr>
        <w:tc>
          <w:tcPr>
            <w:tcW w:w="2000" w:type="dxa"/>
            <w:vAlign w:val="bottom"/>
            <w:tcBorders>
              <w:bottom w:val="single" w:sz="8" w:color="7F7F7F"/>
            </w:tcBorders>
          </w:tcPr>
          <w:p>
            <w:pPr>
              <w:spacing w:after="0"/>
              <w:rPr>
                <w:sz w:val="7"/>
                <w:szCs w:val="7"/>
                <w:color w:val="auto"/>
              </w:rPr>
            </w:pPr>
          </w:p>
        </w:tc>
        <w:tc>
          <w:tcPr>
            <w:tcW w:w="162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900" w:type="dxa"/>
            <w:vAlign w:val="bottom"/>
            <w:tcBorders>
              <w:bottom w:val="single" w:sz="8" w:color="7F7F7F"/>
            </w:tcBorders>
          </w:tcPr>
          <w:p>
            <w:pPr>
              <w:spacing w:after="0"/>
              <w:rPr>
                <w:sz w:val="7"/>
                <w:szCs w:val="7"/>
                <w:color w:val="auto"/>
              </w:rPr>
            </w:pPr>
          </w:p>
        </w:tc>
        <w:tc>
          <w:tcPr>
            <w:tcW w:w="2120" w:type="dxa"/>
            <w:vAlign w:val="bottom"/>
            <w:tcBorders>
              <w:bottom w:val="single" w:sz="8" w:color="7F7F7F"/>
            </w:tcBorders>
          </w:tcPr>
          <w:p>
            <w:pPr>
              <w:spacing w:after="0"/>
              <w:rPr>
                <w:sz w:val="7"/>
                <w:szCs w:val="7"/>
                <w:color w:val="auto"/>
              </w:rPr>
            </w:pPr>
          </w:p>
        </w:tc>
        <w:tc>
          <w:tcPr>
            <w:tcW w:w="200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420" w:right="99" w:hanging="315"/>
        <w:spacing w:after="0" w:line="226" w:lineRule="auto"/>
        <w:tabs>
          <w:tab w:leader="none" w:pos="4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Total number of shares purchased during the quarter includes 12,123 shares delivered or attested to UPC by employees to pay stock option exercise prices, satisfy excess tax withholding obligations for stock option exercises or vesting of retention units, and pay withholding obligations for vesting of retention shares.</w:t>
      </w:r>
    </w:p>
    <w:p>
      <w:pPr>
        <w:spacing w:after="0" w:line="85" w:lineRule="exact"/>
        <w:rPr>
          <w:rFonts w:ascii="Arial" w:cs="Arial" w:eastAsia="Arial" w:hAnsi="Arial"/>
          <w:sz w:val="14"/>
          <w:szCs w:val="14"/>
          <w:i w:val="1"/>
          <w:iCs w:val="1"/>
          <w:color w:val="auto"/>
        </w:rPr>
      </w:pPr>
    </w:p>
    <w:p>
      <w:pPr>
        <w:jc w:val="both"/>
        <w:ind w:left="420" w:right="99" w:hanging="315"/>
        <w:spacing w:after="0" w:line="226" w:lineRule="auto"/>
        <w:tabs>
          <w:tab w:leader="none" w:pos="4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January 1, 2017, our Board of Directors authorized the repurchase of up to 120 million shares of our common stock by December 31, 2020, replacing our previous repurchase program. These repurchases may be made on the open market or through other transactions. Our management has sole discretion with respect to determining the timing and amount of these transactions.</w:t>
      </w:r>
    </w:p>
    <w:p>
      <w:pPr>
        <w:spacing w:after="0" w:line="112" w:lineRule="exact"/>
        <w:rPr>
          <w:sz w:val="20"/>
          <w:szCs w:val="20"/>
          <w:color w:val="auto"/>
        </w:rPr>
      </w:pPr>
    </w:p>
    <w:p>
      <w:pPr>
        <w:jc w:val="both"/>
        <w:ind w:left="100" w:right="99"/>
        <w:spacing w:after="0" w:line="221" w:lineRule="auto"/>
        <w:rPr>
          <w:sz w:val="20"/>
          <w:szCs w:val="20"/>
          <w:color w:val="auto"/>
        </w:rPr>
      </w:pPr>
      <w:r>
        <w:rPr>
          <w:rFonts w:ascii="Arial" w:cs="Arial" w:eastAsia="Arial" w:hAnsi="Arial"/>
          <w:sz w:val="18"/>
          <w:szCs w:val="18"/>
          <w:b w:val="1"/>
          <w:bCs w:val="1"/>
          <w:color w:val="auto"/>
        </w:rPr>
        <w:t xml:space="preserve">Dividend Restrictions </w:t>
      </w:r>
      <w:r>
        <w:rPr>
          <w:rFonts w:ascii="Arial" w:cs="Arial" w:eastAsia="Arial" w:hAnsi="Arial"/>
          <w:sz w:val="18"/>
          <w:szCs w:val="18"/>
          <w:color w:val="auto"/>
        </w:rPr>
        <w:t>– Our revolving credit facility includes a debt-to-net worth covenant (discussed in Note</w:t>
      </w:r>
      <w:r>
        <w:rPr>
          <w:rFonts w:ascii="Arial" w:cs="Arial" w:eastAsia="Arial" w:hAnsi="Arial"/>
          <w:sz w:val="18"/>
          <w:szCs w:val="18"/>
          <w:b w:val="1"/>
          <w:bCs w:val="1"/>
          <w:color w:val="auto"/>
        </w:rPr>
        <w:t xml:space="preserve"> </w:t>
      </w:r>
      <w:r>
        <w:rPr>
          <w:rFonts w:ascii="Arial" w:cs="Arial" w:eastAsia="Arial" w:hAnsi="Arial"/>
          <w:sz w:val="18"/>
          <w:szCs w:val="18"/>
          <w:color w:val="auto"/>
        </w:rPr>
        <w:t>14 of the Condensed Consolidated Financial Statements) that, under certain circumstances, restricts the payment of cash dividends to our shareholders. The amount of retained earnings available for dividends was $11.7 billion and $12.4 billion at June 30, 2017, and December 31, 2016, respectively.</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6. Exhibits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1100" w:type="dxa"/>
            <w:vAlign w:val="bottom"/>
          </w:tcPr>
          <w:p>
            <w:pPr>
              <w:spacing w:after="0"/>
              <w:rPr>
                <w:sz w:val="17"/>
                <w:szCs w:val="17"/>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331"/>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Filed with this Statement</w:t>
            </w:r>
          </w:p>
        </w:tc>
        <w:tc>
          <w:tcPr>
            <w:tcW w:w="6720" w:type="dxa"/>
            <w:vAlign w:val="bottom"/>
            <w:gridSpan w:val="3"/>
          </w:tcPr>
          <w:p>
            <w:pPr>
              <w:spacing w:after="0"/>
              <w:rPr>
                <w:sz w:val="24"/>
                <w:szCs w:val="24"/>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12(a)</w:t>
            </w: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Ratio of Earnings to Fixed Charges for the Three Months Ended June 30, 2017 and</w:t>
            </w:r>
          </w:p>
        </w:tc>
      </w:tr>
      <w:tr>
        <w:trPr>
          <w:trHeight w:val="217"/>
        </w:trPr>
        <w:tc>
          <w:tcPr>
            <w:tcW w:w="880" w:type="dxa"/>
            <w:vAlign w:val="bottom"/>
          </w:tcPr>
          <w:p>
            <w:pPr>
              <w:spacing w:after="0"/>
              <w:rPr>
                <w:sz w:val="18"/>
                <w:szCs w:val="18"/>
                <w:color w:val="auto"/>
              </w:rPr>
            </w:pPr>
          </w:p>
        </w:tc>
        <w:tc>
          <w:tcPr>
            <w:tcW w:w="1980" w:type="dxa"/>
            <w:vAlign w:val="bottom"/>
            <w:gridSpan w:val="3"/>
          </w:tcPr>
          <w:p>
            <w:pPr>
              <w:ind w:left="1080"/>
              <w:spacing w:after="0"/>
              <w:rPr>
                <w:sz w:val="20"/>
                <w:szCs w:val="20"/>
                <w:color w:val="auto"/>
              </w:rPr>
            </w:pPr>
            <w:r>
              <w:rPr>
                <w:rFonts w:ascii="Arial" w:cs="Arial" w:eastAsia="Arial" w:hAnsi="Arial"/>
                <w:sz w:val="18"/>
                <w:szCs w:val="18"/>
                <w:color w:val="auto"/>
              </w:rPr>
              <w:t>2016.</w:t>
            </w:r>
          </w:p>
        </w:tc>
        <w:tc>
          <w:tcPr>
            <w:tcW w:w="5840" w:type="dxa"/>
            <w:vAlign w:val="bottom"/>
          </w:tcPr>
          <w:p>
            <w:pPr>
              <w:spacing w:after="0"/>
              <w:rPr>
                <w:sz w:val="18"/>
                <w:szCs w:val="18"/>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12(b)</w:t>
            </w: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Ratio of Earnings to Fixed Charges for the Six Months Ended June 30, 2017 and</w:t>
            </w:r>
          </w:p>
        </w:tc>
      </w:tr>
      <w:tr>
        <w:trPr>
          <w:trHeight w:val="217"/>
        </w:trPr>
        <w:tc>
          <w:tcPr>
            <w:tcW w:w="880" w:type="dxa"/>
            <w:vAlign w:val="bottom"/>
          </w:tcPr>
          <w:p>
            <w:pPr>
              <w:spacing w:after="0"/>
              <w:rPr>
                <w:sz w:val="18"/>
                <w:szCs w:val="18"/>
                <w:color w:val="auto"/>
              </w:rPr>
            </w:pPr>
          </w:p>
        </w:tc>
        <w:tc>
          <w:tcPr>
            <w:tcW w:w="1980" w:type="dxa"/>
            <w:vAlign w:val="bottom"/>
            <w:gridSpan w:val="3"/>
          </w:tcPr>
          <w:p>
            <w:pPr>
              <w:ind w:left="1080"/>
              <w:spacing w:after="0"/>
              <w:rPr>
                <w:sz w:val="20"/>
                <w:szCs w:val="20"/>
                <w:color w:val="auto"/>
              </w:rPr>
            </w:pPr>
            <w:r>
              <w:rPr>
                <w:rFonts w:ascii="Arial" w:cs="Arial" w:eastAsia="Arial" w:hAnsi="Arial"/>
                <w:sz w:val="18"/>
                <w:szCs w:val="18"/>
                <w:color w:val="auto"/>
              </w:rPr>
              <w:t>2016.</w:t>
            </w:r>
          </w:p>
        </w:tc>
        <w:tc>
          <w:tcPr>
            <w:tcW w:w="5840" w:type="dxa"/>
            <w:vAlign w:val="bottom"/>
          </w:tcPr>
          <w:p>
            <w:pPr>
              <w:spacing w:after="0"/>
              <w:rPr>
                <w:sz w:val="18"/>
                <w:szCs w:val="18"/>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31(a)</w:t>
            </w: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w w:val="99"/>
              </w:rPr>
              <w:t>Certifications Pursuant to Rule 13a-14(a), of the Exchange Act, as Adopted pursuant</w:t>
            </w:r>
          </w:p>
        </w:tc>
      </w:tr>
      <w:tr>
        <w:trPr>
          <w:trHeight w:val="217"/>
        </w:trPr>
        <w:tc>
          <w:tcPr>
            <w:tcW w:w="880" w:type="dxa"/>
            <w:vAlign w:val="bottom"/>
          </w:tcPr>
          <w:p>
            <w:pPr>
              <w:spacing w:after="0"/>
              <w:rPr>
                <w:sz w:val="18"/>
                <w:szCs w:val="18"/>
                <w:color w:val="auto"/>
              </w:rPr>
            </w:pP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to Section 302 of the Sarbanes-Oxley Act of 2002 – Lance M. Fritz.</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31(b)</w:t>
            </w: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w w:val="99"/>
              </w:rPr>
              <w:t>Certifications Pursuant to Rule 13a-14(a), of the Exchange Act, as Adopted pursuant</w:t>
            </w:r>
          </w:p>
        </w:tc>
      </w:tr>
      <w:tr>
        <w:trPr>
          <w:trHeight w:val="217"/>
        </w:trPr>
        <w:tc>
          <w:tcPr>
            <w:tcW w:w="880" w:type="dxa"/>
            <w:vAlign w:val="bottom"/>
          </w:tcPr>
          <w:p>
            <w:pPr>
              <w:spacing w:after="0"/>
              <w:rPr>
                <w:sz w:val="18"/>
                <w:szCs w:val="18"/>
                <w:color w:val="auto"/>
              </w:rPr>
            </w:pP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to Section 302 of the Sarbanes-Oxley Act of 2002 - Robert M. Knight, Jr.</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Certifications Pursuant to 18 U.S.C. Section 1350, as Adopted pursuant to Section</w:t>
            </w:r>
          </w:p>
        </w:tc>
      </w:tr>
      <w:tr>
        <w:trPr>
          <w:trHeight w:val="217"/>
        </w:trPr>
        <w:tc>
          <w:tcPr>
            <w:tcW w:w="880" w:type="dxa"/>
            <w:vAlign w:val="bottom"/>
          </w:tcPr>
          <w:p>
            <w:pPr>
              <w:spacing w:after="0"/>
              <w:rPr>
                <w:sz w:val="18"/>
                <w:szCs w:val="18"/>
                <w:color w:val="auto"/>
              </w:rPr>
            </w:pP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906 of the Sarbanes-Oxley Act of 2002 – Lance M. Fritz and Robert M. Knight, Jr.</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eXtensible  Business  Reporting  Language  (XBRL)  documents  submitted</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electronically: 101.INS (XBRL Instance Document), 101.SCH (XBRL Taxonomy</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Extension Schema Document), 101.CAL (XBRL Calculation Linkbase Document),</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101.LAB (XBRL Taxonomy Label Linkbase Document), 101.DEF (XBRL Taxonomy</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Definition  Linkbase  Document)  and  101.PRE  (XBRL  Taxonomy  Presentation</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Linkbase Document). The following financial and related information from Union</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Pacific Corporation’s Quarterly Report on Form 10-Q for the period ended June 30,</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2017 (filed with the SEC on July 20, 2017), is formatted in XBRL and submitted</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electronically herewith: (i) Condensed Consolidated Statements of Income for the</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periods ended June 30, 2017 and 2016, (ii) Condensed Consolidated Statements of</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Comprehensive Income for the periods ended June 30, 2017 and 2016, (iii)</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Condensed Consolidated Statements of Financial Position at June 30, 2017 and</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December 31, 2016, (iv) Condensed Consolidated Statements of Cash Flows for the</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periods ended June 30, 2017 and 2016, (v) Condensed Consolidated Statements of</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Changes in Common Shareholders’ Equity for the periods ended June 30, 2017 and</w:t>
            </w:r>
          </w:p>
        </w:tc>
      </w:tr>
      <w:tr>
        <w:trPr>
          <w:trHeight w:val="217"/>
        </w:trPr>
        <w:tc>
          <w:tcPr>
            <w:tcW w:w="880" w:type="dxa"/>
            <w:vAlign w:val="bottom"/>
          </w:tcPr>
          <w:p>
            <w:pPr>
              <w:spacing w:after="0"/>
              <w:rPr>
                <w:sz w:val="18"/>
                <w:szCs w:val="18"/>
                <w:color w:val="auto"/>
              </w:rPr>
            </w:pP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2016, and (vi) the Notes to the Condensed Consolidated Financial Statements.</w:t>
            </w:r>
          </w:p>
        </w:tc>
      </w:tr>
      <w:tr>
        <w:trPr>
          <w:trHeight w:val="311"/>
        </w:trPr>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Incorporated by Reference</w:t>
            </w:r>
          </w:p>
        </w:tc>
        <w:tc>
          <w:tcPr>
            <w:tcW w:w="6560" w:type="dxa"/>
            <w:vAlign w:val="bottom"/>
            <w:gridSpan w:val="2"/>
          </w:tcPr>
          <w:p>
            <w:pPr>
              <w:spacing w:after="0"/>
              <w:rPr>
                <w:sz w:val="24"/>
                <w:szCs w:val="24"/>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3(a)</w:t>
            </w: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Restated Articles of Incorporation of UPC, as amended and restated through June</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27, 2011, and as further amended May 15, 2014, are incorporated herein by</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reference to Exhibit 3(a) to the Corporation’s Quarterly Report on Form 10-Q for the</w:t>
            </w:r>
          </w:p>
        </w:tc>
      </w:tr>
      <w:tr>
        <w:trPr>
          <w:trHeight w:val="217"/>
        </w:trPr>
        <w:tc>
          <w:tcPr>
            <w:tcW w:w="880" w:type="dxa"/>
            <w:vAlign w:val="bottom"/>
          </w:tcPr>
          <w:p>
            <w:pPr>
              <w:spacing w:after="0"/>
              <w:rPr>
                <w:sz w:val="18"/>
                <w:szCs w:val="18"/>
                <w:color w:val="auto"/>
              </w:rPr>
            </w:pP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quarter ended June 30, 2014.</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3(b)</w:t>
            </w: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By-Laws of UPC, as amended, effective November 19, 2015, are incorporated</w:t>
            </w:r>
          </w:p>
        </w:tc>
      </w:tr>
      <w:tr>
        <w:trPr>
          <w:trHeight w:val="176"/>
        </w:trPr>
        <w:tc>
          <w:tcPr>
            <w:tcW w:w="880" w:type="dxa"/>
            <w:vAlign w:val="bottom"/>
          </w:tcPr>
          <w:p>
            <w:pPr>
              <w:spacing w:after="0"/>
              <w:rPr>
                <w:sz w:val="15"/>
                <w:szCs w:val="15"/>
                <w:color w:val="auto"/>
              </w:rPr>
            </w:pPr>
          </w:p>
        </w:tc>
        <w:tc>
          <w:tcPr>
            <w:tcW w:w="7820" w:type="dxa"/>
            <w:vAlign w:val="bottom"/>
            <w:gridSpan w:val="4"/>
          </w:tcPr>
          <w:p>
            <w:pPr>
              <w:ind w:left="1080"/>
              <w:spacing w:after="0" w:line="176" w:lineRule="exact"/>
              <w:rPr>
                <w:sz w:val="20"/>
                <w:szCs w:val="20"/>
                <w:color w:val="auto"/>
              </w:rPr>
            </w:pPr>
            <w:r>
              <w:rPr>
                <w:rFonts w:ascii="Arial" w:cs="Arial" w:eastAsia="Arial" w:hAnsi="Arial"/>
                <w:sz w:val="18"/>
                <w:szCs w:val="18"/>
                <w:color w:val="auto"/>
              </w:rPr>
              <w:t>herein by reference to Exhibit 3.2 to the Corporation’s Current Report on Form 8-K</w:t>
            </w:r>
          </w:p>
        </w:tc>
      </w:tr>
      <w:tr>
        <w:trPr>
          <w:trHeight w:val="217"/>
        </w:trPr>
        <w:tc>
          <w:tcPr>
            <w:tcW w:w="880" w:type="dxa"/>
            <w:vAlign w:val="bottom"/>
          </w:tcPr>
          <w:p>
            <w:pPr>
              <w:spacing w:after="0"/>
              <w:rPr>
                <w:sz w:val="18"/>
                <w:szCs w:val="18"/>
                <w:color w:val="auto"/>
              </w:rPr>
            </w:pPr>
          </w:p>
        </w:tc>
        <w:tc>
          <w:tcPr>
            <w:tcW w:w="7820" w:type="dxa"/>
            <w:vAlign w:val="bottom"/>
            <w:gridSpan w:val="4"/>
          </w:tcPr>
          <w:p>
            <w:pPr>
              <w:ind w:left="1080"/>
              <w:spacing w:after="0"/>
              <w:rPr>
                <w:sz w:val="20"/>
                <w:szCs w:val="20"/>
                <w:color w:val="auto"/>
              </w:rPr>
            </w:pPr>
            <w:r>
              <w:rPr>
                <w:rFonts w:ascii="Arial" w:cs="Arial" w:eastAsia="Arial" w:hAnsi="Arial"/>
                <w:sz w:val="18"/>
                <w:szCs w:val="18"/>
                <w:color w:val="auto"/>
              </w:rPr>
              <w:t>dated November 19,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left="100" w:right="99"/>
        <w:spacing w:after="0" w:line="22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July 20, 2017</w:t>
      </w:r>
    </w:p>
    <w:p>
      <w:pPr>
        <w:spacing w:after="0" w:line="144"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UNION PACIFIC CORPORATION (Registrant)</w:t>
      </w:r>
    </w:p>
    <w:p>
      <w:pPr>
        <w:spacing w:after="0" w:line="140"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M. Knight, Jr.</w:t>
      </w:r>
    </w:p>
    <w:p>
      <w:pPr>
        <w:ind w:left="620"/>
        <w:spacing w:after="0" w:line="203" w:lineRule="auto"/>
        <w:rPr>
          <w:sz w:val="20"/>
          <w:szCs w:val="20"/>
          <w:color w:val="auto"/>
        </w:rPr>
      </w:pPr>
      <w:r>
        <w:rPr>
          <w:rFonts w:ascii="Arial" w:cs="Arial" w:eastAsia="Arial" w:hAnsi="Arial"/>
          <w:sz w:val="18"/>
          <w:szCs w:val="18"/>
          <w:color w:val="auto"/>
        </w:rPr>
        <w:t>Robert M.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-109855</wp:posOffset>
            </wp:positionV>
            <wp:extent cx="2478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620"/>
        <w:spacing w:after="0" w:line="204" w:lineRule="auto"/>
        <w:rPr>
          <w:sz w:val="20"/>
          <w:szCs w:val="20"/>
          <w:color w:val="auto"/>
        </w:rPr>
      </w:pPr>
      <w:r>
        <w:rPr>
          <w:rFonts w:ascii="Arial" w:cs="Arial" w:eastAsia="Arial" w:hAnsi="Arial"/>
          <w:sz w:val="18"/>
          <w:szCs w:val="18"/>
          <w:color w:val="auto"/>
        </w:rPr>
        <w:t>Executive Vice President and</w:t>
      </w:r>
    </w:p>
    <w:p>
      <w:pPr>
        <w:ind w:left="62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(Principal Financial Officer)</w:t>
      </w:r>
    </w:p>
    <w:p>
      <w:pPr>
        <w:spacing w:after="0" w:line="126"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M. Rynaski</w:t>
      </w:r>
    </w:p>
    <w:p>
      <w:pPr>
        <w:ind w:left="620"/>
        <w:spacing w:after="0" w:line="203" w:lineRule="auto"/>
        <w:rPr>
          <w:sz w:val="20"/>
          <w:szCs w:val="20"/>
          <w:color w:val="auto"/>
        </w:rPr>
      </w:pPr>
      <w:r>
        <w:rPr>
          <w:rFonts w:ascii="Arial" w:cs="Arial" w:eastAsia="Arial" w:hAnsi="Arial"/>
          <w:sz w:val="18"/>
          <w:szCs w:val="18"/>
          <w:color w:val="auto"/>
        </w:rPr>
        <w:t>Todd M. Rynaski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-109855</wp:posOffset>
            </wp:positionV>
            <wp:extent cx="2478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620"/>
        <w:spacing w:after="0" w:line="204" w:lineRule="auto"/>
        <w:rPr>
          <w:sz w:val="20"/>
          <w:szCs w:val="20"/>
          <w:color w:val="auto"/>
        </w:rPr>
      </w:pPr>
      <w:r>
        <w:rPr>
          <w:rFonts w:ascii="Arial" w:cs="Arial" w:eastAsia="Arial" w:hAnsi="Arial"/>
          <w:sz w:val="18"/>
          <w:szCs w:val="18"/>
          <w:color w:val="auto"/>
        </w:rPr>
        <w:t>Vice President and Controller</w:t>
      </w:r>
    </w:p>
    <w:p>
      <w:pPr>
        <w:ind w:left="6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tbl>
      <w:tblPr>
        <w:tblLayout w:type="fixed"/>
        <w:tblInd w:w="10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Exhibit 12(a)</w:t>
            </w: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 (Unaudited)</w:t>
            </w: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5800" w:type="dxa"/>
            <w:vAlign w:val="bottom"/>
            <w:tcBorders>
              <w:bottom w:val="single" w:sz="8" w:color="7F7F7F"/>
            </w:tcBorders>
          </w:tcPr>
          <w:p>
            <w:pPr>
              <w:spacing w:after="0"/>
              <w:rPr>
                <w:sz w:val="10"/>
                <w:szCs w:val="10"/>
                <w:color w:val="auto"/>
              </w:rPr>
            </w:pPr>
          </w:p>
        </w:tc>
        <w:tc>
          <w:tcPr>
            <w:tcW w:w="1340" w:type="dxa"/>
            <w:vAlign w:val="bottom"/>
            <w:tcBorders>
              <w:bottom w:val="single" w:sz="8" w:color="7F7F7F"/>
            </w:tcBorders>
          </w:tcPr>
          <w:p>
            <w:pPr>
              <w:spacing w:after="0"/>
              <w:rPr>
                <w:sz w:val="10"/>
                <w:szCs w:val="10"/>
                <w:color w:val="auto"/>
              </w:rPr>
            </w:pPr>
          </w:p>
        </w:tc>
        <w:tc>
          <w:tcPr>
            <w:tcW w:w="600" w:type="dxa"/>
            <w:vAlign w:val="bottom"/>
            <w:tcBorders>
              <w:bottom w:val="single" w:sz="8" w:color="7F7F7F"/>
            </w:tcBorders>
          </w:tcPr>
          <w:p>
            <w:pPr>
              <w:spacing w:after="0"/>
              <w:rPr>
                <w:sz w:val="10"/>
                <w:szCs w:val="10"/>
                <w:color w:val="auto"/>
              </w:rPr>
            </w:pPr>
          </w:p>
        </w:tc>
        <w:tc>
          <w:tcPr>
            <w:tcW w:w="460" w:type="dxa"/>
            <w:vAlign w:val="bottom"/>
            <w:tcBorders>
              <w:bottom w:val="single" w:sz="8" w:color="7F7F7F"/>
            </w:tcBorders>
          </w:tcPr>
          <w:p>
            <w:pPr>
              <w:spacing w:after="0"/>
              <w:rPr>
                <w:sz w:val="10"/>
                <w:szCs w:val="10"/>
                <w:color w:val="auto"/>
              </w:rPr>
            </w:pPr>
          </w:p>
        </w:tc>
        <w:tc>
          <w:tcPr>
            <w:tcW w:w="62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800" w:type="dxa"/>
            <w:vAlign w:val="bottom"/>
          </w:tcPr>
          <w:p>
            <w:pPr>
              <w:spacing w:after="0"/>
              <w:rPr>
                <w:sz w:val="20"/>
                <w:szCs w:val="20"/>
                <w:color w:val="auto"/>
              </w:rPr>
            </w:pPr>
            <w:r>
              <w:rPr>
                <w:rFonts w:ascii="Arial" w:cs="Arial" w:eastAsia="Arial" w:hAnsi="Arial"/>
                <w:sz w:val="16"/>
                <w:szCs w:val="16"/>
                <w:i w:val="1"/>
                <w:iCs w:val="1"/>
                <w:color w:val="auto"/>
              </w:rPr>
              <w:t>Millions, Except for Ratios</w:t>
            </w:r>
          </w:p>
        </w:tc>
        <w:tc>
          <w:tcPr>
            <w:tcW w:w="13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4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Three Months Ended June 30,</w:t>
            </w:r>
          </w:p>
        </w:tc>
        <w:tc>
          <w:tcPr>
            <w:tcW w:w="134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vMerge w:val="continue"/>
          </w:tcPr>
          <w:p>
            <w:pPr>
              <w:spacing w:after="0"/>
              <w:rPr>
                <w:sz w:val="17"/>
                <w:szCs w:val="17"/>
                <w:color w:val="auto"/>
              </w:rPr>
            </w:pPr>
          </w:p>
        </w:tc>
        <w:tc>
          <w:tcPr>
            <w:tcW w:w="46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Fixed charges:</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Interest expense including amortization of debt discount</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179</w:t>
            </w:r>
          </w:p>
        </w:tc>
        <w:tc>
          <w:tcPr>
            <w:tcW w:w="46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Portion of rentals representing an interest factor</w:t>
            </w:r>
          </w:p>
        </w:tc>
        <w:tc>
          <w:tcPr>
            <w:tcW w:w="134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4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Total fixed charges</w:t>
            </w:r>
          </w:p>
        </w:tc>
        <w:tc>
          <w:tcPr>
            <w:tcW w:w="13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197</w:t>
            </w:r>
          </w:p>
        </w:tc>
        <w:tc>
          <w:tcPr>
            <w:tcW w:w="460" w:type="dxa"/>
            <w:vAlign w:val="bottom"/>
            <w:tcBorders>
              <w:bottom w:val="single" w:sz="8" w:color="7F7F7F"/>
            </w:tcBorders>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Earnings available for fixed charges:</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1,168</w:t>
            </w:r>
          </w:p>
        </w:tc>
        <w:tc>
          <w:tcPr>
            <w:tcW w:w="46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earnings net of distributions</w:t>
            </w:r>
          </w:p>
        </w:tc>
        <w:tc>
          <w:tcPr>
            <w:tcW w:w="1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7"/>
              <w:spacing w:after="0"/>
              <w:rPr>
                <w:sz w:val="20"/>
                <w:szCs w:val="20"/>
                <w:color w:val="auto"/>
              </w:rPr>
            </w:pPr>
            <w:r>
              <w:rPr>
                <w:rFonts w:ascii="Arial" w:cs="Arial" w:eastAsia="Arial" w:hAnsi="Arial"/>
                <w:sz w:val="16"/>
                <w:szCs w:val="16"/>
                <w:b w:val="1"/>
                <w:bCs w:val="1"/>
                <w:color w:val="auto"/>
              </w:rPr>
              <w:t>(6)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Income taxes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701</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Fixed charges</w:t>
            </w:r>
          </w:p>
        </w:tc>
        <w:tc>
          <w:tcPr>
            <w:tcW w:w="134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w:t>
            </w:r>
          </w:p>
        </w:tc>
        <w:tc>
          <w:tcPr>
            <w:tcW w:w="4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Earnings available for fixed charges</w:t>
            </w:r>
          </w:p>
        </w:tc>
        <w:tc>
          <w:tcPr>
            <w:tcW w:w="13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2,060</w:t>
            </w:r>
          </w:p>
        </w:tc>
        <w:tc>
          <w:tcPr>
            <w:tcW w:w="460" w:type="dxa"/>
            <w:vAlign w:val="bottom"/>
            <w:tcBorders>
              <w:bottom w:val="single" w:sz="8" w:color="7F7F7F"/>
            </w:tcBorders>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6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Ratio of earnings to fixed charges</w:t>
            </w: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w:t>
            </w:r>
          </w:p>
        </w:tc>
        <w:tc>
          <w:tcPr>
            <w:tcW w:w="4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54"/>
        </w:trPr>
        <w:tc>
          <w:tcPr>
            <w:tcW w:w="5800" w:type="dxa"/>
            <w:vAlign w:val="bottom"/>
            <w:shd w:val="clear" w:color="auto" w:fill="7F7F7F"/>
          </w:tcPr>
          <w:p>
            <w:pPr>
              <w:spacing w:after="0"/>
              <w:rPr>
                <w:sz w:val="4"/>
                <w:szCs w:val="4"/>
                <w:color w:val="auto"/>
              </w:rPr>
            </w:pPr>
          </w:p>
        </w:tc>
        <w:tc>
          <w:tcPr>
            <w:tcW w:w="134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c>
          <w:tcPr>
            <w:tcW w:w="46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tbl>
      <w:tblPr>
        <w:tblLayout w:type="fixed"/>
        <w:tblInd w:w="10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Exhibit 12(b)</w:t>
            </w: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 (Unaudited)</w:t>
            </w: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5800" w:type="dxa"/>
            <w:vAlign w:val="bottom"/>
            <w:tcBorders>
              <w:bottom w:val="single" w:sz="8" w:color="7F7F7F"/>
            </w:tcBorders>
          </w:tcPr>
          <w:p>
            <w:pPr>
              <w:spacing w:after="0"/>
              <w:rPr>
                <w:sz w:val="10"/>
                <w:szCs w:val="10"/>
                <w:color w:val="auto"/>
              </w:rPr>
            </w:pPr>
          </w:p>
        </w:tc>
        <w:tc>
          <w:tcPr>
            <w:tcW w:w="1340" w:type="dxa"/>
            <w:vAlign w:val="bottom"/>
            <w:tcBorders>
              <w:bottom w:val="single" w:sz="8" w:color="7F7F7F"/>
            </w:tcBorders>
          </w:tcPr>
          <w:p>
            <w:pPr>
              <w:spacing w:after="0"/>
              <w:rPr>
                <w:sz w:val="10"/>
                <w:szCs w:val="10"/>
                <w:color w:val="auto"/>
              </w:rPr>
            </w:pPr>
          </w:p>
        </w:tc>
        <w:tc>
          <w:tcPr>
            <w:tcW w:w="600" w:type="dxa"/>
            <w:vAlign w:val="bottom"/>
            <w:tcBorders>
              <w:bottom w:val="single" w:sz="8" w:color="7F7F7F"/>
            </w:tcBorders>
          </w:tcPr>
          <w:p>
            <w:pPr>
              <w:spacing w:after="0"/>
              <w:rPr>
                <w:sz w:val="10"/>
                <w:szCs w:val="10"/>
                <w:color w:val="auto"/>
              </w:rPr>
            </w:pPr>
          </w:p>
        </w:tc>
        <w:tc>
          <w:tcPr>
            <w:tcW w:w="460" w:type="dxa"/>
            <w:vAlign w:val="bottom"/>
            <w:tcBorders>
              <w:bottom w:val="single" w:sz="8" w:color="7F7F7F"/>
            </w:tcBorders>
          </w:tcPr>
          <w:p>
            <w:pPr>
              <w:spacing w:after="0"/>
              <w:rPr>
                <w:sz w:val="10"/>
                <w:szCs w:val="10"/>
                <w:color w:val="auto"/>
              </w:rPr>
            </w:pPr>
          </w:p>
        </w:tc>
        <w:tc>
          <w:tcPr>
            <w:tcW w:w="62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800" w:type="dxa"/>
            <w:vAlign w:val="bottom"/>
          </w:tcPr>
          <w:p>
            <w:pPr>
              <w:spacing w:after="0"/>
              <w:rPr>
                <w:sz w:val="20"/>
                <w:szCs w:val="20"/>
                <w:color w:val="auto"/>
              </w:rPr>
            </w:pPr>
            <w:r>
              <w:rPr>
                <w:rFonts w:ascii="Arial" w:cs="Arial" w:eastAsia="Arial" w:hAnsi="Arial"/>
                <w:sz w:val="16"/>
                <w:szCs w:val="16"/>
                <w:i w:val="1"/>
                <w:iCs w:val="1"/>
                <w:color w:val="auto"/>
              </w:rPr>
              <w:t>Millions, Except for Ratios</w:t>
            </w:r>
          </w:p>
        </w:tc>
        <w:tc>
          <w:tcPr>
            <w:tcW w:w="13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4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Six Months Ended June 30,</w:t>
            </w:r>
          </w:p>
        </w:tc>
        <w:tc>
          <w:tcPr>
            <w:tcW w:w="134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vMerge w:val="continue"/>
          </w:tcPr>
          <w:p>
            <w:pPr>
              <w:spacing w:after="0"/>
              <w:rPr>
                <w:sz w:val="17"/>
                <w:szCs w:val="17"/>
                <w:color w:val="auto"/>
              </w:rPr>
            </w:pPr>
          </w:p>
        </w:tc>
        <w:tc>
          <w:tcPr>
            <w:tcW w:w="46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Fixed charges:</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Interest expense including amortization of debt discount</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351</w:t>
            </w:r>
          </w:p>
        </w:tc>
        <w:tc>
          <w:tcPr>
            <w:tcW w:w="46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Portion of rentals representing an interest factor</w:t>
            </w:r>
          </w:p>
        </w:tc>
        <w:tc>
          <w:tcPr>
            <w:tcW w:w="134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4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Total fixed charges</w:t>
            </w:r>
          </w:p>
        </w:tc>
        <w:tc>
          <w:tcPr>
            <w:tcW w:w="13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389</w:t>
            </w:r>
          </w:p>
        </w:tc>
        <w:tc>
          <w:tcPr>
            <w:tcW w:w="460" w:type="dxa"/>
            <w:vAlign w:val="bottom"/>
            <w:tcBorders>
              <w:bottom w:val="single" w:sz="8" w:color="7F7F7F"/>
            </w:tcBorders>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Earnings available for fixed charges:</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2,240</w:t>
            </w:r>
          </w:p>
        </w:tc>
        <w:tc>
          <w:tcPr>
            <w:tcW w:w="46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earnings net of distributions</w:t>
            </w:r>
          </w:p>
        </w:tc>
        <w:tc>
          <w:tcPr>
            <w:tcW w:w="1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7"/>
              <w:spacing w:after="0"/>
              <w:rPr>
                <w:sz w:val="20"/>
                <w:szCs w:val="20"/>
                <w:color w:val="auto"/>
              </w:rPr>
            </w:pPr>
            <w:r>
              <w:rPr>
                <w:rFonts w:ascii="Arial" w:cs="Arial" w:eastAsia="Arial" w:hAnsi="Arial"/>
                <w:sz w:val="16"/>
                <w:szCs w:val="16"/>
                <w:b w:val="1"/>
                <w:bCs w:val="1"/>
                <w:color w:val="auto"/>
              </w:rPr>
              <w:t>(16)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Income taxes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1,317</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Fixed charges</w:t>
            </w:r>
          </w:p>
        </w:tc>
        <w:tc>
          <w:tcPr>
            <w:tcW w:w="134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w:t>
            </w:r>
          </w:p>
        </w:tc>
        <w:tc>
          <w:tcPr>
            <w:tcW w:w="4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Earnings available for fixed charges</w:t>
            </w:r>
          </w:p>
        </w:tc>
        <w:tc>
          <w:tcPr>
            <w:tcW w:w="13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3,930</w:t>
            </w:r>
          </w:p>
        </w:tc>
        <w:tc>
          <w:tcPr>
            <w:tcW w:w="460" w:type="dxa"/>
            <w:vAlign w:val="bottom"/>
            <w:tcBorders>
              <w:bottom w:val="single" w:sz="8" w:color="7F7F7F"/>
            </w:tcBorders>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26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Ratio of earnings to fixed charges</w:t>
            </w: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4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54"/>
        </w:trPr>
        <w:tc>
          <w:tcPr>
            <w:tcW w:w="5800" w:type="dxa"/>
            <w:vAlign w:val="bottom"/>
            <w:shd w:val="clear" w:color="auto" w:fill="7F7F7F"/>
          </w:tcPr>
          <w:p>
            <w:pPr>
              <w:spacing w:after="0"/>
              <w:rPr>
                <w:sz w:val="4"/>
                <w:szCs w:val="4"/>
                <w:color w:val="auto"/>
              </w:rPr>
            </w:pPr>
          </w:p>
        </w:tc>
        <w:tc>
          <w:tcPr>
            <w:tcW w:w="134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c>
          <w:tcPr>
            <w:tcW w:w="46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jc w:val="right"/>
        <w:ind w:right="99"/>
        <w:spacing w:after="0"/>
        <w:rPr>
          <w:sz w:val="20"/>
          <w:szCs w:val="20"/>
          <w:color w:val="auto"/>
        </w:rPr>
      </w:pPr>
      <w:r>
        <w:rPr>
          <w:rFonts w:ascii="Arial" w:cs="Arial" w:eastAsia="Arial" w:hAnsi="Arial"/>
          <w:sz w:val="18"/>
          <w:szCs w:val="18"/>
          <w:b w:val="1"/>
          <w:bCs w:val="1"/>
          <w:color w:val="auto"/>
        </w:rPr>
        <w:t>Exhibit 31(a)</w:t>
      </w:r>
    </w:p>
    <w:p>
      <w:pPr>
        <w:spacing w:after="0" w:line="144" w:lineRule="exact"/>
        <w:rPr>
          <w:sz w:val="20"/>
          <w:szCs w:val="20"/>
          <w:color w:val="auto"/>
        </w:rPr>
      </w:pPr>
    </w:p>
    <w:p>
      <w:pPr>
        <w:ind w:left="100" w:right="4319"/>
        <w:spacing w:after="0" w:line="419" w:lineRule="auto"/>
        <w:rPr>
          <w:sz w:val="20"/>
          <w:szCs w:val="20"/>
          <w:color w:val="auto"/>
        </w:rPr>
      </w:pPr>
      <w:r>
        <w:rPr>
          <w:rFonts w:ascii="Arial" w:cs="Arial" w:eastAsia="Arial" w:hAnsi="Arial"/>
          <w:sz w:val="18"/>
          <w:szCs w:val="18"/>
          <w:b w:val="1"/>
          <w:bCs w:val="1"/>
          <w:color w:val="auto"/>
        </w:rPr>
        <w:t xml:space="preserve">CERTIFICATION OF PRINCIPAL EXECUTIVE OFFICER </w:t>
      </w:r>
      <w:r>
        <w:rPr>
          <w:rFonts w:ascii="Arial" w:cs="Arial" w:eastAsia="Arial" w:hAnsi="Arial"/>
          <w:sz w:val="18"/>
          <w:szCs w:val="18"/>
          <w:color w:val="auto"/>
        </w:rPr>
        <w:t>I, Lance M. Fritz, certify that:</w:t>
      </w:r>
    </w:p>
    <w:p>
      <w:pPr>
        <w:spacing w:after="0" w:line="2" w:lineRule="exact"/>
        <w:rPr>
          <w:sz w:val="20"/>
          <w:szCs w:val="20"/>
          <w:color w:val="auto"/>
        </w:rPr>
      </w:pPr>
    </w:p>
    <w:p>
      <w:pPr>
        <w:ind w:left="300" w:hanging="195"/>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44" w:lineRule="exact"/>
        <w:rPr>
          <w:rFonts w:ascii="Arial" w:cs="Arial" w:eastAsia="Arial" w:hAnsi="Arial"/>
          <w:sz w:val="18"/>
          <w:szCs w:val="18"/>
          <w:color w:val="auto"/>
        </w:rPr>
      </w:pPr>
    </w:p>
    <w:p>
      <w:pPr>
        <w:jc w:val="both"/>
        <w:ind w:left="100" w:right="99" w:firstLine="5"/>
        <w:spacing w:after="0" w:line="219" w:lineRule="auto"/>
        <w:tabs>
          <w:tab w:leader="none" w:pos="3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100" w:right="99" w:firstLine="5"/>
        <w:spacing w:after="0" w:line="219"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100" w:right="99" w:firstLine="5"/>
        <w:spacing w:after="0" w:line="219"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jc w:val="both"/>
        <w:ind w:left="100" w:right="99" w:firstLine="5"/>
        <w:spacing w:after="0" w:line="219" w:lineRule="auto"/>
        <w:tabs>
          <w:tab w:leader="none" w:pos="3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760" w:right="99" w:hanging="331"/>
        <w:spacing w:after="0" w:line="227"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July 20, 2017</w:t>
      </w:r>
    </w:p>
    <w:p>
      <w:pPr>
        <w:spacing w:after="0" w:line="126"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/s/ Lance M. Fritz</w:t>
      </w:r>
    </w:p>
    <w:p>
      <w:pPr>
        <w:ind w:left="5020"/>
        <w:spacing w:after="0" w:line="203" w:lineRule="auto"/>
        <w:rPr>
          <w:sz w:val="20"/>
          <w:szCs w:val="20"/>
          <w:color w:val="auto"/>
        </w:rPr>
      </w:pPr>
      <w:r>
        <w:rPr>
          <w:rFonts w:ascii="Arial" w:cs="Arial" w:eastAsia="Arial" w:hAnsi="Arial"/>
          <w:sz w:val="18"/>
          <w:szCs w:val="18"/>
          <w:color w:val="auto"/>
        </w:rPr>
        <w:t>Lance M. Fritz</w:t>
      </w:r>
    </w:p>
    <w:p>
      <w:pPr>
        <w:ind w:left="5020"/>
        <w:spacing w:after="0" w:line="204" w:lineRule="auto"/>
        <w:rPr>
          <w:sz w:val="20"/>
          <w:szCs w:val="20"/>
          <w:color w:val="auto"/>
        </w:rPr>
      </w:pPr>
      <w:r>
        <w:rPr>
          <w:rFonts w:ascii="Arial" w:cs="Arial" w:eastAsia="Arial" w:hAnsi="Arial"/>
          <w:sz w:val="18"/>
          <w:szCs w:val="18"/>
          <w:color w:val="auto"/>
        </w:rPr>
        <w:t>Chairman, President and</w:t>
      </w:r>
    </w:p>
    <w:p>
      <w:pPr>
        <w:ind w:left="502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9" w:name="page40"/>
    <w:bookmarkEnd w:id="39"/>
    <w:p>
      <w:pPr>
        <w:jc w:val="right"/>
        <w:ind w:right="99"/>
        <w:spacing w:after="0"/>
        <w:rPr>
          <w:sz w:val="20"/>
          <w:szCs w:val="20"/>
          <w:color w:val="auto"/>
        </w:rPr>
      </w:pPr>
      <w:r>
        <w:rPr>
          <w:rFonts w:ascii="Arial" w:cs="Arial" w:eastAsia="Arial" w:hAnsi="Arial"/>
          <w:sz w:val="18"/>
          <w:szCs w:val="18"/>
          <w:b w:val="1"/>
          <w:bCs w:val="1"/>
          <w:color w:val="auto"/>
        </w:rPr>
        <w:t>Exhibit 31(b)</w:t>
      </w:r>
    </w:p>
    <w:p>
      <w:pPr>
        <w:spacing w:after="0" w:line="144" w:lineRule="exact"/>
        <w:rPr>
          <w:sz w:val="20"/>
          <w:szCs w:val="20"/>
          <w:color w:val="auto"/>
        </w:rPr>
      </w:pPr>
    </w:p>
    <w:p>
      <w:pPr>
        <w:ind w:left="100" w:right="4379"/>
        <w:spacing w:after="0" w:line="419" w:lineRule="auto"/>
        <w:rPr>
          <w:sz w:val="20"/>
          <w:szCs w:val="20"/>
          <w:color w:val="auto"/>
        </w:rPr>
      </w:pPr>
      <w:r>
        <w:rPr>
          <w:rFonts w:ascii="Arial" w:cs="Arial" w:eastAsia="Arial" w:hAnsi="Arial"/>
          <w:sz w:val="18"/>
          <w:szCs w:val="18"/>
          <w:b w:val="1"/>
          <w:bCs w:val="1"/>
          <w:color w:val="auto"/>
        </w:rPr>
        <w:t xml:space="preserve">CERTIFICATION OF PRINCIPAL FINANCIAL OFFICER </w:t>
      </w:r>
      <w:r>
        <w:rPr>
          <w:rFonts w:ascii="Arial" w:cs="Arial" w:eastAsia="Arial" w:hAnsi="Arial"/>
          <w:sz w:val="18"/>
          <w:szCs w:val="18"/>
          <w:color w:val="auto"/>
        </w:rPr>
        <w:t>I, Robert M. Knight, Jr., certify that:</w:t>
      </w:r>
    </w:p>
    <w:p>
      <w:pPr>
        <w:spacing w:after="0" w:line="2" w:lineRule="exact"/>
        <w:rPr>
          <w:sz w:val="20"/>
          <w:szCs w:val="20"/>
          <w:color w:val="auto"/>
        </w:rPr>
      </w:pPr>
    </w:p>
    <w:p>
      <w:pPr>
        <w:ind w:left="300" w:hanging="195"/>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44" w:lineRule="exact"/>
        <w:rPr>
          <w:rFonts w:ascii="Arial" w:cs="Arial" w:eastAsia="Arial" w:hAnsi="Arial"/>
          <w:sz w:val="18"/>
          <w:szCs w:val="18"/>
          <w:color w:val="auto"/>
        </w:rPr>
      </w:pPr>
    </w:p>
    <w:p>
      <w:pPr>
        <w:jc w:val="both"/>
        <w:ind w:left="100" w:right="99" w:firstLine="5"/>
        <w:spacing w:after="0" w:line="219" w:lineRule="auto"/>
        <w:tabs>
          <w:tab w:leader="none" w:pos="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100" w:right="99" w:firstLine="5"/>
        <w:spacing w:after="0" w:line="219"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100" w:right="99" w:firstLine="5"/>
        <w:spacing w:after="0" w:line="219"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jc w:val="both"/>
        <w:ind w:left="100" w:right="99" w:firstLine="5"/>
        <w:spacing w:after="0" w:line="219" w:lineRule="auto"/>
        <w:tabs>
          <w:tab w:leader="none" w:pos="3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760" w:right="99" w:hanging="331"/>
        <w:spacing w:after="0" w:line="227"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July 20, 2017</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8"/>
          <w:szCs w:val="18"/>
          <w:u w:val="single" w:color="auto"/>
          <w:color w:val="auto"/>
        </w:rPr>
        <w:t>/s/ Robert M. Knight, Jr.</w:t>
      </w:r>
    </w:p>
    <w:p>
      <w:pPr>
        <w:ind w:left="4640"/>
        <w:spacing w:after="0" w:line="203" w:lineRule="auto"/>
        <w:rPr>
          <w:sz w:val="20"/>
          <w:szCs w:val="20"/>
          <w:color w:val="auto"/>
        </w:rPr>
      </w:pPr>
      <w:r>
        <w:rPr>
          <w:rFonts w:ascii="Arial" w:cs="Arial" w:eastAsia="Arial" w:hAnsi="Arial"/>
          <w:sz w:val="18"/>
          <w:szCs w:val="18"/>
          <w:color w:val="auto"/>
        </w:rPr>
        <w:t>Robert M. Knight, Jr.</w:t>
      </w:r>
    </w:p>
    <w:p>
      <w:pPr>
        <w:ind w:left="4640"/>
        <w:spacing w:after="0" w:line="204" w:lineRule="auto"/>
        <w:rPr>
          <w:sz w:val="20"/>
          <w:szCs w:val="20"/>
          <w:color w:val="auto"/>
        </w:rPr>
      </w:pPr>
      <w:r>
        <w:rPr>
          <w:rFonts w:ascii="Arial" w:cs="Arial" w:eastAsia="Arial" w:hAnsi="Arial"/>
          <w:sz w:val="18"/>
          <w:szCs w:val="18"/>
          <w:color w:val="auto"/>
        </w:rPr>
        <w:t>Executive Vice President and</w:t>
      </w:r>
    </w:p>
    <w:p>
      <w:pPr>
        <w:ind w:left="4640"/>
        <w:spacing w:after="0"/>
        <w:rPr>
          <w:sz w:val="20"/>
          <w:szCs w:val="20"/>
          <w:color w:val="auto"/>
        </w:rPr>
      </w:pPr>
      <w:r>
        <w:rPr>
          <w:rFonts w:ascii="Arial" w:cs="Arial" w:eastAsia="Arial" w:hAnsi="Arial"/>
          <w:sz w:val="18"/>
          <w:szCs w:val="18"/>
          <w:color w:val="auto"/>
        </w:rPr>
        <w:t>Chief Financial Officer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jc w:val="right"/>
        <w:ind w:right="99"/>
        <w:spacing w:after="0"/>
        <w:rPr>
          <w:sz w:val="20"/>
          <w:szCs w:val="20"/>
          <w:color w:val="auto"/>
        </w:rPr>
      </w:pPr>
      <w:r>
        <w:rPr>
          <w:rFonts w:ascii="Arial" w:cs="Arial" w:eastAsia="Arial" w:hAnsi="Arial"/>
          <w:sz w:val="18"/>
          <w:szCs w:val="18"/>
          <w:b w:val="1"/>
          <w:bCs w:val="1"/>
          <w:color w:val="auto"/>
        </w:rPr>
        <w:t>Exhibit 32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June 30, 2017, as filed with the Securities and Exchange Commission on the date hereof (the Report), I, Lance M. Fritz, Chairman, President and Chief Executive Officer of the Corporation, certify, pursuant to 18 U.S.C. Section 1350, as adopted pursuant to Section 906 of the Sarbanes-Oxley Act of 2002, to the best of my knowledge, that:</w:t>
      </w:r>
    </w:p>
    <w:p>
      <w:pPr>
        <w:spacing w:after="0" w:line="135" w:lineRule="exact"/>
        <w:rPr>
          <w:sz w:val="20"/>
          <w:szCs w:val="20"/>
          <w:color w:val="auto"/>
        </w:rPr>
      </w:pPr>
    </w:p>
    <w:p>
      <w:pPr>
        <w:ind w:left="760" w:right="99" w:hanging="331"/>
        <w:spacing w:after="0" w:line="22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5" w:lineRule="exact"/>
        <w:rPr>
          <w:rFonts w:ascii="Arial" w:cs="Arial" w:eastAsia="Arial" w:hAnsi="Arial"/>
          <w:sz w:val="18"/>
          <w:szCs w:val="18"/>
          <w:color w:val="auto"/>
        </w:rPr>
      </w:pPr>
    </w:p>
    <w:p>
      <w:pPr>
        <w:ind w:left="760" w:right="99" w:hanging="331"/>
        <w:spacing w:after="0" w:line="22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Lance M. Fritz</w:t>
      </w:r>
    </w:p>
    <w:p>
      <w:pPr>
        <w:ind w:left="100"/>
        <w:spacing w:after="0" w:line="203" w:lineRule="auto"/>
        <w:rPr>
          <w:sz w:val="20"/>
          <w:szCs w:val="20"/>
          <w:color w:val="auto"/>
        </w:rPr>
      </w:pPr>
      <w:r>
        <w:rPr>
          <w:rFonts w:ascii="Arial" w:cs="Arial" w:eastAsia="Arial" w:hAnsi="Arial"/>
          <w:sz w:val="18"/>
          <w:szCs w:val="18"/>
          <w:color w:val="auto"/>
        </w:rPr>
        <w:t>Lance M. Fritz</w:t>
      </w:r>
    </w:p>
    <w:p>
      <w:pPr>
        <w:ind w:left="100"/>
        <w:spacing w:after="0" w:line="204" w:lineRule="auto"/>
        <w:rPr>
          <w:sz w:val="20"/>
          <w:szCs w:val="20"/>
          <w:color w:val="auto"/>
        </w:rPr>
      </w:pPr>
      <w:r>
        <w:rPr>
          <w:rFonts w:ascii="Arial" w:cs="Arial" w:eastAsia="Arial" w:hAnsi="Arial"/>
          <w:sz w:val="18"/>
          <w:szCs w:val="18"/>
          <w:color w:val="auto"/>
        </w:rPr>
        <w:t>Chairman, President and</w:t>
      </w:r>
    </w:p>
    <w:p>
      <w:pPr>
        <w:ind w:left="10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Union Pacific Corporation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July 20, 2017</w:t>
      </w:r>
    </w:p>
    <w:p>
      <w:pPr>
        <w:spacing w:after="0" w:line="144"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June 30, 2017, as filed with the Securities and Exchange Commission on the date hereof (the Report), I, Robert M. Knight, Jr., Executive Vice President and Chief Financial Officer of the Corporation, certify, pursuant to 18 U.S.C. Section 1350, as adopted pursuant to Section 906 of the Sarbanes-Oxley Act of 2002, to the best of my knowledge, that:</w:t>
      </w:r>
    </w:p>
    <w:p>
      <w:pPr>
        <w:spacing w:after="0" w:line="135" w:lineRule="exact"/>
        <w:rPr>
          <w:sz w:val="20"/>
          <w:szCs w:val="20"/>
          <w:color w:val="auto"/>
        </w:rPr>
      </w:pPr>
    </w:p>
    <w:p>
      <w:pPr>
        <w:ind w:left="760" w:right="99" w:hanging="331"/>
        <w:spacing w:after="0" w:line="22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5" w:lineRule="exact"/>
        <w:rPr>
          <w:rFonts w:ascii="Arial" w:cs="Arial" w:eastAsia="Arial" w:hAnsi="Arial"/>
          <w:sz w:val="18"/>
          <w:szCs w:val="18"/>
          <w:color w:val="auto"/>
        </w:rPr>
      </w:pPr>
    </w:p>
    <w:p>
      <w:pPr>
        <w:ind w:left="760" w:right="99" w:hanging="331"/>
        <w:spacing w:after="0" w:line="22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M. Knight, Jr.</w:t>
      </w:r>
    </w:p>
    <w:p>
      <w:pPr>
        <w:ind w:left="100"/>
        <w:spacing w:after="0" w:line="203" w:lineRule="auto"/>
        <w:rPr>
          <w:sz w:val="20"/>
          <w:szCs w:val="20"/>
          <w:color w:val="auto"/>
        </w:rPr>
      </w:pPr>
      <w:r>
        <w:rPr>
          <w:rFonts w:ascii="Arial" w:cs="Arial" w:eastAsia="Arial" w:hAnsi="Arial"/>
          <w:sz w:val="18"/>
          <w:szCs w:val="18"/>
          <w:color w:val="auto"/>
        </w:rPr>
        <w:t>Robert M. Knight, Jr.</w:t>
      </w:r>
    </w:p>
    <w:p>
      <w:pPr>
        <w:ind w:left="100"/>
        <w:spacing w:after="0" w:line="204" w:lineRule="auto"/>
        <w:rPr>
          <w:sz w:val="20"/>
          <w:szCs w:val="20"/>
          <w:color w:val="auto"/>
        </w:rPr>
      </w:pPr>
      <w:r>
        <w:rPr>
          <w:rFonts w:ascii="Arial" w:cs="Arial" w:eastAsia="Arial" w:hAnsi="Arial"/>
          <w:sz w:val="18"/>
          <w:szCs w:val="18"/>
          <w:color w:val="auto"/>
        </w:rPr>
        <w:t>Executive Vice President and</w:t>
      </w:r>
    </w:p>
    <w:p>
      <w:pPr>
        <w:ind w:left="10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Union Pacific Corporation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July 20, 2017</w:t>
      </w:r>
    </w:p>
    <w:p>
      <w:pPr>
        <w:spacing w:after="0" w:line="144"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2020-01-17T19:21:28Z</dcterms:created>
  <dcterms:modified xsi:type="dcterms:W3CDTF">2020-01-17T19:21:28Z</dcterms:modified>
</cp:coreProperties>
</file>