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wp:posOffset>
            </wp:positionH>
            <wp:positionV relativeFrom="paragraph">
              <wp:posOffset>318135</wp:posOffset>
            </wp:positionV>
            <wp:extent cx="60902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0285" cy="762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340995</wp:posOffset>
            </wp:positionV>
            <wp:extent cx="60902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02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(Mark One)</w:t>
      </w:r>
    </w:p>
    <w:p>
      <w:pPr>
        <w:spacing w:after="0" w:line="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40"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For the transition period from __________ to ____________</w:t>
      </w:r>
    </w:p>
    <w:p>
      <w:pPr>
        <w:spacing w:after="0" w:line="92" w:lineRule="exact"/>
        <w:rPr>
          <w:sz w:val="24"/>
          <w:szCs w:val="24"/>
          <w:color w:val="auto"/>
        </w:rPr>
      </w:pPr>
    </w:p>
    <w:p>
      <w:pPr>
        <w:ind w:left="4080"/>
        <w:spacing w:after="0"/>
        <w:rPr>
          <w:sz w:val="20"/>
          <w:szCs w:val="20"/>
          <w:color w:val="auto"/>
        </w:rPr>
      </w:pPr>
      <w:r>
        <w:rPr>
          <w:rFonts w:ascii="Arial" w:cs="Arial" w:eastAsia="Arial" w:hAnsi="Arial"/>
          <w:sz w:val="16"/>
          <w:szCs w:val="16"/>
          <w:b w:val="1"/>
          <w:bCs w:val="1"/>
          <w:i w:val="1"/>
          <w:iCs w:val="1"/>
          <w:color w:val="auto"/>
        </w:rPr>
        <w:t>Commission File Number 1-6075</w:t>
      </w:r>
    </w:p>
    <w:p>
      <w:pPr>
        <w:spacing w:after="0" w:line="90" w:lineRule="exact"/>
        <w:rPr>
          <w:sz w:val="24"/>
          <w:szCs w:val="24"/>
          <w:color w:val="auto"/>
        </w:rPr>
      </w:pPr>
    </w:p>
    <w:p>
      <w:pPr>
        <w:ind w:left="4100"/>
        <w:spacing w:after="0"/>
        <w:rPr>
          <w:sz w:val="20"/>
          <w:szCs w:val="20"/>
          <w:color w:val="auto"/>
        </w:rPr>
      </w:pPr>
      <w:r>
        <w:rPr>
          <w:rFonts w:ascii="Arial" w:cs="Arial" w:eastAsia="Arial" w:hAnsi="Arial"/>
          <w:sz w:val="16"/>
          <w:szCs w:val="16"/>
          <w:b w:val="1"/>
          <w:bCs w:val="1"/>
          <w:color w:val="auto"/>
        </w:rPr>
        <w:t>UNION PACIFIC CORPORATION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8" w:lineRule="exact"/>
        <w:rPr>
          <w:sz w:val="24"/>
          <w:szCs w:val="24"/>
          <w:color w:val="auto"/>
        </w:rPr>
      </w:pPr>
    </w:p>
    <w:tbl>
      <w:tblPr>
        <w:tblLayout w:type="fixed"/>
        <w:tblInd w:w="600" w:type="dxa"/>
        <w:tblCellMar>
          <w:top w:w="0" w:type="dxa"/>
          <w:left w:w="0" w:type="dxa"/>
          <w:bottom w:w="0" w:type="dxa"/>
          <w:right w:w="0" w:type="dxa"/>
        </w:tblCellMar>
      </w:tblPr>
      <w:tr>
        <w:trPr>
          <w:trHeight w:val="215"/>
        </w:trPr>
        <w:tc>
          <w:tcPr>
            <w:tcW w:w="5060" w:type="dxa"/>
            <w:vAlign w:val="bottom"/>
          </w:tcPr>
          <w:p>
            <w:pPr>
              <w:ind w:left="1860"/>
              <w:spacing w:after="0"/>
              <w:rPr>
                <w:sz w:val="20"/>
                <w:szCs w:val="20"/>
                <w:color w:val="auto"/>
              </w:rPr>
            </w:pPr>
            <w:r>
              <w:rPr>
                <w:rFonts w:ascii="Arial" w:cs="Arial" w:eastAsia="Arial" w:hAnsi="Arial"/>
                <w:sz w:val="16"/>
                <w:szCs w:val="16"/>
                <w:b w:val="1"/>
                <w:bCs w:val="1"/>
                <w:color w:val="auto"/>
              </w:rPr>
              <w:t>Utah</w:t>
            </w:r>
          </w:p>
        </w:tc>
        <w:tc>
          <w:tcPr>
            <w:tcW w:w="3440" w:type="dxa"/>
            <w:vAlign w:val="bottom"/>
          </w:tcPr>
          <w:p>
            <w:pPr>
              <w:jc w:val="right"/>
              <w:ind w:right="702"/>
              <w:spacing w:after="0"/>
              <w:rPr>
                <w:sz w:val="20"/>
                <w:szCs w:val="20"/>
                <w:color w:val="auto"/>
              </w:rPr>
            </w:pPr>
            <w:r>
              <w:rPr>
                <w:rFonts w:ascii="Arial" w:cs="Arial" w:eastAsia="Arial" w:hAnsi="Arial"/>
                <w:sz w:val="16"/>
                <w:szCs w:val="16"/>
                <w:b w:val="1"/>
                <w:bCs w:val="1"/>
                <w:color w:val="auto"/>
              </w:rPr>
              <w:t>13-2626465</w:t>
            </w:r>
          </w:p>
        </w:tc>
      </w:tr>
      <w:tr>
        <w:trPr>
          <w:trHeight w:val="220"/>
        </w:trPr>
        <w:tc>
          <w:tcPr>
            <w:tcW w:w="5060" w:type="dxa"/>
            <w:vAlign w:val="bottom"/>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440" w:type="dxa"/>
            <w:vAlign w:val="bottom"/>
          </w:tcPr>
          <w:p>
            <w:pPr>
              <w:jc w:val="right"/>
              <w:spacing w:after="0"/>
              <w:rPr>
                <w:sz w:val="20"/>
                <w:szCs w:val="20"/>
                <w:color w:val="auto"/>
              </w:rPr>
            </w:pPr>
            <w:r>
              <w:rPr>
                <w:rFonts w:ascii="Arial" w:cs="Arial" w:eastAsia="Arial" w:hAnsi="Arial"/>
                <w:sz w:val="16"/>
                <w:szCs w:val="16"/>
                <w:color w:val="auto"/>
              </w:rPr>
              <w:t>(I.R.S. Employer Identification No.)</w:t>
            </w:r>
          </w:p>
        </w:tc>
      </w:tr>
      <w:tr>
        <w:trPr>
          <w:trHeight w:val="356"/>
        </w:trPr>
        <w:tc>
          <w:tcPr>
            <w:tcW w:w="5060" w:type="dxa"/>
            <w:vAlign w:val="bottom"/>
          </w:tcPr>
          <w:p>
            <w:pPr>
              <w:jc w:val="center"/>
              <w:ind w:right="822"/>
              <w:spacing w:after="0"/>
              <w:rPr>
                <w:sz w:val="20"/>
                <w:szCs w:val="20"/>
                <w:color w:val="auto"/>
              </w:rPr>
            </w:pPr>
            <w:r>
              <w:rPr>
                <w:rFonts w:ascii="Arial" w:cs="Arial" w:eastAsia="Arial" w:hAnsi="Arial"/>
                <w:sz w:val="16"/>
                <w:szCs w:val="16"/>
                <w:b w:val="1"/>
                <w:bCs w:val="1"/>
                <w:color w:val="auto"/>
                <w:w w:val="96"/>
              </w:rPr>
              <w:t>1400 Douglas Street, Omaha, Nebraska</w:t>
            </w:r>
          </w:p>
        </w:tc>
        <w:tc>
          <w:tcPr>
            <w:tcW w:w="3440" w:type="dxa"/>
            <w:vAlign w:val="bottom"/>
          </w:tcPr>
          <w:p>
            <w:pPr>
              <w:jc w:val="right"/>
              <w:ind w:right="862"/>
              <w:spacing w:after="0"/>
              <w:rPr>
                <w:sz w:val="20"/>
                <w:szCs w:val="20"/>
                <w:color w:val="auto"/>
              </w:rPr>
            </w:pPr>
            <w:r>
              <w:rPr>
                <w:rFonts w:ascii="Arial" w:cs="Arial" w:eastAsia="Arial" w:hAnsi="Arial"/>
                <w:sz w:val="16"/>
                <w:szCs w:val="16"/>
                <w:b w:val="1"/>
                <w:bCs w:val="1"/>
                <w:color w:val="auto"/>
              </w:rPr>
              <w:t>68179</w:t>
            </w:r>
          </w:p>
        </w:tc>
      </w:tr>
      <w:tr>
        <w:trPr>
          <w:trHeight w:val="220"/>
        </w:trPr>
        <w:tc>
          <w:tcPr>
            <w:tcW w:w="5060" w:type="dxa"/>
            <w:vAlign w:val="bottom"/>
          </w:tcPr>
          <w:p>
            <w:pPr>
              <w:jc w:val="center"/>
              <w:ind w:right="842"/>
              <w:spacing w:after="0"/>
              <w:rPr>
                <w:sz w:val="20"/>
                <w:szCs w:val="20"/>
                <w:color w:val="auto"/>
              </w:rPr>
            </w:pPr>
            <w:r>
              <w:rPr>
                <w:rFonts w:ascii="Arial" w:cs="Arial" w:eastAsia="Arial" w:hAnsi="Arial"/>
                <w:sz w:val="16"/>
                <w:szCs w:val="16"/>
                <w:color w:val="auto"/>
                <w:w w:val="97"/>
              </w:rPr>
              <w:t>(Address of principal executive offices)</w:t>
            </w:r>
          </w:p>
        </w:tc>
        <w:tc>
          <w:tcPr>
            <w:tcW w:w="3440" w:type="dxa"/>
            <w:vAlign w:val="bottom"/>
          </w:tcPr>
          <w:p>
            <w:pPr>
              <w:jc w:val="right"/>
              <w:ind w:right="702"/>
              <w:spacing w:after="0"/>
              <w:rPr>
                <w:sz w:val="20"/>
                <w:szCs w:val="20"/>
                <w:color w:val="auto"/>
              </w:rPr>
            </w:pPr>
            <w:r>
              <w:rPr>
                <w:rFonts w:ascii="Arial" w:cs="Arial" w:eastAsia="Arial" w:hAnsi="Arial"/>
                <w:sz w:val="16"/>
                <w:szCs w:val="16"/>
                <w:color w:val="auto"/>
              </w:rPr>
              <w:t>(Zip Code)</w:t>
            </w:r>
          </w:p>
        </w:tc>
      </w:tr>
    </w:tbl>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(402) 544-5000</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05"/>
        </w:trPr>
        <w:tc>
          <w:tcPr>
            <w:tcW w:w="4200" w:type="dxa"/>
            <w:vAlign w:val="bottom"/>
            <w:gridSpan w:val="3"/>
          </w:tcPr>
          <w:p>
            <w:pPr>
              <w:jc w:val="center"/>
              <w:ind w:right="2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190"/>
        </w:trPr>
        <w:tc>
          <w:tcPr>
            <w:tcW w:w="13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Title of each Class</w:t>
            </w:r>
          </w:p>
        </w:tc>
        <w:tc>
          <w:tcPr>
            <w:tcW w:w="1580" w:type="dxa"/>
            <w:vAlign w:val="bottom"/>
          </w:tcPr>
          <w:p>
            <w:pPr>
              <w:spacing w:after="0"/>
              <w:rPr>
                <w:sz w:val="16"/>
                <w:szCs w:val="16"/>
                <w:color w:val="auto"/>
              </w:rPr>
            </w:pPr>
          </w:p>
        </w:tc>
        <w:tc>
          <w:tcPr>
            <w:tcW w:w="1340" w:type="dxa"/>
            <w:vAlign w:val="bottom"/>
            <w:gridSpan w:val="2"/>
          </w:tcPr>
          <w:p>
            <w:pPr>
              <w:jc w:val="center"/>
              <w:ind w:left="162"/>
              <w:spacing w:after="0"/>
              <w:rPr>
                <w:sz w:val="20"/>
                <w:szCs w:val="20"/>
                <w:color w:val="auto"/>
              </w:rPr>
            </w:pPr>
            <w:r>
              <w:rPr>
                <w:rFonts w:ascii="Arial" w:cs="Arial" w:eastAsia="Arial" w:hAnsi="Arial"/>
                <w:sz w:val="16"/>
                <w:szCs w:val="16"/>
                <w:color w:val="auto"/>
                <w:w w:val="98"/>
              </w:rPr>
              <w:t>Trading Symbol</w:t>
            </w:r>
          </w:p>
        </w:tc>
        <w:tc>
          <w:tcPr>
            <w:tcW w:w="116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7"/>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46"/>
        </w:trPr>
        <w:tc>
          <w:tcPr>
            <w:tcW w:w="4200" w:type="dxa"/>
            <w:vAlign w:val="bottom"/>
            <w:gridSpan w:val="3"/>
          </w:tcPr>
          <w:p>
            <w:pPr>
              <w:jc w:val="center"/>
              <w:ind w:right="260"/>
              <w:spacing w:after="0"/>
              <w:rPr>
                <w:sz w:val="20"/>
                <w:szCs w:val="20"/>
                <w:color w:val="auto"/>
              </w:rPr>
            </w:pPr>
            <w:r>
              <w:rPr>
                <w:rFonts w:ascii="Arial" w:cs="Arial" w:eastAsia="Arial" w:hAnsi="Arial"/>
                <w:sz w:val="16"/>
                <w:szCs w:val="16"/>
                <w:color w:val="auto"/>
                <w:w w:val="97"/>
              </w:rPr>
              <w:t>Common Stock (Par Value $2.50 per share)</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UNP</w:t>
            </w:r>
          </w:p>
        </w:tc>
        <w:tc>
          <w:tcPr>
            <w:tcW w:w="11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7"/>
              </w:rPr>
              <w:t>New York Stock Exchange</w:t>
            </w:r>
          </w:p>
        </w:tc>
      </w:tr>
    </w:tbl>
    <w:p>
      <w:pPr>
        <w:spacing w:after="0" w:line="95"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tabs>
          <w:tab w:leader="none" w:pos="2700" w:val="left"/>
          <w:tab w:leader="none" w:pos="314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4"/>
          <w:szCs w:val="14"/>
          <w:color w:val="auto"/>
        </w:rPr>
        <w:t>No</w:t>
      </w:r>
    </w:p>
    <w:p>
      <w:pPr>
        <w:spacing w:after="0" w:line="138"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tabs>
          <w:tab w:leader="none" w:pos="700" w:val="left"/>
          <w:tab w:leader="none" w:pos="1140" w:val="left"/>
        </w:tabs>
        <w:rPr>
          <w:sz w:val="20"/>
          <w:szCs w:val="20"/>
          <w:color w:val="auto"/>
        </w:rPr>
      </w:pPr>
      <w:r>
        <w:rPr>
          <w:rFonts w:ascii="Arial" w:cs="Arial" w:eastAsia="Arial" w:hAnsi="Arial"/>
          <w:sz w:val="16"/>
          <w:szCs w:val="16"/>
          <w:color w:val="auto"/>
        </w:rPr>
        <w:t>files).</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4"/>
          <w:szCs w:val="14"/>
          <w:color w:val="auto"/>
        </w:rPr>
        <w:t>No</w:t>
      </w:r>
    </w:p>
    <w:p>
      <w:pPr>
        <w:spacing w:after="0" w:line="138" w:lineRule="exact"/>
        <w:rPr>
          <w:sz w:val="24"/>
          <w:szCs w:val="24"/>
          <w:color w:val="auto"/>
        </w:rPr>
      </w:pPr>
    </w:p>
    <w:p>
      <w:pPr>
        <w:jc w:val="both"/>
        <w:ind w:right="6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80"/>
          </w:cols>
          <w:pgMar w:left="660" w:top="557" w:right="660" w:bottom="1440" w:gutter="0" w:footer="0" w:header="0"/>
        </w:sectPr>
      </w:pPr>
    </w:p>
    <w:p>
      <w:pPr>
        <w:spacing w:after="0" w:line="18" w:lineRule="exact"/>
        <w:rPr>
          <w:sz w:val="24"/>
          <w:szCs w:val="24"/>
          <w:color w:val="auto"/>
        </w:rPr>
      </w:pPr>
    </w:p>
    <w:p>
      <w:pPr>
        <w:ind w:left="4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Non-Accelerated Filer</w:t>
      </w:r>
    </w:p>
    <w:p>
      <w:pPr>
        <w:spacing w:after="0" w:line="67" w:lineRule="exact"/>
        <w:rPr>
          <w:sz w:val="24"/>
          <w:szCs w:val="24"/>
          <w:color w:val="auto"/>
        </w:rPr>
      </w:pPr>
    </w:p>
    <w:p>
      <w:pPr>
        <w:sectPr>
          <w:pgSz w:w="11900" w:h="16840" w:orient="portrait"/>
          <w:cols w:equalWidth="0" w:num="3">
            <w:col w:w="2780" w:space="720"/>
            <w:col w:w="2320" w:space="720"/>
            <w:col w:w="4040"/>
          </w:cols>
          <w:pgMar w:left="660" w:top="557" w:right="660"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0" w:lineRule="exact"/>
        <w:rPr>
          <w:sz w:val="24"/>
          <w:szCs w:val="24"/>
          <w:color w:val="auto"/>
        </w:rPr>
      </w:pPr>
    </w:p>
    <w:p>
      <w:pPr>
        <w:sectPr>
          <w:pgSz w:w="11900" w:h="16840" w:orient="portrait"/>
          <w:cols w:equalWidth="0" w:num="2">
            <w:col w:w="2780" w:space="720"/>
            <w:col w:w="7080"/>
          </w:cols>
          <w:pgMar w:left="660" w:top="557" w:right="660" w:bottom="1440" w:gutter="0" w:footer="0" w:header="0"/>
          <w:type w:val="continuous"/>
        </w:sectPr>
      </w:pPr>
    </w:p>
    <w:p>
      <w:pPr>
        <w:spacing w:after="0" w:line="11" w:lineRule="exact"/>
        <w:rPr>
          <w:sz w:val="24"/>
          <w:szCs w:val="24"/>
          <w:color w:val="auto"/>
        </w:rPr>
      </w:pPr>
    </w:p>
    <w:p>
      <w:pPr>
        <w:ind w:right="20"/>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 w:lineRule="exact"/>
        <w:rPr>
          <w:sz w:val="24"/>
          <w:szCs w:val="24"/>
          <w:color w:val="auto"/>
        </w:rPr>
      </w:pPr>
    </w:p>
    <w:p>
      <w:pPr>
        <w:ind w:left="9920"/>
        <w:spacing w:after="0"/>
        <w:tabs>
          <w:tab w:leader="none" w:pos="10340" w:val="left"/>
        </w:tabs>
        <w:rPr>
          <w:sz w:val="20"/>
          <w:szCs w:val="20"/>
          <w:color w:val="auto"/>
        </w:rPr>
      </w:pPr>
      <w:r>
        <w:rPr>
          <w:rFonts w:ascii="Arial" w:cs="Arial" w:eastAsia="Arial" w:hAnsi="Arial"/>
          <w:sz w:val="14"/>
          <w:szCs w:val="14"/>
          <w:color w:val="auto"/>
        </w:rPr>
        <w:t>Yes</w:t>
        <w:tab/>
        <w:t>No</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As of October 17, 2025, there were 593,160,889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66998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88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33655</wp:posOffset>
            </wp:positionV>
            <wp:extent cx="66998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885" cy="762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280" w:type="dxa"/>
            <w:vAlign w:val="bottom"/>
            <w:gridSpan w:val="29"/>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9"/>
        </w:trPr>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13"/>
          </w:tcPr>
          <w:p>
            <w:pPr>
              <w:jc w:val="center"/>
              <w:ind w:right="2880"/>
              <w:spacing w:after="0"/>
              <w:rPr>
                <w:sz w:val="20"/>
                <w:szCs w:val="20"/>
                <w:color w:val="auto"/>
              </w:rPr>
            </w:pPr>
            <w:r>
              <w:rPr>
                <w:rFonts w:ascii="Arial" w:cs="Arial" w:eastAsia="Arial" w:hAnsi="Arial"/>
                <w:sz w:val="16"/>
                <w:szCs w:val="16"/>
                <w:b w:val="1"/>
                <w:bCs w:val="1"/>
                <w:color w:val="auto"/>
                <w:w w:val="97"/>
              </w:rPr>
              <w:t>TABLE OF CONTENTS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gridSpan w:val="15"/>
          </w:tcPr>
          <w:p>
            <w:pPr>
              <w:jc w:val="center"/>
              <w:ind w:right="2680"/>
              <w:spacing w:after="0" w:line="180" w:lineRule="exact"/>
              <w:rPr>
                <w:sz w:val="20"/>
                <w:szCs w:val="20"/>
                <w:color w:val="auto"/>
              </w:rPr>
            </w:pPr>
            <w:r>
              <w:rPr>
                <w:rFonts w:ascii="Arial" w:cs="Arial" w:eastAsia="Arial" w:hAnsi="Arial"/>
                <w:sz w:val="16"/>
                <w:szCs w:val="16"/>
                <w:b w:val="1"/>
                <w:bCs w:val="1"/>
                <w:color w:val="auto"/>
                <w:w w:val="97"/>
              </w:rPr>
              <w:t>UNION PACIFIC CORPORATION</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gridSpan w:val="14"/>
          </w:tcPr>
          <w:p>
            <w:pPr>
              <w:jc w:val="center"/>
              <w:ind w:right="2840"/>
              <w:spacing w:after="0"/>
              <w:rPr>
                <w:sz w:val="20"/>
                <w:szCs w:val="20"/>
                <w:color w:val="auto"/>
              </w:rPr>
            </w:pPr>
            <w:r>
              <w:rPr>
                <w:rFonts w:ascii="Arial" w:cs="Arial" w:eastAsia="Arial" w:hAnsi="Arial"/>
                <w:sz w:val="16"/>
                <w:szCs w:val="16"/>
                <w:b w:val="1"/>
                <w:bCs w:val="1"/>
                <w:color w:val="auto"/>
                <w:w w:val="97"/>
              </w:rPr>
              <w:t>AND SUBSIDIARY COMPANIES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Borders>
              <w:bottom w:val="single" w:sz="8" w:color="0000FF"/>
            </w:tcBorders>
            <w:gridSpan w:val="10"/>
          </w:tcPr>
          <w:p>
            <w:pPr>
              <w:jc w:val="center"/>
              <w:ind w:right="20"/>
              <w:spacing w:after="0"/>
              <w:rPr>
                <w:rFonts w:ascii="Arial" w:cs="Arial" w:eastAsia="Arial" w:hAnsi="Arial"/>
                <w:sz w:val="16"/>
                <w:szCs w:val="16"/>
                <w:b w:val="1"/>
                <w:bCs w:val="1"/>
                <w:color w:val="0000FF"/>
                <w:w w:val="97"/>
              </w:rPr>
            </w:pPr>
            <w:hyperlink w:anchor="page2">
              <w:r>
                <w:rPr>
                  <w:rFonts w:ascii="Arial" w:cs="Arial" w:eastAsia="Arial" w:hAnsi="Arial"/>
                  <w:sz w:val="16"/>
                  <w:szCs w:val="16"/>
                  <w:b w:val="1"/>
                  <w:bCs w:val="1"/>
                  <w:color w:val="0000FF"/>
                  <w:w w:val="97"/>
                </w:rPr>
                <w:t>PART I. FINANCIAL INFORMATION</w:t>
              </w:r>
            </w:hyperlink>
          </w:p>
        </w:tc>
        <w:tc>
          <w:tcPr>
            <w:tcW w:w="270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
              <w:r>
                <w:rPr>
                  <w:rFonts w:ascii="Arial" w:cs="Arial" w:eastAsia="Arial" w:hAnsi="Arial"/>
                  <w:sz w:val="16"/>
                  <w:szCs w:val="16"/>
                  <w:color w:val="auto"/>
                </w:rPr>
                <w:t>Item 1.</w:t>
              </w:r>
            </w:hyperlink>
          </w:p>
        </w:tc>
        <w:tc>
          <w:tcPr>
            <w:tcW w:w="3300" w:type="dxa"/>
            <w:vAlign w:val="bottom"/>
            <w:tcBorders>
              <w:bottom w:val="single" w:sz="8" w:color="0000FF"/>
            </w:tcBorders>
            <w:gridSpan w:val="13"/>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Condensed Consolidated Financial Statements:</w:t>
              </w:r>
            </w:hyperlink>
          </w:p>
        </w:tc>
        <w:tc>
          <w:tcPr>
            <w:tcW w:w="512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Borders>
              <w:bottom w:val="single" w:sz="8" w:color="0000FF"/>
            </w:tcBorders>
            <w:gridSpan w:val="18"/>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CONDENSED CONSOLIDATED STATEMENTS OF INCOME (Unaudited)</w:t>
              </w:r>
            </w:hyperlink>
          </w:p>
        </w:tc>
        <w:tc>
          <w:tcPr>
            <w:tcW w:w="3120" w:type="dxa"/>
            <w:vAlign w:val="bottom"/>
            <w:gridSpan w:val="7"/>
          </w:tcPr>
          <w:p>
            <w:pPr>
              <w:spacing w:after="0"/>
              <w:rPr>
                <w:sz w:val="18"/>
                <w:szCs w:val="18"/>
                <w:color w:val="auto"/>
              </w:rPr>
            </w:pPr>
          </w:p>
        </w:tc>
        <w:tc>
          <w:tcPr>
            <w:tcW w:w="960" w:type="dxa"/>
            <w:vAlign w:val="bottom"/>
            <w:gridSpan w:val="3"/>
            <w:vMerge w:val="restart"/>
          </w:tcPr>
          <w:p>
            <w:pPr>
              <w:ind w:left="80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14"/>
          </w:tcPr>
          <w:p>
            <w:pPr>
              <w:spacing w:after="0" w:line="160" w:lineRule="exact"/>
              <w:rPr>
                <w:rFonts w:ascii="Arial" w:cs="Arial" w:eastAsia="Arial" w:hAnsi="Arial"/>
                <w:sz w:val="16"/>
                <w:szCs w:val="16"/>
                <w:color w:val="0000FF"/>
                <w:w w:val="96"/>
              </w:rPr>
            </w:pPr>
            <w:hyperlink w:anchor="page3">
              <w:r>
                <w:rPr>
                  <w:rFonts w:ascii="Arial" w:cs="Arial" w:eastAsia="Arial" w:hAnsi="Arial"/>
                  <w:sz w:val="16"/>
                  <w:szCs w:val="16"/>
                  <w:color w:val="0000FF"/>
                  <w:w w:val="96"/>
                </w:rPr>
                <w:t>For the three months ended September 30, 2025 and 2024</w:t>
              </w:r>
            </w:hyperlink>
          </w:p>
        </w:tc>
        <w:tc>
          <w:tcPr>
            <w:tcW w:w="3940" w:type="dxa"/>
            <w:vAlign w:val="bottom"/>
            <w:gridSpan w:val="9"/>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Borders>
              <w:bottom w:val="single" w:sz="8" w:color="0000FF"/>
            </w:tcBorders>
            <w:gridSpan w:val="24"/>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CONDENSED CONSOLIDATED STATEMENTS OF COMPREHENSIVE INCOME (Unaudited)</w:t>
              </w:r>
            </w:hyperlink>
          </w:p>
        </w:tc>
        <w:tc>
          <w:tcPr>
            <w:tcW w:w="1700" w:type="dxa"/>
            <w:vAlign w:val="bottom"/>
          </w:tcPr>
          <w:p>
            <w:pPr>
              <w:spacing w:after="0"/>
              <w:rPr>
                <w:sz w:val="24"/>
                <w:szCs w:val="24"/>
                <w:color w:val="auto"/>
              </w:rPr>
            </w:pPr>
          </w:p>
        </w:tc>
        <w:tc>
          <w:tcPr>
            <w:tcW w:w="960" w:type="dxa"/>
            <w:vAlign w:val="bottom"/>
            <w:gridSpan w:val="3"/>
            <w:vMerge w:val="restart"/>
          </w:tcPr>
          <w:p>
            <w:pPr>
              <w:ind w:left="800"/>
              <w:spacing w:after="0"/>
              <w:rPr>
                <w:sz w:val="20"/>
                <w:szCs w:val="20"/>
                <w:color w:val="auto"/>
              </w:rPr>
            </w:pPr>
            <w:r>
              <w:rPr>
                <w:rFonts w:ascii="Arial" w:cs="Arial" w:eastAsia="Arial" w:hAnsi="Arial"/>
                <w:sz w:val="16"/>
                <w:szCs w:val="16"/>
                <w:color w:val="0000FF"/>
              </w:rPr>
              <w:t>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14"/>
          </w:tcPr>
          <w:p>
            <w:pPr>
              <w:spacing w:after="0" w:line="160" w:lineRule="exact"/>
              <w:rPr>
                <w:rFonts w:ascii="Arial" w:cs="Arial" w:eastAsia="Arial" w:hAnsi="Arial"/>
                <w:sz w:val="16"/>
                <w:szCs w:val="16"/>
                <w:color w:val="0000FF"/>
                <w:w w:val="96"/>
              </w:rPr>
            </w:pPr>
            <w:hyperlink w:anchor="page3">
              <w:r>
                <w:rPr>
                  <w:rFonts w:ascii="Arial" w:cs="Arial" w:eastAsia="Arial" w:hAnsi="Arial"/>
                  <w:sz w:val="16"/>
                  <w:szCs w:val="16"/>
                  <w:color w:val="0000FF"/>
                  <w:w w:val="96"/>
                </w:rPr>
                <w:t>For the three months ended September 30, 2025 and 2024</w:t>
              </w:r>
            </w:hyperlink>
          </w:p>
        </w:tc>
        <w:tc>
          <w:tcPr>
            <w:tcW w:w="3940" w:type="dxa"/>
            <w:vAlign w:val="bottom"/>
            <w:gridSpan w:val="9"/>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bottom w:val="single" w:sz="8" w:color="0000FF"/>
            </w:tcBorders>
            <w:gridSpan w:val="18"/>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CONDENSED CONSOLIDATED STATEMENTS OF INCOME (Unaudited)</w:t>
              </w:r>
            </w:hyperlink>
          </w:p>
        </w:tc>
        <w:tc>
          <w:tcPr>
            <w:tcW w:w="3120" w:type="dxa"/>
            <w:vAlign w:val="bottom"/>
            <w:gridSpan w:val="7"/>
          </w:tcPr>
          <w:p>
            <w:pPr>
              <w:spacing w:after="0"/>
              <w:rPr>
                <w:sz w:val="24"/>
                <w:szCs w:val="24"/>
                <w:color w:val="auto"/>
              </w:rPr>
            </w:pPr>
          </w:p>
        </w:tc>
        <w:tc>
          <w:tcPr>
            <w:tcW w:w="960" w:type="dxa"/>
            <w:vAlign w:val="bottom"/>
            <w:gridSpan w:val="3"/>
            <w:vMerge w:val="restart"/>
          </w:tcPr>
          <w:p>
            <w:pPr>
              <w:ind w:left="800"/>
              <w:spacing w:after="0"/>
              <w:rPr>
                <w:sz w:val="20"/>
                <w:szCs w:val="20"/>
                <w:color w:val="auto"/>
              </w:rPr>
            </w:pPr>
            <w:r>
              <w:rPr>
                <w:rFonts w:ascii="Arial" w:cs="Arial" w:eastAsia="Arial" w:hAnsi="Arial"/>
                <w:sz w:val="16"/>
                <w:szCs w:val="16"/>
                <w:color w:val="0000FF"/>
              </w:rPr>
              <w:t>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14"/>
          </w:tcPr>
          <w:p>
            <w:pPr>
              <w:spacing w:after="0" w:line="160" w:lineRule="exact"/>
              <w:rPr>
                <w:rFonts w:ascii="Arial" w:cs="Arial" w:eastAsia="Arial" w:hAnsi="Arial"/>
                <w:sz w:val="16"/>
                <w:szCs w:val="16"/>
                <w:color w:val="0000FF"/>
                <w:w w:val="97"/>
              </w:rPr>
            </w:pPr>
            <w:hyperlink w:anchor="page3">
              <w:r>
                <w:rPr>
                  <w:rFonts w:ascii="Arial" w:cs="Arial" w:eastAsia="Arial" w:hAnsi="Arial"/>
                  <w:sz w:val="16"/>
                  <w:szCs w:val="16"/>
                  <w:color w:val="0000FF"/>
                  <w:w w:val="97"/>
                </w:rPr>
                <w:t>For the nine months ended September 30, 2025 and 2024</w:t>
              </w:r>
            </w:hyperlink>
          </w:p>
        </w:tc>
        <w:tc>
          <w:tcPr>
            <w:tcW w:w="3940" w:type="dxa"/>
            <w:vAlign w:val="bottom"/>
            <w:gridSpan w:val="9"/>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Borders>
              <w:bottom w:val="single" w:sz="8" w:color="0000FF"/>
            </w:tcBorders>
            <w:gridSpan w:val="24"/>
          </w:tcPr>
          <w:p>
            <w:pPr>
              <w:spacing w:after="0"/>
              <w:rPr>
                <w:rFonts w:ascii="Arial" w:cs="Arial" w:eastAsia="Arial" w:hAnsi="Arial"/>
                <w:sz w:val="16"/>
                <w:szCs w:val="16"/>
                <w:color w:val="0000FF"/>
                <w:w w:val="97"/>
              </w:rPr>
            </w:pPr>
            <w:hyperlink w:anchor="page4">
              <w:r>
                <w:rPr>
                  <w:rFonts w:ascii="Arial" w:cs="Arial" w:eastAsia="Arial" w:hAnsi="Arial"/>
                  <w:sz w:val="16"/>
                  <w:szCs w:val="16"/>
                  <w:color w:val="0000FF"/>
                  <w:w w:val="97"/>
                </w:rPr>
                <w:t>CONDENSED CONSOLIDATED STATEMENTS OF COMPREHENSIVE INCOME (Unaudited)</w:t>
              </w:r>
            </w:hyperlink>
          </w:p>
        </w:tc>
        <w:tc>
          <w:tcPr>
            <w:tcW w:w="1700" w:type="dxa"/>
            <w:vAlign w:val="bottom"/>
          </w:tcPr>
          <w:p>
            <w:pPr>
              <w:spacing w:after="0"/>
              <w:rPr>
                <w:sz w:val="24"/>
                <w:szCs w:val="24"/>
                <w:color w:val="auto"/>
              </w:rPr>
            </w:pPr>
          </w:p>
        </w:tc>
        <w:tc>
          <w:tcPr>
            <w:tcW w:w="960" w:type="dxa"/>
            <w:vAlign w:val="bottom"/>
            <w:gridSpan w:val="3"/>
            <w:vMerge w:val="restart"/>
          </w:tcPr>
          <w:p>
            <w:pPr>
              <w:ind w:left="800"/>
              <w:spacing w:after="0"/>
              <w:rPr>
                <w:sz w:val="20"/>
                <w:szCs w:val="20"/>
                <w:color w:val="auto"/>
              </w:rPr>
            </w:pPr>
            <w:r>
              <w:rPr>
                <w:rFonts w:ascii="Arial" w:cs="Arial" w:eastAsia="Arial" w:hAnsi="Arial"/>
                <w:sz w:val="16"/>
                <w:szCs w:val="16"/>
                <w:color w:val="0000FF"/>
              </w:rPr>
              <w:t>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14"/>
          </w:tcPr>
          <w:p>
            <w:pPr>
              <w:spacing w:after="0" w:line="160" w:lineRule="exact"/>
              <w:rPr>
                <w:rFonts w:ascii="Arial" w:cs="Arial" w:eastAsia="Arial" w:hAnsi="Arial"/>
                <w:sz w:val="16"/>
                <w:szCs w:val="16"/>
                <w:color w:val="0000FF"/>
                <w:w w:val="97"/>
              </w:rPr>
            </w:pPr>
            <w:hyperlink w:anchor="page4">
              <w:r>
                <w:rPr>
                  <w:rFonts w:ascii="Arial" w:cs="Arial" w:eastAsia="Arial" w:hAnsi="Arial"/>
                  <w:sz w:val="16"/>
                  <w:szCs w:val="16"/>
                  <w:color w:val="0000FF"/>
                  <w:w w:val="97"/>
                </w:rPr>
                <w:t>For the nine months ended September 30, 2025 and 2024</w:t>
              </w:r>
            </w:hyperlink>
          </w:p>
        </w:tc>
        <w:tc>
          <w:tcPr>
            <w:tcW w:w="3940" w:type="dxa"/>
            <w:vAlign w:val="bottom"/>
            <w:gridSpan w:val="9"/>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tcBorders>
              <w:bottom w:val="single" w:sz="8" w:color="0000FF"/>
            </w:tcBorders>
            <w:gridSpan w:val="22"/>
          </w:tcPr>
          <w:p>
            <w:pPr>
              <w:spacing w:after="0"/>
              <w:rPr>
                <w:rFonts w:ascii="Arial" w:cs="Arial" w:eastAsia="Arial" w:hAnsi="Arial"/>
                <w:sz w:val="16"/>
                <w:szCs w:val="16"/>
                <w:color w:val="0000FF"/>
                <w:w w:val="97"/>
              </w:rPr>
            </w:pPr>
            <w:hyperlink w:anchor="page4">
              <w:r>
                <w:rPr>
                  <w:rFonts w:ascii="Arial" w:cs="Arial" w:eastAsia="Arial" w:hAnsi="Arial"/>
                  <w:sz w:val="16"/>
                  <w:szCs w:val="16"/>
                  <w:color w:val="0000FF"/>
                  <w:w w:val="97"/>
                </w:rPr>
                <w:t>CONDENSED CONSOLIDATED STATEMENTS OF FINANCIAL POSITION (Unaudited)</w:t>
              </w:r>
            </w:hyperlink>
          </w:p>
        </w:tc>
        <w:tc>
          <w:tcPr>
            <w:tcW w:w="2140" w:type="dxa"/>
            <w:vAlign w:val="bottom"/>
            <w:gridSpan w:val="3"/>
          </w:tcPr>
          <w:p>
            <w:pPr>
              <w:spacing w:after="0"/>
              <w:rPr>
                <w:sz w:val="24"/>
                <w:szCs w:val="24"/>
                <w:color w:val="auto"/>
              </w:rPr>
            </w:pPr>
          </w:p>
        </w:tc>
        <w:tc>
          <w:tcPr>
            <w:tcW w:w="960" w:type="dxa"/>
            <w:vAlign w:val="bottom"/>
            <w:gridSpan w:val="3"/>
            <w:vMerge w:val="restart"/>
          </w:tcPr>
          <w:p>
            <w:pPr>
              <w:ind w:left="800"/>
              <w:spacing w:after="0"/>
              <w:rPr>
                <w:sz w:val="20"/>
                <w:szCs w:val="20"/>
                <w:color w:val="auto"/>
              </w:rPr>
            </w:pPr>
            <w:r>
              <w:rPr>
                <w:rFonts w:ascii="Arial" w:cs="Arial" w:eastAsia="Arial" w:hAnsi="Arial"/>
                <w:sz w:val="16"/>
                <w:szCs w:val="16"/>
                <w:color w:val="0000FF"/>
              </w:rPr>
              <w:t>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gridSpan w:val="11"/>
          </w:tcPr>
          <w:p>
            <w:pPr>
              <w:spacing w:after="0" w:line="160" w:lineRule="exact"/>
              <w:rPr>
                <w:rFonts w:ascii="Arial" w:cs="Arial" w:eastAsia="Arial" w:hAnsi="Arial"/>
                <w:sz w:val="16"/>
                <w:szCs w:val="16"/>
                <w:color w:val="0000FF"/>
                <w:w w:val="97"/>
              </w:rPr>
            </w:pPr>
            <w:hyperlink w:anchor="page4">
              <w:r>
                <w:rPr>
                  <w:rFonts w:ascii="Arial" w:cs="Arial" w:eastAsia="Arial" w:hAnsi="Arial"/>
                  <w:sz w:val="16"/>
                  <w:szCs w:val="16"/>
                  <w:color w:val="0000FF"/>
                  <w:w w:val="97"/>
                </w:rPr>
                <w:t>At September 30, 2025, and December 31, 2024</w:t>
              </w:r>
            </w:hyperlink>
          </w:p>
        </w:tc>
        <w:tc>
          <w:tcPr>
            <w:tcW w:w="4600" w:type="dxa"/>
            <w:vAlign w:val="bottom"/>
            <w:gridSpan w:val="12"/>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tcBorders>
              <w:bottom w:val="single" w:sz="8" w:color="0000FF"/>
            </w:tcBorders>
            <w:gridSpan w:val="20"/>
          </w:tcPr>
          <w:p>
            <w:pPr>
              <w:spacing w:after="0"/>
              <w:rPr>
                <w:rFonts w:ascii="Arial" w:cs="Arial" w:eastAsia="Arial" w:hAnsi="Arial"/>
                <w:sz w:val="16"/>
                <w:szCs w:val="16"/>
                <w:color w:val="0000FF"/>
                <w:w w:val="97"/>
              </w:rPr>
            </w:pPr>
            <w:hyperlink w:anchor="page5">
              <w:r>
                <w:rPr>
                  <w:rFonts w:ascii="Arial" w:cs="Arial" w:eastAsia="Arial" w:hAnsi="Arial"/>
                  <w:sz w:val="16"/>
                  <w:szCs w:val="16"/>
                  <w:color w:val="0000FF"/>
                  <w:w w:val="97"/>
                </w:rPr>
                <w:t>CONDENSED CONSOLIDATED STATEMENTS OF CASH FLOWS (Unaudited)</w:t>
              </w:r>
            </w:hyperlink>
          </w:p>
        </w:tc>
        <w:tc>
          <w:tcPr>
            <w:tcW w:w="2700" w:type="dxa"/>
            <w:vAlign w:val="bottom"/>
            <w:gridSpan w:val="5"/>
          </w:tcPr>
          <w:p>
            <w:pPr>
              <w:spacing w:after="0"/>
              <w:rPr>
                <w:sz w:val="24"/>
                <w:szCs w:val="24"/>
                <w:color w:val="auto"/>
              </w:rPr>
            </w:pPr>
          </w:p>
        </w:tc>
        <w:tc>
          <w:tcPr>
            <w:tcW w:w="960" w:type="dxa"/>
            <w:vAlign w:val="bottom"/>
            <w:gridSpan w:val="3"/>
            <w:vMerge w:val="restart"/>
          </w:tcPr>
          <w:p>
            <w:pPr>
              <w:ind w:left="80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gridSpan w:val="14"/>
          </w:tcPr>
          <w:p>
            <w:pPr>
              <w:spacing w:after="0" w:line="160" w:lineRule="exact"/>
              <w:rPr>
                <w:rFonts w:ascii="Arial" w:cs="Arial" w:eastAsia="Arial" w:hAnsi="Arial"/>
                <w:sz w:val="16"/>
                <w:szCs w:val="16"/>
                <w:color w:val="0000FF"/>
                <w:w w:val="97"/>
              </w:rPr>
            </w:pPr>
            <w:hyperlink w:anchor="page5">
              <w:r>
                <w:rPr>
                  <w:rFonts w:ascii="Arial" w:cs="Arial" w:eastAsia="Arial" w:hAnsi="Arial"/>
                  <w:sz w:val="16"/>
                  <w:szCs w:val="16"/>
                  <w:color w:val="0000FF"/>
                  <w:w w:val="97"/>
                </w:rPr>
                <w:t>For the nine months ended September 30, 2025 and 2024</w:t>
              </w:r>
            </w:hyperlink>
          </w:p>
        </w:tc>
        <w:tc>
          <w:tcPr>
            <w:tcW w:w="3940" w:type="dxa"/>
            <w:vAlign w:val="bottom"/>
            <w:gridSpan w:val="9"/>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80" w:type="dxa"/>
            <w:vAlign w:val="bottom"/>
            <w:tcBorders>
              <w:bottom w:val="single" w:sz="8" w:color="0000FF"/>
            </w:tcBorders>
            <w:gridSpan w:val="25"/>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CONDENSED CONSOLIDATED STATEMENTS OF CHANGES IN COMMON SHAREHOLDERS’ EQUITY (Unaudited)</w:t>
              </w:r>
            </w:hyperlink>
          </w:p>
        </w:tc>
        <w:tc>
          <w:tcPr>
            <w:tcW w:w="960" w:type="dxa"/>
            <w:vAlign w:val="bottom"/>
            <w:gridSpan w:val="3"/>
            <w:vMerge w:val="restart"/>
          </w:tcPr>
          <w:p>
            <w:pPr>
              <w:ind w:left="800"/>
              <w:spacing w:after="0"/>
              <w:rPr>
                <w:sz w:val="20"/>
                <w:szCs w:val="20"/>
                <w:color w:val="auto"/>
              </w:rPr>
            </w:pPr>
            <w:r>
              <w:rPr>
                <w:rFonts w:ascii="Arial" w:cs="Arial" w:eastAsia="Arial" w:hAnsi="Arial"/>
                <w:sz w:val="16"/>
                <w:szCs w:val="16"/>
                <w:color w:val="0000FF"/>
              </w:rPr>
              <w:t>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80" w:type="dxa"/>
            <w:vAlign w:val="bottom"/>
            <w:gridSpan w:val="15"/>
          </w:tcPr>
          <w:p>
            <w:pPr>
              <w:spacing w:after="0" w:line="160" w:lineRule="exact"/>
              <w:rPr>
                <w:rFonts w:ascii="Arial" w:cs="Arial" w:eastAsia="Arial" w:hAnsi="Arial"/>
                <w:sz w:val="16"/>
                <w:szCs w:val="16"/>
                <w:color w:val="0000FF"/>
                <w:w w:val="98"/>
              </w:rPr>
            </w:pPr>
            <w:hyperlink w:anchor="page6">
              <w:r>
                <w:rPr>
                  <w:rFonts w:ascii="Arial" w:cs="Arial" w:eastAsia="Arial" w:hAnsi="Arial"/>
                  <w:sz w:val="16"/>
                  <w:szCs w:val="16"/>
                  <w:color w:val="0000FF"/>
                  <w:w w:val="98"/>
                </w:rPr>
                <w:t>For the three and nine months ended September 30, 2025 and 2024</w:t>
              </w:r>
            </w:hyperlink>
          </w:p>
        </w:tc>
        <w:tc>
          <w:tcPr>
            <w:tcW w:w="3220" w:type="dxa"/>
            <w:vAlign w:val="bottom"/>
            <w:gridSpan w:val="8"/>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23"/>
          </w:tcPr>
          <w:p>
            <w:pPr>
              <w:spacing w:after="0"/>
              <w:rPr>
                <w:rFonts w:ascii="Arial" w:cs="Arial" w:eastAsia="Arial" w:hAnsi="Arial"/>
                <w:sz w:val="16"/>
                <w:szCs w:val="16"/>
                <w:color w:val="0000FF"/>
                <w:w w:val="97"/>
              </w:rPr>
            </w:pPr>
            <w:hyperlink w:anchor="page7">
              <w:r>
                <w:rPr>
                  <w:rFonts w:ascii="Arial" w:cs="Arial" w:eastAsia="Arial" w:hAnsi="Arial"/>
                  <w:sz w:val="16"/>
                  <w:szCs w:val="16"/>
                  <w:color w:val="0000FF"/>
                  <w:w w:val="97"/>
                </w:rPr>
                <w:t>NOTES TO THE CONDENSED CONSOLIDATED FINANCIAL STATEMENTS (Unaudited)</w:t>
              </w:r>
            </w:hyperlink>
          </w:p>
        </w:tc>
        <w:tc>
          <w:tcPr>
            <w:tcW w:w="1980" w:type="dxa"/>
            <w:vAlign w:val="bottom"/>
            <w:gridSpan w:val="2"/>
          </w:tcPr>
          <w:p>
            <w:pPr>
              <w:spacing w:after="0"/>
              <w:rPr>
                <w:sz w:val="24"/>
                <w:szCs w:val="24"/>
                <w:color w:val="auto"/>
              </w:rPr>
            </w:pPr>
          </w:p>
        </w:tc>
        <w:tc>
          <w:tcPr>
            <w:tcW w:w="960" w:type="dxa"/>
            <w:vAlign w:val="bottom"/>
            <w:gridSpan w:val="3"/>
          </w:tcPr>
          <w:p>
            <w:pPr>
              <w:ind w:left="800"/>
              <w:spacing w:after="0"/>
              <w:rPr>
                <w:sz w:val="20"/>
                <w:szCs w:val="20"/>
                <w:color w:val="auto"/>
              </w:rPr>
            </w:pPr>
            <w:r>
              <w:rPr>
                <w:rFonts w:ascii="Arial" w:cs="Arial" w:eastAsia="Arial" w:hAnsi="Arial"/>
                <w:sz w:val="16"/>
                <w:szCs w:val="16"/>
                <w:color w:val="0000FF"/>
              </w:rPr>
              <w:t>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20">
              <w:r>
                <w:rPr>
                  <w:rFonts w:ascii="Arial" w:cs="Arial" w:eastAsia="Arial" w:hAnsi="Arial"/>
                  <w:sz w:val="16"/>
                  <w:szCs w:val="16"/>
                  <w:color w:val="auto"/>
                </w:rPr>
                <w:t>Item 2.</w:t>
              </w:r>
            </w:hyperlink>
          </w:p>
        </w:tc>
        <w:tc>
          <w:tcPr>
            <w:tcW w:w="6200" w:type="dxa"/>
            <w:vAlign w:val="bottom"/>
            <w:gridSpan w:val="22"/>
          </w:tcPr>
          <w:p>
            <w:pPr>
              <w:spacing w:after="0"/>
              <w:rPr>
                <w:rFonts w:ascii="Arial" w:cs="Arial" w:eastAsia="Arial" w:hAnsi="Arial"/>
                <w:sz w:val="16"/>
                <w:szCs w:val="16"/>
                <w:color w:val="0000FF"/>
                <w:w w:val="98"/>
              </w:rPr>
            </w:pPr>
            <w:hyperlink w:anchor="page20">
              <w:r>
                <w:rPr>
                  <w:rFonts w:ascii="Arial" w:cs="Arial" w:eastAsia="Arial" w:hAnsi="Arial"/>
                  <w:sz w:val="16"/>
                  <w:szCs w:val="16"/>
                  <w:color w:val="0000FF"/>
                  <w:w w:val="98"/>
                </w:rPr>
                <w:t>Management's Discussion and Analysis of Financial Condition and Results of Operations</w:t>
              </w:r>
            </w:hyperlink>
          </w:p>
        </w:tc>
        <w:tc>
          <w:tcPr>
            <w:tcW w:w="2220" w:type="dxa"/>
            <w:vAlign w:val="bottom"/>
            <w:gridSpan w:val="4"/>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20">
              <w:r>
                <w:rPr>
                  <w:rFonts w:ascii="Arial" w:cs="Arial" w:eastAsia="Arial" w:hAnsi="Arial"/>
                  <w:sz w:val="16"/>
                  <w:szCs w:val="16"/>
                  <w:color w:val="0000FF"/>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2">
              <w:r>
                <w:rPr>
                  <w:rFonts w:ascii="Arial" w:cs="Arial" w:eastAsia="Arial" w:hAnsi="Arial"/>
                  <w:sz w:val="16"/>
                  <w:szCs w:val="16"/>
                  <w:color w:val="auto"/>
                </w:rPr>
                <w:t>Item 3.</w:t>
              </w:r>
            </w:hyperlink>
          </w:p>
        </w:tc>
        <w:tc>
          <w:tcPr>
            <w:tcW w:w="4100" w:type="dxa"/>
            <w:vAlign w:val="bottom"/>
            <w:gridSpan w:val="15"/>
          </w:tcPr>
          <w:p>
            <w:pPr>
              <w:spacing w:after="0"/>
              <w:rPr>
                <w:rFonts w:ascii="Arial" w:cs="Arial" w:eastAsia="Arial" w:hAnsi="Arial"/>
                <w:sz w:val="16"/>
                <w:szCs w:val="16"/>
                <w:color w:val="0000FF"/>
                <w:w w:val="97"/>
              </w:rPr>
            </w:pPr>
            <w:hyperlink w:anchor="page32">
              <w:r>
                <w:rPr>
                  <w:rFonts w:ascii="Arial" w:cs="Arial" w:eastAsia="Arial" w:hAnsi="Arial"/>
                  <w:sz w:val="16"/>
                  <w:szCs w:val="16"/>
                  <w:color w:val="0000FF"/>
                  <w:w w:val="97"/>
                </w:rPr>
                <w:t>Quantitative and Qualitative Disclosures About Market Risk</w:t>
              </w:r>
            </w:hyperlink>
          </w:p>
        </w:tc>
        <w:tc>
          <w:tcPr>
            <w:tcW w:w="2100" w:type="dxa"/>
            <w:vAlign w:val="bottom"/>
            <w:gridSpan w:val="7"/>
          </w:tcPr>
          <w:p>
            <w:pPr>
              <w:spacing w:after="0"/>
              <w:rPr>
                <w:sz w:val="24"/>
                <w:szCs w:val="24"/>
                <w:color w:val="auto"/>
              </w:rPr>
            </w:pPr>
          </w:p>
        </w:tc>
        <w:tc>
          <w:tcPr>
            <w:tcW w:w="2220" w:type="dxa"/>
            <w:vAlign w:val="bottom"/>
            <w:gridSpan w:val="4"/>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2">
              <w:r>
                <w:rPr>
                  <w:rFonts w:ascii="Arial" w:cs="Arial" w:eastAsia="Arial" w:hAnsi="Arial"/>
                  <w:sz w:val="16"/>
                  <w:szCs w:val="16"/>
                  <w:color w:val="auto"/>
                </w:rPr>
                <w:t>Item 4.</w:t>
              </w:r>
            </w:hyperlink>
          </w:p>
        </w:tc>
        <w:tc>
          <w:tcPr>
            <w:tcW w:w="4100" w:type="dxa"/>
            <w:vAlign w:val="bottom"/>
            <w:gridSpan w:val="15"/>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Controls and Procedures</w:t>
              </w:r>
            </w:hyperlink>
          </w:p>
        </w:tc>
        <w:tc>
          <w:tcPr>
            <w:tcW w:w="4320" w:type="dxa"/>
            <w:vAlign w:val="bottom"/>
            <w:gridSpan w:val="11"/>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0000FF"/>
            </w:tcBorders>
            <w:gridSpan w:val="8"/>
          </w:tcPr>
          <w:p>
            <w:pPr>
              <w:jc w:val="center"/>
              <w:ind w:right="20"/>
              <w:spacing w:after="0"/>
              <w:rPr>
                <w:rFonts w:ascii="Arial" w:cs="Arial" w:eastAsia="Arial" w:hAnsi="Arial"/>
                <w:sz w:val="16"/>
                <w:szCs w:val="16"/>
                <w:b w:val="1"/>
                <w:bCs w:val="1"/>
                <w:color w:val="0000FF"/>
                <w:w w:val="96"/>
              </w:rPr>
            </w:pPr>
            <w:hyperlink w:anchor="page32">
              <w:r>
                <w:rPr>
                  <w:rFonts w:ascii="Arial" w:cs="Arial" w:eastAsia="Arial" w:hAnsi="Arial"/>
                  <w:sz w:val="16"/>
                  <w:szCs w:val="16"/>
                  <w:b w:val="1"/>
                  <w:bCs w:val="1"/>
                  <w:color w:val="0000FF"/>
                  <w:w w:val="96"/>
                </w:rPr>
                <w:t>PART II. OTHER INFORMATION</w:t>
              </w:r>
            </w:hyperlink>
          </w:p>
        </w:tc>
        <w:tc>
          <w:tcPr>
            <w:tcW w:w="282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3">
              <w:r>
                <w:rPr>
                  <w:rFonts w:ascii="Arial" w:cs="Arial" w:eastAsia="Arial" w:hAnsi="Arial"/>
                  <w:sz w:val="16"/>
                  <w:szCs w:val="16"/>
                  <w:color w:val="auto"/>
                </w:rPr>
                <w:t>Item 1.</w:t>
              </w:r>
            </w:hyperlink>
          </w:p>
        </w:tc>
        <w:tc>
          <w:tcPr>
            <w:tcW w:w="1300" w:type="dxa"/>
            <w:vAlign w:val="bottom"/>
            <w:gridSpan w:val="7"/>
          </w:tcPr>
          <w:p>
            <w:pPr>
              <w:spacing w:after="0"/>
              <w:rPr>
                <w:rFonts w:ascii="Arial" w:cs="Arial" w:eastAsia="Arial" w:hAnsi="Arial"/>
                <w:sz w:val="16"/>
                <w:szCs w:val="16"/>
                <w:color w:val="0000FF"/>
                <w:w w:val="96"/>
              </w:rPr>
            </w:pPr>
            <w:hyperlink w:anchor="page33">
              <w:r>
                <w:rPr>
                  <w:rFonts w:ascii="Arial" w:cs="Arial" w:eastAsia="Arial" w:hAnsi="Arial"/>
                  <w:sz w:val="16"/>
                  <w:szCs w:val="16"/>
                  <w:color w:val="0000FF"/>
                  <w:w w:val="96"/>
                </w:rPr>
                <w:t>Legal Proceedings</w:t>
              </w:r>
            </w:hyperlink>
          </w:p>
        </w:tc>
        <w:tc>
          <w:tcPr>
            <w:tcW w:w="7120" w:type="dxa"/>
            <w:vAlign w:val="bottom"/>
            <w:gridSpan w:val="19"/>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3">
              <w:r>
                <w:rPr>
                  <w:rFonts w:ascii="Arial" w:cs="Arial" w:eastAsia="Arial" w:hAnsi="Arial"/>
                  <w:sz w:val="16"/>
                  <w:szCs w:val="16"/>
                  <w:color w:val="auto"/>
                </w:rPr>
                <w:t>Item 1A.</w:t>
              </w:r>
            </w:hyperlink>
          </w:p>
        </w:tc>
        <w:tc>
          <w:tcPr>
            <w:tcW w:w="1300" w:type="dxa"/>
            <w:vAlign w:val="bottom"/>
            <w:gridSpan w:val="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Risk Factors</w:t>
              </w:r>
            </w:hyperlink>
          </w:p>
        </w:tc>
        <w:tc>
          <w:tcPr>
            <w:tcW w:w="7120" w:type="dxa"/>
            <w:vAlign w:val="bottom"/>
            <w:gridSpan w:val="19"/>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3">
              <w:r>
                <w:rPr>
                  <w:rFonts w:ascii="Arial" w:cs="Arial" w:eastAsia="Arial" w:hAnsi="Arial"/>
                  <w:sz w:val="16"/>
                  <w:szCs w:val="16"/>
                  <w:color w:val="auto"/>
                </w:rPr>
                <w:t>Item 2.</w:t>
              </w:r>
            </w:hyperlink>
          </w:p>
        </w:tc>
        <w:tc>
          <w:tcPr>
            <w:tcW w:w="4240" w:type="dxa"/>
            <w:vAlign w:val="bottom"/>
            <w:gridSpan w:val="16"/>
          </w:tcPr>
          <w:p>
            <w:pPr>
              <w:spacing w:after="0"/>
              <w:rPr>
                <w:rFonts w:ascii="Arial" w:cs="Arial" w:eastAsia="Arial" w:hAnsi="Arial"/>
                <w:sz w:val="16"/>
                <w:szCs w:val="16"/>
                <w:color w:val="0000FF"/>
                <w:w w:val="97"/>
              </w:rPr>
            </w:pPr>
            <w:hyperlink w:anchor="page33">
              <w:r>
                <w:rPr>
                  <w:rFonts w:ascii="Arial" w:cs="Arial" w:eastAsia="Arial" w:hAnsi="Arial"/>
                  <w:sz w:val="16"/>
                  <w:szCs w:val="16"/>
                  <w:color w:val="0000FF"/>
                  <w:w w:val="97"/>
                </w:rPr>
                <w:t>Unregistered Sales of Equity Securities and Use of Proceeds</w:t>
              </w:r>
            </w:hyperlink>
          </w:p>
        </w:tc>
        <w:tc>
          <w:tcPr>
            <w:tcW w:w="4180" w:type="dxa"/>
            <w:vAlign w:val="bottom"/>
            <w:gridSpan w:val="10"/>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3">
              <w:r>
                <w:rPr>
                  <w:rFonts w:ascii="Arial" w:cs="Arial" w:eastAsia="Arial" w:hAnsi="Arial"/>
                  <w:sz w:val="16"/>
                  <w:szCs w:val="16"/>
                  <w:color w:val="auto"/>
                </w:rPr>
                <w:t>Item 3.</w:t>
              </w:r>
            </w:hyperlink>
          </w:p>
        </w:tc>
        <w:tc>
          <w:tcPr>
            <w:tcW w:w="2240" w:type="dxa"/>
            <w:vAlign w:val="bottom"/>
            <w:gridSpan w:val="10"/>
          </w:tcPr>
          <w:p>
            <w:pPr>
              <w:spacing w:after="0"/>
              <w:rPr>
                <w:rFonts w:ascii="Arial" w:cs="Arial" w:eastAsia="Arial" w:hAnsi="Arial"/>
                <w:sz w:val="16"/>
                <w:szCs w:val="16"/>
                <w:color w:val="0000FF"/>
                <w:w w:val="97"/>
              </w:rPr>
            </w:pPr>
            <w:hyperlink w:anchor="page33">
              <w:r>
                <w:rPr>
                  <w:rFonts w:ascii="Arial" w:cs="Arial" w:eastAsia="Arial" w:hAnsi="Arial"/>
                  <w:sz w:val="16"/>
                  <w:szCs w:val="16"/>
                  <w:color w:val="0000FF"/>
                  <w:w w:val="97"/>
                </w:rPr>
                <w:t>Defaults Upon Senior Securities</w:t>
              </w:r>
            </w:hyperlink>
          </w:p>
        </w:tc>
        <w:tc>
          <w:tcPr>
            <w:tcW w:w="2000" w:type="dxa"/>
            <w:vAlign w:val="bottom"/>
            <w:gridSpan w:val="6"/>
          </w:tcPr>
          <w:p>
            <w:pPr>
              <w:spacing w:after="0"/>
              <w:rPr>
                <w:sz w:val="24"/>
                <w:szCs w:val="24"/>
                <w:color w:val="auto"/>
              </w:rPr>
            </w:pPr>
          </w:p>
        </w:tc>
        <w:tc>
          <w:tcPr>
            <w:tcW w:w="4180" w:type="dxa"/>
            <w:vAlign w:val="bottom"/>
            <w:gridSpan w:val="10"/>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80" w:type="dxa"/>
            <w:vAlign w:val="bottom"/>
            <w:gridSpan w:val="1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4">
              <w:r>
                <w:rPr>
                  <w:rFonts w:ascii="Arial" w:cs="Arial" w:eastAsia="Arial" w:hAnsi="Arial"/>
                  <w:sz w:val="16"/>
                  <w:szCs w:val="16"/>
                  <w:color w:val="auto"/>
                </w:rPr>
                <w:t>Item 4.</w:t>
              </w:r>
            </w:hyperlink>
          </w:p>
        </w:tc>
        <w:tc>
          <w:tcPr>
            <w:tcW w:w="1680" w:type="dxa"/>
            <w:vAlign w:val="bottom"/>
            <w:gridSpan w:val="8"/>
          </w:tcPr>
          <w:p>
            <w:pPr>
              <w:spacing w:after="0"/>
              <w:rPr>
                <w:rFonts w:ascii="Arial" w:cs="Arial" w:eastAsia="Arial" w:hAnsi="Arial"/>
                <w:sz w:val="16"/>
                <w:szCs w:val="16"/>
                <w:color w:val="0000FF"/>
                <w:w w:val="96"/>
              </w:rPr>
            </w:pPr>
            <w:hyperlink w:anchor="page34">
              <w:r>
                <w:rPr>
                  <w:rFonts w:ascii="Arial" w:cs="Arial" w:eastAsia="Arial" w:hAnsi="Arial"/>
                  <w:sz w:val="16"/>
                  <w:szCs w:val="16"/>
                  <w:color w:val="0000FF"/>
                  <w:w w:val="96"/>
                </w:rPr>
                <w:t>Mine Safety Disclosures</w:t>
              </w:r>
            </w:hyperlink>
          </w:p>
        </w:tc>
        <w:tc>
          <w:tcPr>
            <w:tcW w:w="560" w:type="dxa"/>
            <w:vAlign w:val="bottom"/>
            <w:gridSpan w:val="2"/>
          </w:tcPr>
          <w:p>
            <w:pPr>
              <w:spacing w:after="0"/>
              <w:rPr>
                <w:sz w:val="24"/>
                <w:szCs w:val="24"/>
                <w:color w:val="auto"/>
              </w:rPr>
            </w:pPr>
          </w:p>
        </w:tc>
        <w:tc>
          <w:tcPr>
            <w:tcW w:w="6180" w:type="dxa"/>
            <w:vAlign w:val="bottom"/>
            <w:gridSpan w:val="16"/>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74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4">
              <w:r>
                <w:rPr>
                  <w:rFonts w:ascii="Arial" w:cs="Arial" w:eastAsia="Arial" w:hAnsi="Arial"/>
                  <w:sz w:val="16"/>
                  <w:szCs w:val="16"/>
                  <w:color w:val="auto"/>
                </w:rPr>
                <w:t>Item 5.</w:t>
              </w:r>
            </w:hyperlink>
          </w:p>
        </w:tc>
        <w:tc>
          <w:tcPr>
            <w:tcW w:w="1220" w:type="dxa"/>
            <w:vAlign w:val="bottom"/>
            <w:gridSpan w:val="6"/>
          </w:tcPr>
          <w:p>
            <w:pPr>
              <w:spacing w:after="0"/>
              <w:rPr>
                <w:rFonts w:ascii="Arial" w:cs="Arial" w:eastAsia="Arial" w:hAnsi="Arial"/>
                <w:sz w:val="16"/>
                <w:szCs w:val="16"/>
                <w:color w:val="0000FF"/>
                <w:w w:val="96"/>
              </w:rPr>
            </w:pPr>
            <w:hyperlink w:anchor="page34">
              <w:r>
                <w:rPr>
                  <w:rFonts w:ascii="Arial" w:cs="Arial" w:eastAsia="Arial" w:hAnsi="Arial"/>
                  <w:sz w:val="16"/>
                  <w:szCs w:val="16"/>
                  <w:color w:val="0000FF"/>
                  <w:w w:val="96"/>
                </w:rPr>
                <w:t>Other Information</w:t>
              </w:r>
            </w:hyperlink>
          </w:p>
        </w:tc>
        <w:tc>
          <w:tcPr>
            <w:tcW w:w="460" w:type="dxa"/>
            <w:vAlign w:val="bottom"/>
            <w:gridSpan w:val="2"/>
          </w:tcPr>
          <w:p>
            <w:pPr>
              <w:spacing w:after="0"/>
              <w:rPr>
                <w:sz w:val="24"/>
                <w:szCs w:val="24"/>
                <w:color w:val="auto"/>
              </w:rPr>
            </w:pPr>
          </w:p>
        </w:tc>
        <w:tc>
          <w:tcPr>
            <w:tcW w:w="6740" w:type="dxa"/>
            <w:vAlign w:val="bottom"/>
            <w:gridSpan w:val="18"/>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00" w:type="dxa"/>
            <w:vAlign w:val="bottom"/>
            <w:gridSpan w:val="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auto"/>
              </w:rPr>
            </w:pPr>
            <w:hyperlink w:anchor="page34">
              <w:r>
                <w:rPr>
                  <w:rFonts w:ascii="Arial" w:cs="Arial" w:eastAsia="Arial" w:hAnsi="Arial"/>
                  <w:sz w:val="16"/>
                  <w:szCs w:val="16"/>
                  <w:color w:val="auto"/>
                </w:rPr>
                <w:t>Item 6.</w:t>
              </w:r>
            </w:hyperlink>
          </w:p>
        </w:tc>
        <w:tc>
          <w:tcPr>
            <w:tcW w:w="1220" w:type="dxa"/>
            <w:vAlign w:val="bottom"/>
            <w:gridSpan w:val="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Exhibits</w:t>
              </w:r>
            </w:hyperlink>
          </w:p>
        </w:tc>
        <w:tc>
          <w:tcPr>
            <w:tcW w:w="7200" w:type="dxa"/>
            <w:vAlign w:val="bottom"/>
            <w:gridSpan w:val="20"/>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Signatures</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gridSpan w:val="4"/>
          </w:tcPr>
          <w:p>
            <w:pPr>
              <w:ind w:left="800"/>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520" w:type="dxa"/>
            <w:vAlign w:val="bottom"/>
            <w:gridSpan w:val="2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260" w:type="dxa"/>
            <w:vAlign w:val="bottom"/>
            <w:gridSpan w:val="28"/>
          </w:tcPr>
          <w:p>
            <w:pPr>
              <w:spacing w:after="0"/>
              <w:rPr>
                <w:sz w:val="20"/>
                <w:szCs w:val="20"/>
                <w:color w:val="auto"/>
              </w:rPr>
            </w:pPr>
            <w:r>
              <w:rPr>
                <w:rFonts w:ascii="Arial" w:cs="Arial" w:eastAsia="Arial" w:hAnsi="Arial"/>
                <w:sz w:val="16"/>
                <w:szCs w:val="16"/>
                <w:color w:val="auto"/>
              </w:rPr>
              <w:t>Certifications</w:t>
            </w:r>
          </w:p>
        </w:tc>
        <w:tc>
          <w:tcPr>
            <w:tcW w:w="1280" w:type="dxa"/>
            <w:vAlign w:val="bottom"/>
            <w:gridSpan w:val="4"/>
          </w:tcPr>
          <w:p>
            <w:pPr>
              <w:ind w:left="8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7"/>
          </w:tcPr>
          <w:p>
            <w:pPr>
              <w:jc w:val="center"/>
              <w:ind w:left="4282"/>
              <w:spacing w:after="0"/>
              <w:rPr>
                <w:sz w:val="20"/>
                <w:szCs w:val="20"/>
                <w:color w:val="auto"/>
              </w:rPr>
            </w:pPr>
            <w:r>
              <w:rPr>
                <w:rFonts w:ascii="Times New Roman" w:cs="Times New Roman" w:eastAsia="Times New Roman" w:hAnsi="Times New Roman"/>
                <w:sz w:val="16"/>
                <w:szCs w:val="16"/>
                <w:color w:val="auto"/>
                <w:w w:val="99"/>
              </w:rPr>
              <w:t>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692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28"/>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7"/>
              </w:rPr>
              <w:t>PART I. FINANCIAL INFORMATION</w:t>
            </w:r>
          </w:p>
        </w:tc>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8"/>
        </w:trPr>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Item 1. Condensed Consolidated Financial Statements</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5"/>
        </w:trPr>
        <w:tc>
          <w:tcPr>
            <w:tcW w:w="6920" w:type="dxa"/>
            <w:vAlign w:val="bottom"/>
            <w:gridSpan w:val="3"/>
          </w:tcPr>
          <w:p>
            <w:pPr>
              <w:spacing w:after="0"/>
              <w:rPr>
                <w:sz w:val="20"/>
                <w:szCs w:val="20"/>
                <w:color w:val="auto"/>
              </w:rPr>
            </w:pPr>
            <w:r>
              <w:rPr>
                <w:rFonts w:ascii="Arial" w:cs="Arial" w:eastAsia="Arial" w:hAnsi="Arial"/>
                <w:sz w:val="16"/>
                <w:szCs w:val="16"/>
                <w:i w:val="1"/>
                <w:iCs w:val="1"/>
                <w:color w:val="auto"/>
              </w:rPr>
              <w:t>Union Pacific Corporation and Subsidiary Companies</w:t>
            </w:r>
          </w:p>
        </w:tc>
        <w:tc>
          <w:tcPr>
            <w:tcW w:w="1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81"/>
        </w:trPr>
        <w:tc>
          <w:tcPr>
            <w:tcW w:w="6920" w:type="dxa"/>
            <w:vAlign w:val="bottom"/>
            <w:gridSpan w:val="3"/>
          </w:tcPr>
          <w:p>
            <w:pPr>
              <w:ind w:left="20"/>
              <w:spacing w:after="0"/>
              <w:rPr>
                <w:sz w:val="20"/>
                <w:szCs w:val="20"/>
                <w:color w:val="auto"/>
              </w:rPr>
            </w:pPr>
            <w:r>
              <w:rPr>
                <w:rFonts w:ascii="Arial" w:cs="Arial" w:eastAsia="Arial" w:hAnsi="Arial"/>
                <w:sz w:val="16"/>
                <w:szCs w:val="16"/>
                <w:i w:val="1"/>
                <w:iCs w:val="1"/>
                <w:color w:val="auto"/>
              </w:rPr>
              <w:t>Millions, except per share amounts, for the three months ended September 30,</w:t>
            </w:r>
          </w:p>
        </w:tc>
        <w:tc>
          <w:tcPr>
            <w:tcW w:w="1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Freight revenues</w:t>
            </w:r>
          </w:p>
        </w:tc>
        <w:tc>
          <w:tcPr>
            <w:tcW w:w="1660" w:type="dxa"/>
            <w:vAlign w:val="bottom"/>
          </w:tcPr>
          <w:p>
            <w:pPr>
              <w:jc w:val="right"/>
              <w:ind w:right="22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5,927</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5,768</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revenues</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27"/>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Total operating revenues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6,244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6,091</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Compensation and benefits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1,214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1,228</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Purchased services and materials</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Depreciation</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Fuel</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616</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Equipment and other rents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27"/>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Total operating expenses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3,695</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2,549</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r>
      <w:tr>
        <w:trPr>
          <w:trHeight w:val="227"/>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Other income, net (Note 6)</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4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87</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27"/>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2,318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2,189</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expense (Note 7)</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27"/>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1660" w:type="dxa"/>
            <w:vAlign w:val="bottom"/>
          </w:tcPr>
          <w:p>
            <w:pPr>
              <w:jc w:val="right"/>
              <w:ind w:right="22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1,788</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1,671</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Share and per share (Note 8):</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Earnings per share - basic</w:t>
            </w:r>
          </w:p>
        </w:tc>
        <w:tc>
          <w:tcPr>
            <w:tcW w:w="1660" w:type="dxa"/>
            <w:vAlign w:val="bottom"/>
          </w:tcPr>
          <w:p>
            <w:pPr>
              <w:jc w:val="right"/>
              <w:ind w:right="22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2.75</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Earnings per share - diluted</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w:t>
            </w: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Weighted average number of shares - basic</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592.4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607.6</w:t>
            </w:r>
          </w:p>
        </w:tc>
      </w:tr>
      <w:tr>
        <w:trPr>
          <w:trHeight w:val="229"/>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Weighted average number of shares - diluted</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593.2</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w:t>
            </w:r>
          </w:p>
        </w:tc>
      </w:tr>
      <w:tr>
        <w:trPr>
          <w:trHeight w:val="397"/>
        </w:trPr>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Statements of Comprehensive Income (Unaudited)</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5"/>
        </w:trPr>
        <w:tc>
          <w:tcPr>
            <w:tcW w:w="6920" w:type="dxa"/>
            <w:vAlign w:val="bottom"/>
            <w:gridSpan w:val="3"/>
          </w:tcPr>
          <w:p>
            <w:pPr>
              <w:spacing w:after="0"/>
              <w:rPr>
                <w:sz w:val="20"/>
                <w:szCs w:val="20"/>
                <w:color w:val="auto"/>
              </w:rPr>
            </w:pPr>
            <w:r>
              <w:rPr>
                <w:rFonts w:ascii="Arial" w:cs="Arial" w:eastAsia="Arial" w:hAnsi="Arial"/>
                <w:sz w:val="16"/>
                <w:szCs w:val="16"/>
                <w:i w:val="1"/>
                <w:iCs w:val="1"/>
                <w:color w:val="auto"/>
              </w:rPr>
              <w:t>Union Pacific Corporation and Subsidiary Companies</w:t>
            </w:r>
          </w:p>
        </w:tc>
        <w:tc>
          <w:tcPr>
            <w:tcW w:w="1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81"/>
        </w:trPr>
        <w:tc>
          <w:tcPr>
            <w:tcW w:w="6920" w:type="dxa"/>
            <w:vAlign w:val="bottom"/>
            <w:gridSpan w:val="3"/>
          </w:tcPr>
          <w:p>
            <w:pPr>
              <w:ind w:left="20"/>
              <w:spacing w:after="0"/>
              <w:rPr>
                <w:sz w:val="20"/>
                <w:szCs w:val="20"/>
                <w:color w:val="auto"/>
              </w:rPr>
            </w:pPr>
            <w:r>
              <w:rPr>
                <w:rFonts w:ascii="Arial" w:cs="Arial" w:eastAsia="Arial" w:hAnsi="Arial"/>
                <w:sz w:val="16"/>
                <w:szCs w:val="16"/>
                <w:i w:val="1"/>
                <w:iCs w:val="1"/>
                <w:color w:val="auto"/>
              </w:rPr>
              <w:t>Millions, for the three months ended September 30,</w:t>
            </w:r>
          </w:p>
        </w:tc>
        <w:tc>
          <w:tcPr>
            <w:tcW w:w="1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6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1,788</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r>
      <w:tr>
        <w:trPr>
          <w:trHeight w:val="223"/>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income/(loss):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6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Defined benefit plans</w:t>
            </w:r>
          </w:p>
        </w:tc>
        <w:tc>
          <w:tcPr>
            <w:tcW w:w="16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27"/>
        </w:trPr>
        <w:tc>
          <w:tcPr>
            <w:tcW w:w="6920" w:type="dxa"/>
            <w:vAlign w:val="bottom"/>
            <w:gridSpan w:val="3"/>
          </w:tcPr>
          <w:p>
            <w:pPr>
              <w:ind w:left="160"/>
              <w:spacing w:after="0"/>
              <w:rPr>
                <w:sz w:val="20"/>
                <w:szCs w:val="20"/>
                <w:color w:val="auto"/>
              </w:rPr>
            </w:pPr>
            <w:r>
              <w:rPr>
                <w:rFonts w:ascii="Arial" w:cs="Arial" w:eastAsia="Arial" w:hAnsi="Arial"/>
                <w:sz w:val="16"/>
                <w:szCs w:val="16"/>
                <w:color w:val="auto"/>
              </w:rPr>
              <w:t>Foreign currency translation</w:t>
            </w:r>
          </w:p>
        </w:tc>
        <w:tc>
          <w:tcPr>
            <w:tcW w:w="166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21</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income/(loss) [a]</w:t>
            </w:r>
          </w:p>
        </w:tc>
        <w:tc>
          <w:tcPr>
            <w:tcW w:w="16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20</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6"/>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Comprehensive income</w:t>
            </w:r>
          </w:p>
        </w:tc>
        <w:tc>
          <w:tcPr>
            <w:tcW w:w="1660" w:type="dxa"/>
            <w:vAlign w:val="bottom"/>
          </w:tcPr>
          <w:p>
            <w:pPr>
              <w:jc w:val="right"/>
              <w:ind w:right="24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1,808</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1,585</w:t>
            </w:r>
          </w:p>
        </w:tc>
      </w:tr>
    </w:tbl>
    <w:p>
      <w:pPr>
        <w:spacing w:after="0" w:line="220" w:lineRule="exact"/>
        <w:rPr>
          <w:sz w:val="20"/>
          <w:szCs w:val="20"/>
          <w:color w:val="auto"/>
        </w:rPr>
      </w:pPr>
    </w:p>
    <w:p>
      <w:pPr>
        <w:ind w:right="2100" w:firstLine="6"/>
        <w:spacing w:after="0" w:line="382" w:lineRule="auto"/>
        <w:tabs>
          <w:tab w:leader="none" w:pos="276"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$0.1 million and $0.8 million during the three months ended September 30, 2025 and 2024,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66998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9885" cy="762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 except per share amounts, for the nine months ended September 30,</w:t>
            </w:r>
          </w:p>
        </w:tc>
        <w:tc>
          <w:tcPr>
            <w:tcW w:w="1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2024</w:t>
            </w:r>
          </w:p>
        </w:tc>
      </w:tr>
      <w:tr>
        <w:trPr>
          <w:trHeight w:val="22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Freight revenues</w:t>
            </w:r>
          </w:p>
        </w:tc>
        <w:tc>
          <w:tcPr>
            <w:tcW w:w="1600" w:type="dxa"/>
            <w:vAlign w:val="bottom"/>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17,461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17,022</w:t>
            </w:r>
          </w:p>
        </w:tc>
      </w:tr>
      <w:tr>
        <w:trPr>
          <w:trHeight w:val="228"/>
        </w:trPr>
        <w:tc>
          <w:tcPr>
            <w:tcW w:w="6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Other revenues</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964</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r>
      <w:tr>
        <w:trPr>
          <w:trHeight w:val="22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revenues</w:t>
            </w:r>
          </w:p>
        </w:tc>
        <w:tc>
          <w:tcPr>
            <w:tcW w:w="1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18,425</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18,129</w:t>
            </w:r>
          </w:p>
        </w:tc>
      </w:tr>
      <w:tr>
        <w:trPr>
          <w:trHeight w:val="22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Compensation and benefits</w:t>
            </w:r>
          </w:p>
        </w:tc>
        <w:tc>
          <w:tcPr>
            <w:tcW w:w="1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3,675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229"/>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Purchased services and materials</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1,956</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1,841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229"/>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Fuel</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Equipment and other rents</w:t>
            </w:r>
          </w:p>
        </w:tc>
        <w:tc>
          <w:tcPr>
            <w:tcW w:w="16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683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228"/>
        </w:trPr>
        <w:tc>
          <w:tcPr>
            <w:tcW w:w="6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1,030</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r>
      <w:tr>
        <w:trPr>
          <w:trHeight w:val="22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1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10,980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10,941</w:t>
            </w:r>
          </w:p>
        </w:tc>
      </w:tr>
      <w:tr>
        <w:trPr>
          <w:trHeight w:val="22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7,445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r>
      <w:tr>
        <w:trPr>
          <w:trHeight w:val="227"/>
        </w:trPr>
        <w:tc>
          <w:tcPr>
            <w:tcW w:w="6920" w:type="dxa"/>
            <w:vAlign w:val="bottom"/>
          </w:tcPr>
          <w:p>
            <w:pPr>
              <w:ind w:left="20"/>
              <w:spacing w:after="0"/>
              <w:rPr>
                <w:sz w:val="20"/>
                <w:szCs w:val="20"/>
                <w:color w:val="auto"/>
              </w:rPr>
            </w:pPr>
            <w:r>
              <w:rPr>
                <w:rFonts w:ascii="Arial" w:cs="Arial" w:eastAsia="Arial" w:hAnsi="Arial"/>
                <w:sz w:val="16"/>
                <w:szCs w:val="16"/>
                <w:color w:val="auto"/>
              </w:rPr>
              <w:t>Other income, net (Note 6)</w:t>
            </w:r>
          </w:p>
        </w:tc>
        <w:tc>
          <w:tcPr>
            <w:tcW w:w="16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297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28"/>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(984)</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20"/>
        </w:trPr>
        <w:tc>
          <w:tcPr>
            <w:tcW w:w="69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6,758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6,513</w:t>
            </w:r>
          </w:p>
        </w:tc>
      </w:tr>
      <w:tr>
        <w:trPr>
          <w:trHeight w:val="228"/>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(Note 7)</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(1,468)</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r>
      <w:tr>
        <w:trPr>
          <w:trHeight w:val="22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5,290</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w:t>
            </w:r>
          </w:p>
        </w:tc>
      </w:tr>
      <w:tr>
        <w:trPr>
          <w:trHeight w:val="22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and per share (Note 8):</w:t>
            </w: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Earnings per share - basic</w:t>
            </w:r>
          </w:p>
        </w:tc>
        <w:tc>
          <w:tcPr>
            <w:tcW w:w="1600" w:type="dxa"/>
            <w:vAlign w:val="bottom"/>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8.88</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8.19</w:t>
            </w:r>
          </w:p>
        </w:tc>
      </w:tr>
      <w:tr>
        <w:trPr>
          <w:trHeight w:val="229"/>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per share - diluted</w:t>
            </w:r>
          </w:p>
        </w:tc>
        <w:tc>
          <w:tcPr>
            <w:tcW w:w="160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8.87</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8.18</w:t>
            </w:r>
          </w:p>
        </w:tc>
      </w:tr>
      <w:tr>
        <w:trPr>
          <w:trHeight w:val="227"/>
        </w:trPr>
        <w:tc>
          <w:tcPr>
            <w:tcW w:w="6920" w:type="dxa"/>
            <w:vAlign w:val="bottom"/>
          </w:tcPr>
          <w:p>
            <w:pPr>
              <w:ind w:left="160"/>
              <w:spacing w:after="0"/>
              <w:rPr>
                <w:sz w:val="20"/>
                <w:szCs w:val="20"/>
                <w:color w:val="auto"/>
              </w:rPr>
            </w:pPr>
            <w:r>
              <w:rPr>
                <w:rFonts w:ascii="Arial" w:cs="Arial" w:eastAsia="Arial" w:hAnsi="Arial"/>
                <w:sz w:val="16"/>
                <w:szCs w:val="16"/>
                <w:color w:val="auto"/>
              </w:rPr>
              <w:t>Weighted average number of shares - basic</w:t>
            </w:r>
          </w:p>
        </w:tc>
        <w:tc>
          <w:tcPr>
            <w:tcW w:w="1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595.8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608.7</w:t>
            </w:r>
          </w:p>
        </w:tc>
      </w:tr>
      <w:tr>
        <w:trPr>
          <w:trHeight w:val="228"/>
        </w:trPr>
        <w:tc>
          <w:tcPr>
            <w:tcW w:w="6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Weighted average number of shares - diluted</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596.7</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609.7</w:t>
            </w:r>
          </w:p>
        </w:tc>
      </w:tr>
      <w:tr>
        <w:trPr>
          <w:trHeight w:val="390"/>
        </w:trPr>
        <w:tc>
          <w:tcPr>
            <w:tcW w:w="692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Comprehensive Income (Unaudited)</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5"/>
        </w:trPr>
        <w:tc>
          <w:tcPr>
            <w:tcW w:w="6920" w:type="dxa"/>
            <w:vAlign w:val="bottom"/>
          </w:tcPr>
          <w:p>
            <w:pPr>
              <w:spacing w:after="0"/>
              <w:rPr>
                <w:sz w:val="20"/>
                <w:szCs w:val="20"/>
                <w:color w:val="auto"/>
              </w:rPr>
            </w:pPr>
            <w:r>
              <w:rPr>
                <w:rFonts w:ascii="Arial" w:cs="Arial" w:eastAsia="Arial" w:hAnsi="Arial"/>
                <w:sz w:val="16"/>
                <w:szCs w:val="16"/>
                <w:i w:val="1"/>
                <w:iCs w:val="1"/>
                <w:color w:val="auto"/>
              </w:rPr>
              <w:t>Union Pacific Corporation and Subsidiary Companies</w:t>
            </w: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54"/>
        </w:trPr>
        <w:tc>
          <w:tcPr>
            <w:tcW w:w="69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21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1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2024</w:t>
            </w:r>
          </w:p>
        </w:tc>
      </w:tr>
      <w:tr>
        <w:trPr>
          <w:trHeight w:val="22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5,290</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r>
      <w:tr>
        <w:trPr>
          <w:trHeight w:val="216"/>
        </w:trPr>
        <w:tc>
          <w:tcPr>
            <w:tcW w:w="6920" w:type="dxa"/>
            <w:vAlign w:val="bottom"/>
          </w:tcPr>
          <w:p>
            <w:pPr>
              <w:ind w:left="20"/>
              <w:spacing w:after="0"/>
              <w:rPr>
                <w:sz w:val="20"/>
                <w:szCs w:val="20"/>
                <w:color w:val="auto"/>
              </w:rPr>
            </w:pPr>
            <w:r>
              <w:rPr>
                <w:rFonts w:ascii="Arial" w:cs="Arial" w:eastAsia="Arial" w:hAnsi="Arial"/>
                <w:sz w:val="16"/>
                <w:szCs w:val="16"/>
                <w:color w:val="auto"/>
              </w:rPr>
              <w:t>Other comprehensive income/(loss):</w:t>
            </w: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3"/>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Defined benefit plans</w:t>
            </w:r>
          </w:p>
        </w:tc>
        <w:tc>
          <w:tcPr>
            <w:tcW w:w="16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6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Foreign currency translation</w:t>
            </w:r>
          </w:p>
        </w:tc>
        <w:tc>
          <w:tcPr>
            <w:tcW w:w="1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2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income/(loss) [a]</w:t>
            </w:r>
          </w:p>
        </w:tc>
        <w:tc>
          <w:tcPr>
            <w:tcW w:w="1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2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5,341</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4,907</w:t>
            </w:r>
          </w:p>
        </w:tc>
      </w:tr>
    </w:tbl>
    <w:p>
      <w:pPr>
        <w:spacing w:after="0" w:line="218" w:lineRule="exact"/>
        <w:rPr>
          <w:sz w:val="20"/>
          <w:szCs w:val="20"/>
          <w:color w:val="auto"/>
        </w:rPr>
      </w:pPr>
    </w:p>
    <w:p>
      <w:pPr>
        <w:ind w:right="2060" w:firstLine="6"/>
        <w:spacing w:after="0" w:line="434" w:lineRule="auto"/>
        <w:tabs>
          <w:tab w:leader="none" w:pos="276"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($1.8) million and $0.7 million during the nine months ended September 30, 2025 and 2024, respectively. The accompanying notes are an integral part of these unaudited Condensed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6940" w:type="dxa"/>
            <w:vAlign w:val="bottom"/>
            <w:gridSpan w:val="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41"/>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5"/>
        </w:trPr>
        <w:tc>
          <w:tcPr>
            <w:tcW w:w="6940" w:type="dxa"/>
            <w:vAlign w:val="bottom"/>
            <w:gridSpan w:val="2"/>
          </w:tcPr>
          <w:p>
            <w:pPr>
              <w:spacing w:after="0"/>
              <w:rPr>
                <w:sz w:val="20"/>
                <w:szCs w:val="20"/>
                <w:color w:val="auto"/>
              </w:rPr>
            </w:pPr>
            <w:r>
              <w:rPr>
                <w:rFonts w:ascii="Arial" w:cs="Arial" w:eastAsia="Arial" w:hAnsi="Arial"/>
                <w:sz w:val="16"/>
                <w:szCs w:val="16"/>
                <w:i w:val="1"/>
                <w:iCs w:val="1"/>
                <w:color w:val="auto"/>
              </w:rPr>
              <w:t>Union Pacific Corporation and Subsidiary Companies</w:t>
            </w: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5"/>
        </w:trPr>
        <w:tc>
          <w:tcPr>
            <w:tcW w:w="1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Sep. 30,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6940" w:type="dxa"/>
            <w:vAlign w:val="bottom"/>
            <w:gridSpan w:val="2"/>
          </w:tcPr>
          <w:p>
            <w:pPr>
              <w:ind w:left="20"/>
              <w:spacing w:after="0"/>
              <w:rPr>
                <w:sz w:val="20"/>
                <w:szCs w:val="20"/>
                <w:color w:val="auto"/>
              </w:rPr>
            </w:pPr>
            <w:r>
              <w:rPr>
                <w:rFonts w:ascii="Arial" w:cs="Arial" w:eastAsia="Arial" w:hAnsi="Arial"/>
                <w:sz w:val="16"/>
                <w:szCs w:val="16"/>
                <w:i w:val="1"/>
                <w:iCs w:val="1"/>
                <w:color w:val="auto"/>
              </w:rPr>
              <w:t>Millions, except share and per share amounts</w:t>
            </w:r>
          </w:p>
        </w:tc>
        <w:tc>
          <w:tcPr>
            <w:tcW w:w="1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808</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Accounts receivable, net (Note 10)</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1,921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1,894</w:t>
            </w:r>
          </w:p>
        </w:tc>
      </w:tr>
      <w:tr>
        <w:trPr>
          <w:trHeight w:val="229"/>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Materials and supplies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782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Other current assets</w:t>
            </w:r>
          </w:p>
        </w:tc>
        <w:tc>
          <w:tcPr>
            <w:tcW w:w="15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393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w:t>
            </w:r>
          </w:p>
        </w:tc>
      </w:tr>
      <w:tr>
        <w:trPr>
          <w:trHeight w:val="22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Investments</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2,841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2,664</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Properties, net (Note 11)</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59,392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58,343</w:t>
            </w:r>
          </w:p>
        </w:tc>
      </w:tr>
      <w:tr>
        <w:trPr>
          <w:trHeight w:val="22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1,090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r>
      <w:tr>
        <w:trPr>
          <w:trHeight w:val="22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Pr>
          <w:p>
            <w:pPr>
              <w:jc w:val="right"/>
              <w:ind w:right="162"/>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68,647</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67,715</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common shareholders' equity</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 and other current liabilities (Note 12)</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3,699</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Debt due within one year (Note 14)</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1,521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1,425</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5,220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r>
      <w:tr>
        <w:trPr>
          <w:trHeight w:val="22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Debt due after one year (Note 14)</w:t>
            </w:r>
          </w:p>
        </w:tc>
        <w:tc>
          <w:tcPr>
            <w:tcW w:w="15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30,286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29,767</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764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2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Deferred income taxes</w:t>
            </w:r>
          </w:p>
        </w:tc>
        <w:tc>
          <w:tcPr>
            <w:tcW w:w="15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13,329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13,151</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15)</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51,343</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50,825</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Common shareholders' equity:</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Common shares, $2.50 par value, 1,400,000,000 authorized; 1,113,163,706 and</w:t>
            </w:r>
          </w:p>
        </w:tc>
        <w:tc>
          <w:tcPr>
            <w:tcW w:w="1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1,113,018,733 issued; 593,127,096 and 604,241,260 outstanding, respectively</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2,783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2,783</w:t>
            </w:r>
          </w:p>
        </w:tc>
      </w:tr>
      <w:tr>
        <w:trPr>
          <w:trHeight w:val="229"/>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Paid-in-surplus</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w:t>
            </w: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Retained earnings</w:t>
            </w:r>
          </w:p>
        </w:tc>
        <w:tc>
          <w:tcPr>
            <w:tcW w:w="15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68,501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65,628</w:t>
            </w:r>
          </w:p>
        </w:tc>
      </w:tr>
      <w:tr>
        <w:trPr>
          <w:trHeight w:val="229"/>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Treasury stock</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(58,856)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(56,132)</w:t>
            </w:r>
          </w:p>
        </w:tc>
      </w:tr>
      <w:tr>
        <w:trPr>
          <w:trHeight w:val="227"/>
        </w:trPr>
        <w:tc>
          <w:tcPr>
            <w:tcW w:w="694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loss (Note 9)</w:t>
            </w:r>
          </w:p>
        </w:tc>
        <w:tc>
          <w:tcPr>
            <w:tcW w:w="1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(672)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common shareholders' equity</w:t>
            </w:r>
          </w:p>
        </w:tc>
        <w:tc>
          <w:tcPr>
            <w:tcW w:w="1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17,304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16,890</w:t>
            </w:r>
          </w:p>
        </w:tc>
      </w:tr>
      <w:tr>
        <w:trPr>
          <w:trHeight w:val="227"/>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liabilities and common shareholders' equity</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68,647</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67,715</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66998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9885" cy="762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1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5,290</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4,985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1,841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and other income taxes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r>
      <w:tr>
        <w:trPr>
          <w:trHeight w:val="227"/>
        </w:trPr>
        <w:tc>
          <w:tcPr>
            <w:tcW w:w="6740" w:type="dxa"/>
            <w:vAlign w:val="bottom"/>
          </w:tcPr>
          <w:p>
            <w:pPr>
              <w:ind w:left="160"/>
              <w:spacing w:after="0"/>
              <w:rPr>
                <w:sz w:val="20"/>
                <w:szCs w:val="20"/>
                <w:color w:val="auto"/>
              </w:rPr>
            </w:pPr>
            <w:r>
              <w:rPr>
                <w:rFonts w:ascii="Arial" w:cs="Arial" w:eastAsia="Arial" w:hAnsi="Arial"/>
                <w:sz w:val="16"/>
                <w:szCs w:val="16"/>
                <w:color w:val="auto"/>
              </w:rPr>
              <w:t>Other operating activities, net</w:t>
            </w:r>
          </w:p>
        </w:tc>
        <w:tc>
          <w:tcPr>
            <w:tcW w:w="18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in current assets and liabilities: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37</w:t>
            </w:r>
          </w:p>
        </w:tc>
      </w:tr>
      <w:tr>
        <w:trPr>
          <w:trHeight w:val="229"/>
        </w:trPr>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Materials and supplies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7"/>
        </w:trPr>
        <w:tc>
          <w:tcPr>
            <w:tcW w:w="674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18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27"/>
        </w:trPr>
        <w:tc>
          <w:tcPr>
            <w:tcW w:w="6740" w:type="dxa"/>
            <w:vAlign w:val="bottom"/>
          </w:tcPr>
          <w:p>
            <w:pPr>
              <w:ind w:left="300"/>
              <w:spacing w:after="0"/>
              <w:rPr>
                <w:sz w:val="20"/>
                <w:szCs w:val="20"/>
                <w:color w:val="auto"/>
              </w:rPr>
            </w:pPr>
            <w:r>
              <w:rPr>
                <w:rFonts w:ascii="Arial" w:cs="Arial" w:eastAsia="Arial" w:hAnsi="Arial"/>
                <w:sz w:val="16"/>
                <w:szCs w:val="16"/>
                <w:color w:val="auto"/>
              </w:rPr>
              <w:t>Income and other taxes</w:t>
            </w:r>
          </w:p>
        </w:tc>
        <w:tc>
          <w:tcPr>
            <w:tcW w:w="18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119</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investments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Other investing activities, net</w:t>
            </w:r>
          </w:p>
        </w:tc>
        <w:tc>
          <w:tcPr>
            <w:tcW w:w="18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investing activities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programs (Note 16)</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(2,418)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issued (Note 14)</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Debt repaid</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(1,424)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 net</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Cash used in financing activities</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(4,472)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1,028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8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830</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Non-cash investing and financing activities: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300"/>
              <w:spacing w:after="0"/>
              <w:rPr>
                <w:sz w:val="20"/>
                <w:szCs w:val="20"/>
                <w:color w:val="auto"/>
              </w:rPr>
            </w:pPr>
            <w:r>
              <w:rPr>
                <w:rFonts w:ascii="Arial" w:cs="Arial" w:eastAsia="Arial" w:hAnsi="Arial"/>
                <w:sz w:val="16"/>
                <w:szCs w:val="16"/>
                <w:color w:val="auto"/>
              </w:rPr>
              <w:t>Capital investments accrued but not yet paid</w:t>
            </w:r>
          </w:p>
        </w:tc>
        <w:tc>
          <w:tcPr>
            <w:tcW w:w="18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190</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during the period for:</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300"/>
              <w:spacing w:after="0"/>
              <w:rPr>
                <w:sz w:val="20"/>
                <w:szCs w:val="20"/>
                <w:color w:val="auto"/>
              </w:rPr>
            </w:pPr>
            <w:r>
              <w:rPr>
                <w:rFonts w:ascii="Arial" w:cs="Arial" w:eastAsia="Arial" w:hAnsi="Arial"/>
                <w:sz w:val="16"/>
                <w:szCs w:val="16"/>
                <w:color w:val="auto"/>
              </w:rPr>
              <w:t>Income taxes, net of refunds</w:t>
            </w:r>
          </w:p>
        </w:tc>
        <w:tc>
          <w:tcPr>
            <w:tcW w:w="18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(841)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29"/>
        </w:trPr>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net of amounts capitalized</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(1,083)</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 the Condensed Consolidated Statement of Financial Position:</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674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8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808</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cash equivalents in other current assets</w:t>
            </w:r>
          </w:p>
        </w:tc>
        <w:tc>
          <w:tcPr>
            <w:tcW w:w="18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r>
      <w:tr>
        <w:trPr>
          <w:trHeight w:val="227"/>
        </w:trPr>
        <w:tc>
          <w:tcPr>
            <w:tcW w:w="6740" w:type="dxa"/>
            <w:vAlign w:val="bottom"/>
          </w:tcPr>
          <w:p>
            <w:pPr>
              <w:ind w:left="160"/>
              <w:spacing w:after="0"/>
              <w:rPr>
                <w:sz w:val="20"/>
                <w:szCs w:val="20"/>
                <w:color w:val="auto"/>
              </w:rPr>
            </w:pPr>
            <w:r>
              <w:rPr>
                <w:rFonts w:ascii="Arial" w:cs="Arial" w:eastAsia="Arial" w:hAnsi="Arial"/>
                <w:sz w:val="16"/>
                <w:szCs w:val="16"/>
                <w:color w:val="auto"/>
              </w:rPr>
              <w:t>Restricted cash equivalents in other assets</w:t>
            </w:r>
          </w:p>
        </w:tc>
        <w:tc>
          <w:tcPr>
            <w:tcW w:w="18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equivalents per above</w:t>
            </w:r>
          </w:p>
        </w:tc>
        <w:tc>
          <w:tcPr>
            <w:tcW w:w="18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830</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Common Shareholders’ Equity (Unaudited)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Union Pacific Corporation and Subsidiary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i w:val="1"/>
                <w:iCs w:val="1"/>
                <w:color w:val="auto"/>
              </w:rPr>
              <w:t>Common</w:t>
            </w:r>
          </w:p>
        </w:tc>
        <w:tc>
          <w:tcPr>
            <w:tcW w:w="9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Treasury</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Common</w:t>
            </w:r>
          </w:p>
        </w:tc>
        <w:tc>
          <w:tcPr>
            <w:tcW w:w="1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i w:val="1"/>
                <w:iCs w:val="1"/>
                <w:color w:val="auto"/>
              </w:rPr>
              <w:t>Paid-in-   Retained   Treasury</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i w:val="1"/>
                <w:iCs w:val="1"/>
                <w:color w:val="auto"/>
              </w:rPr>
              <w:t>shares</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surplus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earnings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stock</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AOCI [a]</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220"/>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July 1, 2024</w:t>
            </w: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1,113.0</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16,489</w:t>
            </w:r>
          </w:p>
        </w:tc>
        <w:tc>
          <w:tcPr>
            <w:tcW w:w="0" w:type="dxa"/>
            <w:vAlign w:val="bottom"/>
          </w:tcPr>
          <w:p>
            <w:pPr>
              <w:spacing w:after="0"/>
              <w:rPr>
                <w:sz w:val="1"/>
                <w:szCs w:val="1"/>
                <w:color w:val="auto"/>
              </w:rPr>
            </w:pPr>
          </w:p>
        </w:tc>
      </w:tr>
      <w:tr>
        <w:trPr>
          <w:trHeight w:val="220"/>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1,671</w:t>
            </w: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income/(loss)</w:t>
            </w:r>
          </w:p>
        </w:tc>
        <w:tc>
          <w:tcPr>
            <w:tcW w:w="1300" w:type="dxa"/>
            <w:vAlign w:val="bottom"/>
            <w:shd w:val="clear" w:color="auto" w:fill="CCEEFF"/>
          </w:tcPr>
          <w:p>
            <w:pPr>
              <w:spacing w:after="0"/>
              <w:rPr>
                <w:sz w:val="20"/>
                <w:szCs w:val="20"/>
                <w:color w:val="auto"/>
              </w:rPr>
            </w:pPr>
          </w:p>
        </w:tc>
        <w:tc>
          <w:tcPr>
            <w:tcW w:w="9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3"/>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Conversion, stock option exercises, forfeitures,</w:t>
            </w:r>
          </w:p>
        </w:tc>
        <w:tc>
          <w:tcPr>
            <w:tcW w:w="130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6"/>
                <w:szCs w:val="16"/>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09"/>
        </w:trPr>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ESPP, and other [b]</w:t>
            </w:r>
          </w:p>
        </w:tc>
        <w:tc>
          <w:tcPr>
            <w:tcW w:w="1300" w:type="dxa"/>
            <w:vAlign w:val="bottom"/>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40" w:type="dxa"/>
            <w:vAlign w:val="bottom"/>
            <w:tcBorders>
              <w:right w:val="single" w:sz="8" w:color="auto"/>
            </w:tcBorders>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repurchase programs (Note 16)</w:t>
            </w:r>
          </w:p>
        </w:tc>
        <w:tc>
          <w:tcPr>
            <w:tcW w:w="13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declared ($1.34 per share)</w:t>
            </w: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1,113.0</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July 1, 2025</w:t>
            </w: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1,113.2</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16,258</w:t>
            </w:r>
          </w:p>
        </w:tc>
        <w:tc>
          <w:tcPr>
            <w:tcW w:w="0" w:type="dxa"/>
            <w:vAlign w:val="bottom"/>
          </w:tcPr>
          <w:p>
            <w:pPr>
              <w:spacing w:after="0"/>
              <w:rPr>
                <w:sz w:val="1"/>
                <w:szCs w:val="1"/>
                <w:color w:val="auto"/>
              </w:rPr>
            </w:pPr>
          </w:p>
        </w:tc>
      </w:tr>
      <w:tr>
        <w:trPr>
          <w:trHeight w:val="218"/>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1,788</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income/(loss)</w:t>
            </w:r>
          </w:p>
        </w:tc>
        <w:tc>
          <w:tcPr>
            <w:tcW w:w="1300" w:type="dxa"/>
            <w:vAlign w:val="bottom"/>
            <w:shd w:val="clear" w:color="auto" w:fill="CCEEFF"/>
          </w:tcPr>
          <w:p>
            <w:pPr>
              <w:spacing w:after="0"/>
              <w:rPr>
                <w:sz w:val="20"/>
                <w:szCs w:val="20"/>
                <w:color w:val="auto"/>
              </w:rPr>
            </w:pPr>
          </w:p>
        </w:tc>
        <w:tc>
          <w:tcPr>
            <w:tcW w:w="9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3"/>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Conversion, stock option exercises, forfeitures,</w:t>
            </w:r>
          </w:p>
        </w:tc>
        <w:tc>
          <w:tcPr>
            <w:tcW w:w="130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6"/>
                <w:szCs w:val="16"/>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09"/>
        </w:trPr>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ESPP, and other [b]</w:t>
            </w:r>
          </w:p>
        </w:tc>
        <w:tc>
          <w:tcPr>
            <w:tcW w:w="1300" w:type="dxa"/>
            <w:vAlign w:val="bottom"/>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40" w:type="dxa"/>
            <w:vAlign w:val="bottom"/>
            <w:tcBorders>
              <w:right w:val="single" w:sz="8" w:color="auto"/>
            </w:tcBorders>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repurchase programs (Note 16)</w:t>
            </w:r>
          </w:p>
        </w:tc>
        <w:tc>
          <w:tcPr>
            <w:tcW w:w="13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declared ($1.38 per share)</w:t>
            </w: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1,113.2</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(520.0)</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2,783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68,501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17,304</w:t>
            </w:r>
          </w:p>
        </w:tc>
        <w:tc>
          <w:tcPr>
            <w:tcW w:w="0" w:type="dxa"/>
            <w:vAlign w:val="bottom"/>
          </w:tcPr>
          <w:p>
            <w:pPr>
              <w:spacing w:after="0"/>
              <w:rPr>
                <w:sz w:val="1"/>
                <w:szCs w:val="1"/>
                <w:color w:val="auto"/>
              </w:rPr>
            </w:pPr>
          </w:p>
        </w:tc>
      </w:tr>
      <w:tr>
        <w:trPr>
          <w:trHeight w:val="185"/>
        </w:trPr>
        <w:tc>
          <w:tcPr>
            <w:tcW w:w="3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40" w:type="dxa"/>
            <w:vAlign w:val="bottom"/>
            <w:tcBorders>
              <w:right w:val="single" w:sz="8" w:color="auto"/>
            </w:tcBorders>
          </w:tcPr>
          <w:p>
            <w:pPr>
              <w:spacing w:after="0"/>
              <w:rPr>
                <w:sz w:val="16"/>
                <w:szCs w:val="16"/>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i w:val="1"/>
                <w:iCs w:val="1"/>
                <w:color w:val="auto"/>
              </w:rPr>
              <w:t>Common</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auto"/>
              </w:rPr>
              <w:t>Treasury</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Common</w:t>
            </w:r>
          </w:p>
        </w:tc>
        <w:tc>
          <w:tcPr>
            <w:tcW w:w="18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Arial" w:cs="Arial" w:eastAsia="Arial" w:hAnsi="Arial"/>
                <w:sz w:val="16"/>
                <w:szCs w:val="16"/>
                <w:i w:val="1"/>
                <w:iCs w:val="1"/>
                <w:color w:val="auto"/>
              </w:rPr>
              <w:t>Paid-in-   Retained   Treasury</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i w:val="1"/>
                <w:iCs w:val="1"/>
                <w:color w:val="auto"/>
              </w:rPr>
              <w:t>shares</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surplus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earnings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stock</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AOCI [a]</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220"/>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2024</w:t>
            </w:r>
          </w:p>
        </w:tc>
        <w:tc>
          <w:tcPr>
            <w:tcW w:w="1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1,112.9</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2,782</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5,193</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62,093</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14,788</w:t>
            </w:r>
          </w:p>
        </w:tc>
        <w:tc>
          <w:tcPr>
            <w:tcW w:w="0" w:type="dxa"/>
            <w:vAlign w:val="bottom"/>
          </w:tcPr>
          <w:p>
            <w:pPr>
              <w:spacing w:after="0"/>
              <w:rPr>
                <w:sz w:val="1"/>
                <w:szCs w:val="1"/>
                <w:color w:val="auto"/>
              </w:rPr>
            </w:pPr>
          </w:p>
        </w:tc>
      </w:tr>
      <w:tr>
        <w:trPr>
          <w:trHeight w:val="220"/>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4,985</w:t>
            </w: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4,985</w:t>
            </w: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income/(loss)</w:t>
            </w:r>
          </w:p>
        </w:tc>
        <w:tc>
          <w:tcPr>
            <w:tcW w:w="1300" w:type="dxa"/>
            <w:vAlign w:val="bottom"/>
            <w:shd w:val="clear" w:color="auto" w:fill="CCEEFF"/>
          </w:tcPr>
          <w:p>
            <w:pPr>
              <w:spacing w:after="0"/>
              <w:rPr>
                <w:sz w:val="20"/>
                <w:szCs w:val="20"/>
                <w:color w:val="auto"/>
              </w:rPr>
            </w:pPr>
          </w:p>
        </w:tc>
        <w:tc>
          <w:tcPr>
            <w:tcW w:w="9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3"/>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Conversion, stock option exercises, forfeitures,</w:t>
            </w:r>
          </w:p>
        </w:tc>
        <w:tc>
          <w:tcPr>
            <w:tcW w:w="1300" w:type="dxa"/>
            <w:vAlign w:val="bottom"/>
            <w:vMerge w:val="restart"/>
          </w:tcPr>
          <w:p>
            <w:pPr>
              <w:jc w:val="right"/>
              <w:ind w:right="162"/>
              <w:spacing w:after="0"/>
              <w:rPr>
                <w:sz w:val="20"/>
                <w:szCs w:val="20"/>
                <w:color w:val="auto"/>
              </w:rPr>
            </w:pPr>
            <w:r>
              <w:rPr>
                <w:rFonts w:ascii="Arial" w:cs="Arial" w:eastAsia="Arial" w:hAnsi="Arial"/>
                <w:sz w:val="16"/>
                <w:szCs w:val="16"/>
                <w:color w:val="auto"/>
              </w:rPr>
              <w:t>0.1</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6"/>
                <w:szCs w:val="16"/>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09"/>
        </w:trPr>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ESPP, and other [b]</w:t>
            </w:r>
          </w:p>
        </w:tc>
        <w:tc>
          <w:tcPr>
            <w:tcW w:w="1300" w:type="dxa"/>
            <w:vAlign w:val="bottom"/>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40" w:type="dxa"/>
            <w:vAlign w:val="bottom"/>
            <w:tcBorders>
              <w:right w:val="single" w:sz="8" w:color="auto"/>
            </w:tcBorders>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repurchase programs (Note 16)</w:t>
            </w: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declared ($3.94 per share)</w:t>
            </w: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20"/>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1,113.0</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2,783</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5,297</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64,677</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2025</w:t>
            </w:r>
          </w:p>
        </w:tc>
        <w:tc>
          <w:tcPr>
            <w:tcW w:w="1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1,113.0</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2,783</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5,334</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65,628</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16,890</w:t>
            </w:r>
          </w:p>
        </w:tc>
        <w:tc>
          <w:tcPr>
            <w:tcW w:w="0" w:type="dxa"/>
            <w:vAlign w:val="bottom"/>
          </w:tcPr>
          <w:p>
            <w:pPr>
              <w:spacing w:after="0"/>
              <w:rPr>
                <w:sz w:val="1"/>
                <w:szCs w:val="1"/>
                <w:color w:val="auto"/>
              </w:rPr>
            </w:pPr>
          </w:p>
        </w:tc>
      </w:tr>
      <w:tr>
        <w:trPr>
          <w:trHeight w:val="220"/>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5,290</w:t>
            </w: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income/(loss)</w:t>
            </w:r>
          </w:p>
        </w:tc>
        <w:tc>
          <w:tcPr>
            <w:tcW w:w="1300" w:type="dxa"/>
            <w:vAlign w:val="bottom"/>
            <w:shd w:val="clear" w:color="auto" w:fill="CCEEFF"/>
          </w:tcPr>
          <w:p>
            <w:pPr>
              <w:spacing w:after="0"/>
              <w:rPr>
                <w:sz w:val="20"/>
                <w:szCs w:val="20"/>
                <w:color w:val="auto"/>
              </w:rPr>
            </w:pPr>
          </w:p>
        </w:tc>
        <w:tc>
          <w:tcPr>
            <w:tcW w:w="9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3"/>
        </w:trPr>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Conversion, stock option exercises, forfeitures,</w:t>
            </w:r>
          </w:p>
        </w:tc>
        <w:tc>
          <w:tcPr>
            <w:tcW w:w="1300" w:type="dxa"/>
            <w:vAlign w:val="bottom"/>
            <w:vMerge w:val="restart"/>
          </w:tcPr>
          <w:p>
            <w:pPr>
              <w:jc w:val="right"/>
              <w:ind w:right="162"/>
              <w:spacing w:after="0"/>
              <w:rPr>
                <w:sz w:val="20"/>
                <w:szCs w:val="20"/>
                <w:color w:val="auto"/>
              </w:rPr>
            </w:pPr>
            <w:r>
              <w:rPr>
                <w:rFonts w:ascii="Arial" w:cs="Arial" w:eastAsia="Arial" w:hAnsi="Arial"/>
                <w:sz w:val="16"/>
                <w:szCs w:val="16"/>
                <w:color w:val="auto"/>
              </w:rPr>
              <w:t>0.2</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6"/>
                <w:szCs w:val="16"/>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6"/>
                <w:szCs w:val="16"/>
                <w:color w:val="auto"/>
              </w:rPr>
              <w:t>131</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09"/>
        </w:trPr>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ESPP, and other [b]</w:t>
            </w:r>
          </w:p>
        </w:tc>
        <w:tc>
          <w:tcPr>
            <w:tcW w:w="1300" w:type="dxa"/>
            <w:vAlign w:val="bottom"/>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40" w:type="dxa"/>
            <w:vAlign w:val="bottom"/>
            <w:tcBorders>
              <w:right w:val="single" w:sz="8" w:color="auto"/>
            </w:tcBorders>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repurchase programs (Note 16)</w:t>
            </w: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declared ($4.06 per share)</w:t>
            </w: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24"/>
        </w:trPr>
        <w:tc>
          <w:tcPr>
            <w:tcW w:w="3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1,113.2</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(520.0)</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2,783</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5,548</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68,501</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17,304</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AOCI = accumulated other comprehensive income/loss (Note 9)</w:t>
      </w:r>
    </w:p>
    <w:p>
      <w:pPr>
        <w:spacing w:after="0" w:line="19" w:lineRule="exact"/>
        <w:rPr>
          <w:rFonts w:ascii="Arial" w:cs="Arial" w:eastAsia="Arial" w:hAnsi="Arial"/>
          <w:sz w:val="14"/>
          <w:szCs w:val="14"/>
          <w:i w:val="1"/>
          <w:iCs w:val="1"/>
          <w:color w:val="auto"/>
        </w:rPr>
      </w:pPr>
    </w:p>
    <w:p>
      <w:pPr>
        <w:ind w:left="280" w:hanging="274"/>
        <w:spacing w:after="0"/>
        <w:tabs>
          <w:tab w:leader="none" w:pos="28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ESPP = employee stock purchase plan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UNION PACIFIC CORPORATION AND SUBSIDIARY COMPANIES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18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2024 Annual Report on Form 10- K. Our Consolidated Statement of Financial Position at December 31, 2024, is derived from audited financial statements. The results of operations for the nine months ended September 30, 2025, are not necessarily indicative of the results for the entire year ending December 31, 2025.</w:t>
      </w:r>
    </w:p>
    <w:p>
      <w:pPr>
        <w:spacing w:after="0" w:line="10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Condensed Consolidated Financial Statements are presented in accordance with GAAP as codified in the Financial Accounting Standards Board (FASB) Accounting Standards Codification (ASC). Certain prior period amounts have been reclassified to conform to the current period financial statement presentation.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Accounting Pronouncements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In December 2023, the FASB issued Accounting Standards Update No. (ASU) 2023 -09, </w:t>
      </w:r>
      <w:r>
        <w:rPr>
          <w:rFonts w:ascii="Arial" w:cs="Arial" w:eastAsia="Arial" w:hAnsi="Arial"/>
          <w:sz w:val="16"/>
          <w:szCs w:val="16"/>
          <w:i w:val="1"/>
          <w:iCs w:val="1"/>
          <w:color w:val="auto"/>
        </w:rPr>
        <w:t>Income Taxes (Topic 740): Improvements to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which requires business entities to expand their annual disclosures of the effective rate reconciliation and income taxes paid. The ASU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220- 40): Disaggregation of Income Statement Expenses, </w:t>
      </w:r>
      <w:r>
        <w:rPr>
          <w:rFonts w:ascii="Arial" w:cs="Arial" w:eastAsia="Arial" w:hAnsi="Arial"/>
          <w:sz w:val="16"/>
          <w:szCs w:val="16"/>
          <w:color w:val="auto"/>
        </w:rPr>
        <w:t>which requires disclosure of additional information about specific expense categories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notes to the financial statements. The ASU is effective for fiscal years beginning after December 15, 2026, and interim periods within fiscal years beginning after December 15, 2027, may be adopted on a prospective or retrospective basis, with early adoption permitted. The Company is currently evaluating the effect that the new guidance will have on our related disclosures.</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July 2025, the FASB issued ASU 2025-05, </w:t>
      </w:r>
      <w:r>
        <w:rPr>
          <w:rFonts w:ascii="Arial" w:cs="Arial" w:eastAsia="Arial" w:hAnsi="Arial"/>
          <w:sz w:val="16"/>
          <w:szCs w:val="16"/>
          <w:i w:val="1"/>
          <w:iCs w:val="1"/>
          <w:color w:val="auto"/>
        </w:rPr>
        <w:t>Financial Instruments - Credit Losses (Topic 326): Measurement of Credit Losses for Accounts Receivable</w:t>
      </w:r>
      <w:r>
        <w:rPr>
          <w:rFonts w:ascii="Arial" w:cs="Arial" w:eastAsia="Arial" w:hAnsi="Arial"/>
          <w:sz w:val="16"/>
          <w:szCs w:val="16"/>
          <w:color w:val="auto"/>
        </w:rPr>
        <w:t xml:space="preserve"> </w:t>
      </w:r>
      <w:r>
        <w:rPr>
          <w:rFonts w:ascii="Arial" w:cs="Arial" w:eastAsia="Arial" w:hAnsi="Arial"/>
          <w:sz w:val="16"/>
          <w:szCs w:val="16"/>
          <w:i w:val="1"/>
          <w:iCs w:val="1"/>
          <w:color w:val="auto"/>
        </w:rPr>
        <w:t>and Contract Assets</w:t>
      </w:r>
      <w:r>
        <w:rPr>
          <w:rFonts w:ascii="Arial" w:cs="Arial" w:eastAsia="Arial" w:hAnsi="Arial"/>
          <w:sz w:val="16"/>
          <w:szCs w:val="16"/>
          <w:color w:val="auto"/>
        </w:rPr>
        <w:t>, which allows a practical expedient that assumes current conditions as of the balance sheet date do not change for the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life of the asset. The ASU is effective for fiscal years beginning after December 15, 2025, and interim periods within those fiscal years, must be adopted on a prospective basis, and early adoption is permitted. The Company is currently evaluating the effect that the new guidance will have on our consolidated financial statements and related disclosures.</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 - Goodwill and Other - Internal-Use Software (Subtopic 350-40): Targeted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the Accounting for Internal-Use Software</w:t>
      </w:r>
      <w:r>
        <w:rPr>
          <w:rFonts w:ascii="Arial" w:cs="Arial" w:eastAsia="Arial" w:hAnsi="Arial"/>
          <w:sz w:val="16"/>
          <w:szCs w:val="16"/>
          <w:color w:val="auto"/>
        </w:rPr>
        <w:t>, which details the criteria for capitalization of internal-use software costs. The ASU is effective for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2027, and interim periods within those fiscal years, may be adopted on a prospective, modified, or retrospective transition approach, and early adoption is permitted. The Company is currently evaluating the effect that the new guidance will have on our consolidated financial statements and related disclosures.</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Operations and Segmentation</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14"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Our operating revenues are primarily derived from contracts with customers for the transportation of freight from origin to destination.</w:t>
      </w:r>
    </w:p>
    <w:p>
      <w:pPr>
        <w:spacing w:after="0" w:line="15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$ 752 million and $724 million for the three months ended September 30, 2025 and 2024, respectively, and $2.2 billion and $2.3 billion for the nine months ended September 30, 2025 and 2024, respectively.</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462"/>
              <w:spacing w:after="0"/>
              <w:rPr>
                <w:sz w:val="20"/>
                <w:szCs w:val="20"/>
                <w:color w:val="auto"/>
              </w:rPr>
            </w:pPr>
            <w:r>
              <w:rPr>
                <w:rFonts w:ascii="Arial" w:cs="Arial" w:eastAsia="Arial" w:hAnsi="Arial"/>
                <w:sz w:val="16"/>
                <w:szCs w:val="16"/>
                <w:i w:val="1"/>
                <w:iCs w:val="1"/>
                <w:color w:val="auto"/>
              </w:rPr>
              <w:t>Nine months ended</w:t>
            </w:r>
          </w:p>
        </w:tc>
      </w:tr>
      <w:tr>
        <w:trPr>
          <w:trHeight w:val="205"/>
        </w:trPr>
        <w:tc>
          <w:tcPr>
            <w:tcW w:w="38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40" w:type="dxa"/>
            <w:vAlign w:val="bottom"/>
            <w:gridSpan w:val="2"/>
          </w:tcPr>
          <w:p>
            <w:pPr>
              <w:jc w:val="right"/>
              <w:ind w:right="142"/>
              <w:spacing w:after="0"/>
              <w:rPr>
                <w:sz w:val="20"/>
                <w:szCs w:val="20"/>
                <w:color w:val="auto"/>
              </w:rPr>
            </w:pPr>
            <w:r>
              <w:rPr>
                <w:rFonts w:ascii="Arial" w:cs="Arial" w:eastAsia="Arial" w:hAnsi="Arial"/>
                <w:sz w:val="16"/>
                <w:szCs w:val="16"/>
                <w:i w:val="1"/>
                <w:iCs w:val="1"/>
                <w:color w:val="auto"/>
              </w:rPr>
              <w:t>September 30,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2"/>
              <w:spacing w:after="0"/>
              <w:rPr>
                <w:sz w:val="20"/>
                <w:szCs w:val="20"/>
                <w:color w:val="auto"/>
              </w:rPr>
            </w:pPr>
            <w:r>
              <w:rPr>
                <w:rFonts w:ascii="Arial" w:cs="Arial" w:eastAsia="Arial" w:hAnsi="Arial"/>
                <w:sz w:val="16"/>
                <w:szCs w:val="16"/>
                <w:i w:val="1"/>
                <w:iCs w:val="1"/>
                <w:color w:val="auto"/>
              </w:rPr>
              <w:t>September 30,</w:t>
            </w:r>
          </w:p>
        </w:tc>
        <w:tc>
          <w:tcPr>
            <w:tcW w:w="620" w:type="dxa"/>
            <w:vAlign w:val="bottom"/>
          </w:tcPr>
          <w:p>
            <w:pPr>
              <w:spacing w:after="0"/>
              <w:rPr>
                <w:sz w:val="17"/>
                <w:szCs w:val="17"/>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2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7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Bulk</w:t>
            </w:r>
          </w:p>
        </w:tc>
        <w:tc>
          <w:tcPr>
            <w:tcW w:w="212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1,930</w:t>
            </w: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1,805</w:t>
            </w:r>
          </w:p>
        </w:tc>
        <w:tc>
          <w:tcPr>
            <w:tcW w:w="38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5,667</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2,194</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2,121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6,488</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6,348</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1,803</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1,842</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5,306</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r>
      <w:tr>
        <w:trPr>
          <w:trHeight w:val="20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freight revenues</w:t>
            </w:r>
          </w:p>
        </w:tc>
        <w:tc>
          <w:tcPr>
            <w:tcW w:w="2120" w:type="dxa"/>
            <w:vAlign w:val="bottom"/>
            <w:tcBorders>
              <w:bottom w:val="single" w:sz="8" w:color="CCEEFF"/>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b w:val="1"/>
                <w:bCs w:val="1"/>
                <w:color w:val="auto"/>
              </w:rPr>
              <w:t>5,927</w:t>
            </w:r>
          </w:p>
        </w:tc>
        <w:tc>
          <w:tcPr>
            <w:tcW w:w="720" w:type="dxa"/>
            <w:vAlign w:val="bottom"/>
            <w:tcBorders>
              <w:bottom w:val="single" w:sz="8" w:color="CCEEFF"/>
            </w:tcBorders>
          </w:tcPr>
          <w:p>
            <w:pPr>
              <w:jc w:val="right"/>
              <w:ind w:right="5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4"/>
              </w:rPr>
              <w:t>5,768</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b w:val="1"/>
                <w:bCs w:val="1"/>
                <w:color w:val="auto"/>
              </w:rPr>
              <w:t>17,461</w:t>
            </w:r>
          </w:p>
        </w:tc>
        <w:tc>
          <w:tcPr>
            <w:tcW w:w="580" w:type="dxa"/>
            <w:vAlign w:val="bottom"/>
            <w:tcBorders>
              <w:bottom w:val="single" w:sz="8" w:color="CCEEFF"/>
            </w:tcBorders>
          </w:tcPr>
          <w:p>
            <w:pPr>
              <w:jc w:val="right"/>
              <w:ind w:right="4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17,022</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subsidiary revenues</w:t>
            </w: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172</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547</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Accessorial revenues</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124</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349</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68</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r>
      <w:tr>
        <w:trPr>
          <w:trHeight w:val="20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revenues</w:t>
            </w:r>
          </w:p>
        </w:tc>
        <w:tc>
          <w:tcPr>
            <w:tcW w:w="2120" w:type="dxa"/>
            <w:vAlign w:val="bottom"/>
            <w:tcBorders>
              <w:bottom w:val="single" w:sz="8" w:color="CCEEFF"/>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b w:val="1"/>
                <w:bCs w:val="1"/>
                <w:color w:val="auto"/>
              </w:rPr>
              <w:t>6,244</w:t>
            </w:r>
          </w:p>
        </w:tc>
        <w:tc>
          <w:tcPr>
            <w:tcW w:w="720" w:type="dxa"/>
            <w:vAlign w:val="bottom"/>
            <w:tcBorders>
              <w:bottom w:val="single" w:sz="8" w:color="CCEEFF"/>
            </w:tcBorders>
          </w:tcPr>
          <w:p>
            <w:pPr>
              <w:jc w:val="right"/>
              <w:ind w:right="5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4"/>
              </w:rPr>
              <w:t>6,091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b w:val="1"/>
                <w:bCs w:val="1"/>
                <w:color w:val="auto"/>
              </w:rPr>
              <w:t>18,425</w:t>
            </w:r>
          </w:p>
        </w:tc>
        <w:tc>
          <w:tcPr>
            <w:tcW w:w="580" w:type="dxa"/>
            <w:vAlign w:val="bottom"/>
            <w:tcBorders>
              <w:bottom w:val="single" w:sz="8" w:color="CCEEFF"/>
            </w:tcBorders>
          </w:tcPr>
          <w:p>
            <w:pPr>
              <w:jc w:val="right"/>
              <w:ind w:right="4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18,129</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w:t>
            </w:r>
          </w:p>
        </w:tc>
        <w:tc>
          <w:tcPr>
            <w:tcW w:w="2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1,711</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5,080</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5,066</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Administrative [a]</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176</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557</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Locomotive fuel</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600</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1,754</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Acquisition-related (Note 18)</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41</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42</w:t>
            </w:r>
          </w:p>
        </w:tc>
        <w:tc>
          <w:tcPr>
            <w:tcW w:w="58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segment items [b]</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549</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1,706</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618</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1,841</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27"/>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327</w:t>
            </w: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984</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530</w:t>
            </w: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1,468</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r>
      <w:tr>
        <w:trPr>
          <w:trHeight w:val="226"/>
        </w:trPr>
        <w:tc>
          <w:tcPr>
            <w:tcW w:w="3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12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1,788</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1,671</w:t>
            </w:r>
          </w:p>
        </w:tc>
        <w:tc>
          <w:tcPr>
            <w:tcW w:w="38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5,290</w:t>
            </w: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4,985</w:t>
            </w:r>
          </w:p>
        </w:tc>
      </w:tr>
    </w:tbl>
    <w:p>
      <w:pPr>
        <w:spacing w:after="0" w:line="160" w:lineRule="exact"/>
        <w:rPr>
          <w:sz w:val="20"/>
          <w:szCs w:val="20"/>
          <w:color w:val="auto"/>
        </w:rPr>
      </w:pPr>
    </w:p>
    <w:p>
      <w:pPr>
        <w:ind w:left="300" w:hanging="294"/>
        <w:spacing w:after="0" w:line="259" w:lineRule="auto"/>
        <w:tabs>
          <w:tab w:leader="none" w:pos="28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and administrative includes compensation and benefits, purchased services and materials, equipment and other rents, non-locomotive fuel, and other expenses.</w:t>
      </w:r>
    </w:p>
    <w:p>
      <w:pPr>
        <w:ind w:left="280" w:hanging="274"/>
        <w:spacing w:after="0"/>
        <w:tabs>
          <w:tab w:leader="none" w:pos="28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Other segment items includes car hire and leases, casualty costs, state and local taxes, subsidiary expense, and other overhead expense.</w:t>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Stock-Based Compensation</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several stock -based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tcPr>
          <w:p>
            <w:pPr>
              <w:spacing w:after="0"/>
              <w:rPr>
                <w:sz w:val="20"/>
                <w:szCs w:val="20"/>
                <w:color w:val="auto"/>
              </w:rPr>
            </w:pPr>
            <w:r>
              <w:rPr>
                <w:rFonts w:ascii="Arial" w:cs="Arial" w:eastAsia="Arial" w:hAnsi="Arial"/>
                <w:sz w:val="16"/>
                <w:szCs w:val="16"/>
                <w:color w:val="auto"/>
              </w:rPr>
              <w:t>Information regarding stock-based compensation expense appears in the table below:</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59"/>
        </w:trPr>
        <w:tc>
          <w:tcPr>
            <w:tcW w:w="6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gridSpan w:val="3"/>
          </w:tcPr>
          <w:p>
            <w:pPr>
              <w:jc w:val="right"/>
              <w:ind w:right="262"/>
              <w:spacing w:after="0"/>
              <w:rPr>
                <w:sz w:val="20"/>
                <w:szCs w:val="20"/>
                <w:color w:val="auto"/>
              </w:rPr>
            </w:pPr>
            <w:r>
              <w:rPr>
                <w:rFonts w:ascii="Arial" w:cs="Arial" w:eastAsia="Arial" w:hAnsi="Arial"/>
                <w:sz w:val="16"/>
                <w:szCs w:val="16"/>
                <w:i w:val="1"/>
                <w:iCs w:val="1"/>
                <w:color w:val="auto"/>
              </w:rPr>
              <w:t>Three months ended</w:t>
            </w:r>
          </w:p>
        </w:tc>
        <w:tc>
          <w:tcPr>
            <w:tcW w:w="260" w:type="dxa"/>
            <w:vAlign w:val="bottom"/>
          </w:tcPr>
          <w:p>
            <w:pPr>
              <w:spacing w:after="0"/>
              <w:rPr>
                <w:sz w:val="24"/>
                <w:szCs w:val="24"/>
                <w:color w:val="auto"/>
              </w:rPr>
            </w:pPr>
          </w:p>
        </w:tc>
        <w:tc>
          <w:tcPr>
            <w:tcW w:w="1800" w:type="dxa"/>
            <w:vAlign w:val="bottom"/>
            <w:gridSpan w:val="3"/>
          </w:tcPr>
          <w:p>
            <w:pPr>
              <w:ind w:left="100"/>
              <w:spacing w:after="0"/>
              <w:rPr>
                <w:sz w:val="20"/>
                <w:szCs w:val="20"/>
                <w:color w:val="auto"/>
              </w:rPr>
            </w:pPr>
            <w:r>
              <w:rPr>
                <w:rFonts w:ascii="Arial" w:cs="Arial" w:eastAsia="Arial" w:hAnsi="Arial"/>
                <w:sz w:val="16"/>
                <w:szCs w:val="16"/>
                <w:i w:val="1"/>
                <w:iCs w:val="1"/>
                <w:color w:val="auto"/>
              </w:rPr>
              <w:t>Nine months ended</w:t>
            </w:r>
          </w:p>
        </w:tc>
      </w:tr>
      <w:tr>
        <w:trPr>
          <w:trHeight w:val="205"/>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6"/>
                <w:szCs w:val="16"/>
                <w:i w:val="1"/>
                <w:iCs w:val="1"/>
                <w:color w:val="auto"/>
              </w:rPr>
              <w:t>September 30,</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40" w:type="dxa"/>
            <w:vAlign w:val="bottom"/>
          </w:tcPr>
          <w:p>
            <w:pPr>
              <w:spacing w:after="0"/>
              <w:rPr>
                <w:sz w:val="17"/>
                <w:szCs w:val="17"/>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6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6"/>
                <w:szCs w:val="16"/>
                <w:i w:val="1"/>
                <w:iCs w:val="1"/>
                <w:color w:val="auto"/>
                <w:w w:val="95"/>
              </w:rPr>
              <w:t>2024</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before tax:</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7"/>
        </w:trPr>
        <w:tc>
          <w:tcPr>
            <w:tcW w:w="6180" w:type="dxa"/>
            <w:vAlign w:val="bottom"/>
          </w:tcPr>
          <w:p>
            <w:pPr>
              <w:ind w:left="160"/>
              <w:spacing w:after="0"/>
              <w:rPr>
                <w:sz w:val="20"/>
                <w:szCs w:val="20"/>
                <w:color w:val="auto"/>
              </w:rPr>
            </w:pPr>
            <w:r>
              <w:rPr>
                <w:rFonts w:ascii="Arial" w:cs="Arial" w:eastAsia="Arial" w:hAnsi="Arial"/>
                <w:sz w:val="16"/>
                <w:szCs w:val="16"/>
                <w:color w:val="auto"/>
              </w:rPr>
              <w:t>Stock options</w:t>
            </w:r>
          </w:p>
        </w:tc>
        <w:tc>
          <w:tcPr>
            <w:tcW w:w="4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center"/>
              <w:ind w:left="22"/>
              <w:spacing w:after="0"/>
              <w:rPr>
                <w:sz w:val="20"/>
                <w:szCs w:val="20"/>
                <w:color w:val="auto"/>
              </w:rPr>
            </w:pPr>
            <w:r>
              <w:rPr>
                <w:rFonts w:ascii="Arial" w:cs="Arial" w:eastAsia="Arial" w:hAnsi="Arial"/>
                <w:sz w:val="16"/>
                <w:szCs w:val="16"/>
                <w:color w:val="auto"/>
              </w:rPr>
              <w:t>13</w:t>
            </w:r>
          </w:p>
        </w:tc>
      </w:tr>
      <w:tr>
        <w:trPr>
          <w:trHeight w:val="229"/>
        </w:trPr>
        <w:tc>
          <w:tcPr>
            <w:tcW w:w="6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Retention awards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30</w:t>
            </w: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58</w:t>
            </w:r>
          </w:p>
        </w:tc>
      </w:tr>
      <w:tr>
        <w:trPr>
          <w:trHeight w:val="227"/>
        </w:trPr>
        <w:tc>
          <w:tcPr>
            <w:tcW w:w="6180" w:type="dxa"/>
            <w:vAlign w:val="bottom"/>
          </w:tcPr>
          <w:p>
            <w:pPr>
              <w:ind w:left="160"/>
              <w:spacing w:after="0"/>
              <w:rPr>
                <w:sz w:val="20"/>
                <w:szCs w:val="20"/>
                <w:color w:val="auto"/>
              </w:rPr>
            </w:pPr>
            <w:r>
              <w:rPr>
                <w:rFonts w:ascii="Arial" w:cs="Arial" w:eastAsia="Arial" w:hAnsi="Arial"/>
                <w:sz w:val="16"/>
                <w:szCs w:val="16"/>
                <w:color w:val="auto"/>
              </w:rPr>
              <w:t>ESPP [a]</w:t>
            </w:r>
          </w:p>
        </w:tc>
        <w:tc>
          <w:tcPr>
            <w:tcW w:w="4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580" w:type="dxa"/>
            <w:vAlign w:val="bottom"/>
          </w:tcPr>
          <w:p>
            <w:pPr>
              <w:spacing w:after="0"/>
              <w:rPr>
                <w:sz w:val="19"/>
                <w:szCs w:val="19"/>
                <w:color w:val="auto"/>
              </w:rPr>
            </w:pPr>
          </w:p>
        </w:tc>
        <w:tc>
          <w:tcPr>
            <w:tcW w:w="440" w:type="dxa"/>
            <w:vAlign w:val="bottom"/>
          </w:tcPr>
          <w:p>
            <w:pPr>
              <w:jc w:val="center"/>
              <w:ind w:left="22"/>
              <w:spacing w:after="0"/>
              <w:rPr>
                <w:sz w:val="20"/>
                <w:szCs w:val="20"/>
                <w:color w:val="auto"/>
              </w:rPr>
            </w:pPr>
            <w:r>
              <w:rPr>
                <w:rFonts w:ascii="Arial" w:cs="Arial" w:eastAsia="Arial" w:hAnsi="Arial"/>
                <w:sz w:val="16"/>
                <w:szCs w:val="16"/>
                <w:color w:val="auto"/>
              </w:rPr>
              <w:t>16</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before tax</w:t>
            </w: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87</w:t>
            </w:r>
          </w:p>
        </w:tc>
      </w:tr>
      <w:tr>
        <w:trPr>
          <w:trHeight w:val="226"/>
        </w:trPr>
        <w:tc>
          <w:tcPr>
            <w:tcW w:w="6180" w:type="dxa"/>
            <w:vAlign w:val="bottom"/>
          </w:tcPr>
          <w:p>
            <w:pPr>
              <w:ind w:left="20"/>
              <w:spacing w:after="0"/>
              <w:rPr>
                <w:sz w:val="20"/>
                <w:szCs w:val="20"/>
                <w:color w:val="auto"/>
              </w:rPr>
            </w:pPr>
            <w:r>
              <w:rPr>
                <w:rFonts w:ascii="Arial" w:cs="Arial" w:eastAsia="Arial" w:hAnsi="Arial"/>
                <w:sz w:val="16"/>
                <w:szCs w:val="16"/>
                <w:color w:val="auto"/>
              </w:rPr>
              <w:t>Excess income tax benefits from equity compensation plans</w:t>
            </w:r>
          </w:p>
        </w:tc>
        <w:tc>
          <w:tcPr>
            <w:tcW w:w="4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center"/>
              <w:ind w:left="22"/>
              <w:spacing w:after="0"/>
              <w:rPr>
                <w:sz w:val="20"/>
                <w:szCs w:val="20"/>
                <w:color w:val="auto"/>
              </w:rPr>
            </w:pPr>
            <w:r>
              <w:rPr>
                <w:rFonts w:ascii="Arial" w:cs="Arial" w:eastAsia="Arial" w:hAnsi="Arial"/>
                <w:sz w:val="16"/>
                <w:szCs w:val="16"/>
                <w:color w:val="auto"/>
              </w:rPr>
              <w:t>13</w:t>
            </w:r>
          </w:p>
        </w:tc>
      </w:tr>
    </w:tbl>
    <w:p>
      <w:pPr>
        <w:spacing w:after="0" w:line="160" w:lineRule="exact"/>
        <w:rPr>
          <w:sz w:val="20"/>
          <w:szCs w:val="20"/>
          <w:color w:val="auto"/>
        </w:rPr>
      </w:pPr>
    </w:p>
    <w:p>
      <w:pPr>
        <w:ind w:left="300" w:right="20" w:hanging="294"/>
        <w:spacing w:after="0" w:line="291" w:lineRule="auto"/>
        <w:tabs>
          <w:tab w:leader="none" w:pos="288"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with the June 10, 2025, purchase (for employee services rendered in May 2025), the Company match was changed from 40% to 20% of amounts contributed by the employee up to a maximum employee contribution of 5% of monthly salary (limited to $15,000 annually).</w:t>
      </w:r>
    </w:p>
    <w:p>
      <w:pPr>
        <w:spacing w:after="0" w:line="9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Stock options are granted at the closing price on the date of grant, have 10-year contractual terms, and vest no later than 3 years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grant. At September 30, 2025, outstanding stock options are not subject to performance or market-based vesting conditions.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20" w:type="dxa"/>
            <w:vAlign w:val="bottom"/>
          </w:tcPr>
          <w:p>
            <w:pPr>
              <w:spacing w:after="0"/>
              <w:rPr>
                <w:sz w:val="20"/>
                <w:szCs w:val="20"/>
                <w:color w:val="auto"/>
              </w:rPr>
            </w:pPr>
            <w:r>
              <w:rPr>
                <w:rFonts w:ascii="Arial" w:cs="Arial" w:eastAsia="Arial" w:hAnsi="Arial"/>
                <w:sz w:val="16"/>
                <w:szCs w:val="16"/>
                <w:color w:val="auto"/>
              </w:rPr>
              <w:t>The table below shows the annual weighted-average assumptions used for Black-Scholes valuation purposes:</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3"/>
        </w:trPr>
        <w:tc>
          <w:tcPr>
            <w:tcW w:w="7820" w:type="dxa"/>
            <w:vAlign w:val="bottom"/>
          </w:tcPr>
          <w:p>
            <w:pPr>
              <w:ind w:left="20"/>
              <w:spacing w:after="0"/>
              <w:rPr>
                <w:sz w:val="20"/>
                <w:szCs w:val="20"/>
                <w:color w:val="auto"/>
              </w:rPr>
            </w:pPr>
            <w:r>
              <w:rPr>
                <w:rFonts w:ascii="Arial" w:cs="Arial" w:eastAsia="Arial" w:hAnsi="Arial"/>
                <w:sz w:val="16"/>
                <w:szCs w:val="16"/>
                <w:i w:val="1"/>
                <w:iCs w:val="1"/>
                <w:color w:val="auto"/>
              </w:rPr>
              <w:t>Weighted-average assumptions</w:t>
            </w:r>
          </w:p>
        </w:tc>
        <w:tc>
          <w:tcPr>
            <w:tcW w:w="54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2025</w:t>
            </w:r>
          </w:p>
        </w:tc>
        <w:tc>
          <w:tcPr>
            <w:tcW w:w="380" w:type="dxa"/>
            <w:vAlign w:val="bottom"/>
          </w:tcPr>
          <w:p>
            <w:pPr>
              <w:spacing w:after="0"/>
              <w:rPr>
                <w:sz w:val="24"/>
                <w:szCs w:val="24"/>
                <w:color w:val="auto"/>
              </w:rPr>
            </w:pPr>
          </w:p>
        </w:tc>
        <w:tc>
          <w:tcPr>
            <w:tcW w:w="940" w:type="dxa"/>
            <w:vAlign w:val="bottom"/>
          </w:tcPr>
          <w:p>
            <w:pPr>
              <w:jc w:val="right"/>
              <w:ind w:right="182"/>
              <w:spacing w:after="0"/>
              <w:rPr>
                <w:sz w:val="20"/>
                <w:szCs w:val="20"/>
                <w:color w:val="auto"/>
              </w:rPr>
            </w:pPr>
            <w:r>
              <w:rPr>
                <w:rFonts w:ascii="Arial" w:cs="Arial" w:eastAsia="Arial" w:hAnsi="Arial"/>
                <w:sz w:val="16"/>
                <w:szCs w:val="16"/>
                <w:i w:val="1"/>
                <w:iCs w:val="1"/>
                <w:color w:val="auto"/>
              </w:rPr>
              <w:t>2024</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r>
      <w:tr>
        <w:trPr>
          <w:trHeight w:val="227"/>
        </w:trPr>
        <w:tc>
          <w:tcPr>
            <w:tcW w:w="78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4.3</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4.4</w:t>
            </w:r>
          </w:p>
        </w:tc>
      </w:tr>
      <w:tr>
        <w:trPr>
          <w:trHeight w:val="227"/>
        </w:trPr>
        <w:tc>
          <w:tcPr>
            <w:tcW w:w="78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28.7%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grant-date fair value of options granted</w:t>
            </w:r>
          </w:p>
        </w:tc>
        <w:tc>
          <w:tcPr>
            <w:tcW w:w="5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48.70</w:t>
            </w:r>
          </w:p>
        </w:tc>
        <w:tc>
          <w:tcPr>
            <w:tcW w:w="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61.75</w:t>
            </w:r>
          </w:p>
        </w:tc>
      </w:tr>
    </w:tbl>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risk- 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during the nine months ended September 30, 2025, is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740" w:type="dxa"/>
            <w:vAlign w:val="bottom"/>
            <w:gridSpan w:val="3"/>
          </w:tcPr>
          <w:p>
            <w:pPr>
              <w:jc w:val="right"/>
              <w:ind w:right="82"/>
              <w:spacing w:after="0"/>
              <w:rPr>
                <w:sz w:val="20"/>
                <w:szCs w:val="20"/>
                <w:color w:val="auto"/>
              </w:rPr>
            </w:pPr>
            <w:r>
              <w:rPr>
                <w:rFonts w:ascii="Arial" w:cs="Arial" w:eastAsia="Arial" w:hAnsi="Arial"/>
                <w:sz w:val="16"/>
                <w:szCs w:val="16"/>
                <w:i w:val="1"/>
                <w:iCs w:val="1"/>
                <w:color w:val="auto"/>
              </w:rPr>
              <w:t>Options Weighted-average</w:t>
            </w:r>
          </w:p>
        </w:tc>
        <w:tc>
          <w:tcPr>
            <w:tcW w:w="2180" w:type="dxa"/>
            <w:vAlign w:val="bottom"/>
          </w:tcPr>
          <w:p>
            <w:pPr>
              <w:jc w:val="right"/>
              <w:spacing w:after="0"/>
              <w:rPr>
                <w:sz w:val="20"/>
                <w:szCs w:val="20"/>
                <w:color w:val="auto"/>
              </w:rPr>
            </w:pPr>
            <w:r>
              <w:rPr>
                <w:rFonts w:ascii="Arial" w:cs="Arial" w:eastAsia="Arial" w:hAnsi="Arial"/>
                <w:sz w:val="16"/>
                <w:szCs w:val="16"/>
                <w:i w:val="1"/>
                <w:iCs w:val="1"/>
                <w:color w:val="auto"/>
              </w:rPr>
              <w:t>Weighted-average remaining</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w w:val="96"/>
              </w:rPr>
              <w:t>Aggregate intrinsic</w:t>
            </w:r>
          </w:p>
        </w:tc>
      </w:tr>
      <w:tr>
        <w:trPr>
          <w:trHeight w:val="210"/>
        </w:trPr>
        <w:tc>
          <w:tcPr>
            <w:tcW w:w="4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(thous.)</w:t>
            </w:r>
          </w:p>
        </w:tc>
        <w:tc>
          <w:tcPr>
            <w:tcW w:w="220" w:type="dxa"/>
            <w:vAlign w:val="bottom"/>
          </w:tcPr>
          <w:p>
            <w:pPr>
              <w:spacing w:after="0"/>
              <w:rPr>
                <w:sz w:val="18"/>
                <w:szCs w:val="18"/>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i w:val="1"/>
                <w:iCs w:val="1"/>
                <w:color w:val="auto"/>
              </w:rPr>
              <w:t>exercise price</w:t>
            </w:r>
          </w:p>
        </w:tc>
        <w:tc>
          <w:tcPr>
            <w:tcW w:w="2180" w:type="dxa"/>
            <w:vAlign w:val="bottom"/>
          </w:tcPr>
          <w:p>
            <w:pPr>
              <w:jc w:val="right"/>
              <w:spacing w:after="0"/>
              <w:rPr>
                <w:sz w:val="20"/>
                <w:szCs w:val="20"/>
                <w:color w:val="auto"/>
              </w:rPr>
            </w:pPr>
            <w:r>
              <w:rPr>
                <w:rFonts w:ascii="Arial" w:cs="Arial" w:eastAsia="Arial" w:hAnsi="Arial"/>
                <w:sz w:val="16"/>
                <w:szCs w:val="16"/>
                <w:i w:val="1"/>
                <w:iCs w:val="1"/>
                <w:color w:val="auto"/>
              </w:rPr>
              <w:t>contractual term (in yrs.)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value (millions)</w:t>
            </w: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January 1, 2025</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195.81</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74</w:t>
            </w:r>
          </w:p>
        </w:tc>
      </w:tr>
      <w:tr>
        <w:trPr>
          <w:trHeight w:val="223"/>
        </w:trPr>
        <w:tc>
          <w:tcPr>
            <w:tcW w:w="4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19"/>
                <w:szCs w:val="19"/>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243.51</w:t>
            </w:r>
          </w:p>
        </w:tc>
        <w:tc>
          <w:tcPr>
            <w:tcW w:w="218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320" w:type="dxa"/>
            <w:vAlign w:val="bottom"/>
          </w:tcPr>
          <w:p>
            <w:pPr>
              <w:ind w:left="1040"/>
              <w:spacing w:after="0"/>
              <w:rPr>
                <w:sz w:val="20"/>
                <w:szCs w:val="20"/>
                <w:color w:val="auto"/>
              </w:rPr>
            </w:pPr>
            <w:r>
              <w:rPr>
                <w:rFonts w:ascii="Arial" w:cs="Arial" w:eastAsia="Arial" w:hAnsi="Arial"/>
                <w:sz w:val="16"/>
                <w:szCs w:val="16"/>
                <w:color w:val="auto"/>
                <w:w w:val="97"/>
              </w:rPr>
              <w:t>N/A</w:t>
            </w: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162.09</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97"/>
              </w:rPr>
              <w:t>N/A</w:t>
            </w:r>
          </w:p>
        </w:tc>
      </w:tr>
      <w:tr>
        <w:trPr>
          <w:trHeight w:val="223"/>
        </w:trPr>
        <w:tc>
          <w:tcPr>
            <w:tcW w:w="4200" w:type="dxa"/>
            <w:vAlign w:val="bottom"/>
          </w:tcPr>
          <w:p>
            <w:pPr>
              <w:ind w:left="20"/>
              <w:spacing w:after="0"/>
              <w:rPr>
                <w:sz w:val="20"/>
                <w:szCs w:val="20"/>
                <w:color w:val="auto"/>
              </w:rPr>
            </w:pPr>
            <w:r>
              <w:rPr>
                <w:rFonts w:ascii="Arial" w:cs="Arial" w:eastAsia="Arial" w:hAnsi="Arial"/>
                <w:sz w:val="16"/>
                <w:szCs w:val="16"/>
                <w:color w:val="auto"/>
              </w:rPr>
              <w:t>Forfeited or expired</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238.93</w:t>
            </w:r>
          </w:p>
        </w:tc>
        <w:tc>
          <w:tcPr>
            <w:tcW w:w="218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1320" w:type="dxa"/>
            <w:vAlign w:val="bottom"/>
          </w:tcPr>
          <w:p>
            <w:pPr>
              <w:ind w:left="1040"/>
              <w:spacing w:after="0"/>
              <w:rPr>
                <w:sz w:val="20"/>
                <w:szCs w:val="20"/>
                <w:color w:val="auto"/>
              </w:rPr>
            </w:pPr>
            <w:r>
              <w:rPr>
                <w:rFonts w:ascii="Arial" w:cs="Arial" w:eastAsia="Arial" w:hAnsi="Arial"/>
                <w:sz w:val="16"/>
                <w:szCs w:val="16"/>
                <w:color w:val="auto"/>
                <w:w w:val="97"/>
              </w:rPr>
              <w:t>N/A</w:t>
            </w: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2025</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2,122</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209.04</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67</w:t>
            </w:r>
          </w:p>
        </w:tc>
      </w:tr>
      <w:tr>
        <w:trPr>
          <w:trHeight w:val="223"/>
        </w:trPr>
        <w:tc>
          <w:tcPr>
            <w:tcW w:w="4200" w:type="dxa"/>
            <w:vAlign w:val="bottom"/>
          </w:tcPr>
          <w:p>
            <w:pPr>
              <w:ind w:left="20"/>
              <w:spacing w:after="0"/>
              <w:rPr>
                <w:sz w:val="20"/>
                <w:szCs w:val="20"/>
                <w:color w:val="auto"/>
              </w:rPr>
            </w:pPr>
            <w:r>
              <w:rPr>
                <w:rFonts w:ascii="Arial" w:cs="Arial" w:eastAsia="Arial" w:hAnsi="Arial"/>
                <w:sz w:val="16"/>
                <w:szCs w:val="16"/>
                <w:color w:val="auto"/>
              </w:rPr>
              <w:t>Vested or expected to vest at September 30, 2025</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2,102</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208.75</w:t>
            </w:r>
          </w:p>
        </w:tc>
        <w:tc>
          <w:tcPr>
            <w:tcW w:w="21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ind w:left="1040"/>
              <w:spacing w:after="0"/>
              <w:rPr>
                <w:sz w:val="20"/>
                <w:szCs w:val="20"/>
                <w:color w:val="auto"/>
              </w:rPr>
            </w:pPr>
            <w:r>
              <w:rPr>
                <w:rFonts w:ascii="Arial" w:cs="Arial" w:eastAsia="Arial" w:hAnsi="Arial"/>
                <w:sz w:val="16"/>
                <w:szCs w:val="16"/>
                <w:color w:val="auto"/>
              </w:rPr>
              <w:t>67</w:t>
            </w: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exercisable at September 30, 2025</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1,428</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194.51</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63</w:t>
            </w:r>
          </w:p>
        </w:tc>
      </w:tr>
      <w:tr>
        <w:trPr>
          <w:trHeight w:val="466"/>
        </w:trPr>
        <w:tc>
          <w:tcPr>
            <w:tcW w:w="4200" w:type="dxa"/>
            <w:vAlign w:val="bottom"/>
          </w:tcPr>
          <w:p>
            <w:pPr>
              <w:spacing w:after="0"/>
              <w:rPr>
                <w:sz w:val="24"/>
                <w:szCs w:val="24"/>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0"/>
        </w:trPr>
        <w:tc>
          <w:tcPr>
            <w:tcW w:w="42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At September 30, 2025, there was $16 million of unrecognized compensation expense related to nonvested stock options, which is expected to be recognized over a weighted-average period of 1.0 year. Additional information regarding stock option exercises appears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00" w:type="dxa"/>
            <w:vAlign w:val="bottom"/>
            <w:gridSpan w:val="3"/>
          </w:tcPr>
          <w:p>
            <w:pPr>
              <w:jc w:val="center"/>
              <w:ind w:right="182"/>
              <w:spacing w:after="0"/>
              <w:rPr>
                <w:sz w:val="20"/>
                <w:szCs w:val="20"/>
                <w:color w:val="auto"/>
              </w:rPr>
            </w:pPr>
            <w:r>
              <w:rPr>
                <w:rFonts w:ascii="Arial" w:cs="Arial" w:eastAsia="Arial" w:hAnsi="Arial"/>
                <w:sz w:val="16"/>
                <w:szCs w:val="16"/>
                <w:i w:val="1"/>
                <w:iCs w:val="1"/>
                <w:color w:val="auto"/>
                <w:w w:val="97"/>
              </w:rPr>
              <w:t>Three months ended</w:t>
            </w:r>
          </w:p>
        </w:tc>
        <w:tc>
          <w:tcPr>
            <w:tcW w:w="260" w:type="dxa"/>
            <w:vAlign w:val="bottom"/>
          </w:tcPr>
          <w:p>
            <w:pPr>
              <w:spacing w:after="0"/>
              <w:rPr>
                <w:sz w:val="16"/>
                <w:szCs w:val="16"/>
                <w:color w:val="auto"/>
              </w:rPr>
            </w:pPr>
          </w:p>
        </w:tc>
        <w:tc>
          <w:tcPr>
            <w:tcW w:w="1820" w:type="dxa"/>
            <w:vAlign w:val="bottom"/>
            <w:gridSpan w:val="3"/>
          </w:tcPr>
          <w:p>
            <w:pPr>
              <w:jc w:val="center"/>
              <w:ind w:right="162"/>
              <w:spacing w:after="0"/>
              <w:rPr>
                <w:sz w:val="20"/>
                <w:szCs w:val="20"/>
                <w:color w:val="auto"/>
              </w:rPr>
            </w:pPr>
            <w:r>
              <w:rPr>
                <w:rFonts w:ascii="Arial" w:cs="Arial" w:eastAsia="Arial" w:hAnsi="Arial"/>
                <w:sz w:val="16"/>
                <w:szCs w:val="16"/>
                <w:i w:val="1"/>
                <w:iCs w:val="1"/>
                <w:color w:val="auto"/>
                <w:w w:val="96"/>
              </w:rPr>
              <w:t>Nine months ended</w:t>
            </w:r>
          </w:p>
        </w:tc>
      </w:tr>
      <w:tr>
        <w:trPr>
          <w:trHeight w:val="205"/>
        </w:trPr>
        <w:tc>
          <w:tcPr>
            <w:tcW w:w="5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gridSpan w:val="2"/>
          </w:tcPr>
          <w:p>
            <w:pPr>
              <w:jc w:val="center"/>
              <w:ind w:left="162"/>
              <w:spacing w:after="0"/>
              <w:rPr>
                <w:sz w:val="20"/>
                <w:szCs w:val="20"/>
                <w:color w:val="auto"/>
              </w:rPr>
            </w:pPr>
            <w:r>
              <w:rPr>
                <w:rFonts w:ascii="Arial" w:cs="Arial" w:eastAsia="Arial" w:hAnsi="Arial"/>
                <w:sz w:val="16"/>
                <w:szCs w:val="16"/>
                <w:i w:val="1"/>
                <w:iCs w:val="1"/>
                <w:color w:val="auto"/>
                <w:w w:val="97"/>
              </w:rPr>
              <w:t>September 30,</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left="122"/>
              <w:spacing w:after="0"/>
              <w:rPr>
                <w:sz w:val="20"/>
                <w:szCs w:val="20"/>
                <w:color w:val="auto"/>
              </w:rPr>
            </w:pPr>
            <w:r>
              <w:rPr>
                <w:rFonts w:ascii="Arial" w:cs="Arial" w:eastAsia="Arial" w:hAnsi="Arial"/>
                <w:sz w:val="16"/>
                <w:szCs w:val="16"/>
                <w:i w:val="1"/>
                <w:iCs w:val="1"/>
                <w:color w:val="auto"/>
                <w:w w:val="97"/>
              </w:rPr>
              <w:t>September 30,</w:t>
            </w:r>
          </w:p>
        </w:tc>
        <w:tc>
          <w:tcPr>
            <w:tcW w:w="440" w:type="dxa"/>
            <w:vAlign w:val="bottom"/>
          </w:tcPr>
          <w:p>
            <w:pPr>
              <w:spacing w:after="0"/>
              <w:rPr>
                <w:sz w:val="17"/>
                <w:szCs w:val="17"/>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6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of stock options exercised</w:t>
            </w:r>
          </w:p>
        </w:tc>
        <w:tc>
          <w:tcPr>
            <w:tcW w:w="14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r>
      <w:tr>
        <w:trPr>
          <w:trHeight w:val="227"/>
        </w:trPr>
        <w:tc>
          <w:tcPr>
            <w:tcW w:w="5140" w:type="dxa"/>
            <w:vAlign w:val="bottom"/>
          </w:tcPr>
          <w:p>
            <w:pPr>
              <w:ind w:left="20"/>
              <w:spacing w:after="0"/>
              <w:rPr>
                <w:sz w:val="20"/>
                <w:szCs w:val="20"/>
                <w:color w:val="auto"/>
              </w:rPr>
            </w:pPr>
            <w:r>
              <w:rPr>
                <w:rFonts w:ascii="Arial" w:cs="Arial" w:eastAsia="Arial" w:hAnsi="Arial"/>
                <w:sz w:val="16"/>
                <w:szCs w:val="16"/>
                <w:color w:val="auto"/>
              </w:rPr>
              <w:t>Cash received from option exercises</w:t>
            </w:r>
          </w:p>
        </w:tc>
        <w:tc>
          <w:tcPr>
            <w:tcW w:w="14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58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47</w:t>
            </w:r>
          </w:p>
        </w:tc>
        <w:tc>
          <w:tcPr>
            <w:tcW w:w="600" w:type="dxa"/>
            <w:vAlign w:val="bottom"/>
          </w:tcPr>
          <w:p>
            <w:pPr>
              <w:spacing w:after="0"/>
              <w:rPr>
                <w:sz w:val="19"/>
                <w:szCs w:val="19"/>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40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shares repurchased for employee payroll taxes</w:t>
            </w:r>
          </w:p>
        </w:tc>
        <w:tc>
          <w:tcPr>
            <w:tcW w:w="1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7"/>
        </w:trPr>
        <w:tc>
          <w:tcPr>
            <w:tcW w:w="5140" w:type="dxa"/>
            <w:vAlign w:val="bottom"/>
          </w:tcPr>
          <w:p>
            <w:pPr>
              <w:ind w:left="20"/>
              <w:spacing w:after="0"/>
              <w:rPr>
                <w:sz w:val="20"/>
                <w:szCs w:val="20"/>
                <w:color w:val="auto"/>
              </w:rPr>
            </w:pPr>
            <w:r>
              <w:rPr>
                <w:rFonts w:ascii="Arial" w:cs="Arial" w:eastAsia="Arial" w:hAnsi="Arial"/>
                <w:sz w:val="16"/>
                <w:szCs w:val="16"/>
                <w:color w:val="auto"/>
              </w:rPr>
              <w:t>Income tax benefit realized from option exercises</w:t>
            </w:r>
          </w:p>
        </w:tc>
        <w:tc>
          <w:tcPr>
            <w:tcW w:w="14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0" w:type="dxa"/>
            <w:vAlign w:val="bottom"/>
          </w:tcPr>
          <w:p>
            <w:pPr>
              <w:spacing w:after="0"/>
              <w:rPr>
                <w:sz w:val="19"/>
                <w:szCs w:val="19"/>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grant-date fair value of stock options vested</w:t>
            </w:r>
          </w:p>
        </w:tc>
        <w:tc>
          <w:tcPr>
            <w:tcW w:w="1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r>
    </w:tbl>
    <w:p>
      <w:pPr>
        <w:spacing w:after="0" w:line="17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Retention awards </w:t>
      </w:r>
      <w:r>
        <w:rPr>
          <w:rFonts w:ascii="Arial" w:cs="Arial" w:eastAsia="Arial" w:hAnsi="Arial"/>
          <w:sz w:val="16"/>
          <w:szCs w:val="16"/>
          <w:color w:val="auto"/>
        </w:rPr>
        <w:t>– Retention awards are granted at no cost to the employee, vest over periods lasting up to 4 years, and have dividends and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paid to participants during the vesting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tcPr>
          <w:p>
            <w:pPr>
              <w:spacing w:after="0"/>
              <w:rPr>
                <w:sz w:val="20"/>
                <w:szCs w:val="20"/>
                <w:color w:val="auto"/>
              </w:rPr>
            </w:pPr>
            <w:r>
              <w:rPr>
                <w:rFonts w:ascii="Arial" w:cs="Arial" w:eastAsia="Arial" w:hAnsi="Arial"/>
                <w:sz w:val="16"/>
                <w:szCs w:val="16"/>
                <w:color w:val="auto"/>
                <w:w w:val="99"/>
              </w:rPr>
              <w:t>Changes in our retention awards during the nine months ended September 30, 2025, were as follows:</w:t>
            </w: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59"/>
        </w:trPr>
        <w:tc>
          <w:tcPr>
            <w:tcW w:w="7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w w:val="97"/>
              </w:rPr>
              <w:t>Weighted-average</w:t>
            </w:r>
          </w:p>
        </w:tc>
      </w:tr>
      <w:tr>
        <w:trPr>
          <w:trHeight w:val="210"/>
        </w:trPr>
        <w:tc>
          <w:tcPr>
            <w:tcW w:w="7160" w:type="dxa"/>
            <w:vAlign w:val="bottom"/>
          </w:tcPr>
          <w:p>
            <w:pPr>
              <w:spacing w:after="0"/>
              <w:rPr>
                <w:sz w:val="18"/>
                <w:szCs w:val="18"/>
                <w:color w:val="auto"/>
              </w:rPr>
            </w:pPr>
          </w:p>
        </w:tc>
        <w:tc>
          <w:tcPr>
            <w:tcW w:w="1580" w:type="dxa"/>
            <w:vAlign w:val="bottom"/>
          </w:tcPr>
          <w:p>
            <w:pPr>
              <w:jc w:val="right"/>
              <w:ind w:right="302"/>
              <w:spacing w:after="0"/>
              <w:rPr>
                <w:sz w:val="20"/>
                <w:szCs w:val="20"/>
                <w:color w:val="auto"/>
              </w:rPr>
            </w:pPr>
            <w:r>
              <w:rPr>
                <w:rFonts w:ascii="Arial" w:cs="Arial" w:eastAsia="Arial" w:hAnsi="Arial"/>
                <w:sz w:val="16"/>
                <w:szCs w:val="16"/>
                <w:i w:val="1"/>
                <w:iCs w:val="1"/>
                <w:color w:val="auto"/>
              </w:rPr>
              <w:t>Shares (thous.)</w:t>
            </w:r>
          </w:p>
        </w:tc>
        <w:tc>
          <w:tcPr>
            <w:tcW w:w="1820" w:type="dxa"/>
            <w:vAlign w:val="bottom"/>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3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at January 1, 2025</w:t>
            </w:r>
          </w:p>
        </w:tc>
        <w:tc>
          <w:tcPr>
            <w:tcW w:w="15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915</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222.50</w:t>
            </w: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362"/>
              <w:spacing w:after="0"/>
              <w:rPr>
                <w:sz w:val="20"/>
                <w:szCs w:val="20"/>
                <w:color w:val="auto"/>
              </w:rPr>
            </w:pPr>
            <w:r>
              <w:rPr>
                <w:rFonts w:ascii="Arial" w:cs="Arial" w:eastAsia="Arial" w:hAnsi="Arial"/>
                <w:sz w:val="16"/>
                <w:szCs w:val="16"/>
                <w:color w:val="auto"/>
              </w:rPr>
              <w:t>229</w:t>
            </w:r>
          </w:p>
        </w:tc>
        <w:tc>
          <w:tcPr>
            <w:tcW w:w="50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243.48</w:t>
            </w:r>
          </w:p>
        </w:tc>
      </w:tr>
      <w:tr>
        <w:trPr>
          <w:trHeight w:val="23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(230)</w:t>
            </w: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205.15</w:t>
            </w: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5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(32)</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230.39</w:t>
            </w:r>
          </w:p>
        </w:tc>
      </w:tr>
      <w:tr>
        <w:trPr>
          <w:trHeight w:val="220"/>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Nonvested at September 30, 2025</w:t>
            </w:r>
          </w:p>
        </w:tc>
        <w:tc>
          <w:tcPr>
            <w:tcW w:w="158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882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232.19</w:t>
            </w:r>
          </w:p>
        </w:tc>
      </w:tr>
    </w:tbl>
    <w:p>
      <w:pPr>
        <w:spacing w:after="0" w:line="18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At September 30, 2025, there was $68 million of total unrecognized compensation expense related to nonvested retention awards, which is expected to be recognized over a weighted-average period of 1.0 year.</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Performance stock unit awards </w:t>
      </w:r>
      <w:r>
        <w:rPr>
          <w:rFonts w:ascii="Arial" w:cs="Arial" w:eastAsia="Arial" w:hAnsi="Arial"/>
          <w:sz w:val="16"/>
          <w:szCs w:val="16"/>
          <w:color w:val="auto"/>
        </w:rPr>
        <w:t>– In February 2025, our Board of Directors approved performance stock unit grants. This plan is based on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February 2025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 -third of the fair value subject to the relative three- 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performance stock unit awards during the nine months ended September 30, 2025,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w w:val="97"/>
              </w:rPr>
              <w:t>Weighted-average</w:t>
            </w:r>
          </w:p>
        </w:tc>
      </w:tr>
      <w:tr>
        <w:trPr>
          <w:trHeight w:val="210"/>
        </w:trPr>
        <w:tc>
          <w:tcPr>
            <w:tcW w:w="4840" w:type="dxa"/>
            <w:vAlign w:val="bottom"/>
          </w:tcPr>
          <w:p>
            <w:pPr>
              <w:spacing w:after="0"/>
              <w:rPr>
                <w:sz w:val="18"/>
                <w:szCs w:val="18"/>
                <w:color w:val="auto"/>
              </w:rPr>
            </w:pPr>
          </w:p>
        </w:tc>
        <w:tc>
          <w:tcPr>
            <w:tcW w:w="3900" w:type="dxa"/>
            <w:vAlign w:val="bottom"/>
          </w:tcPr>
          <w:p>
            <w:pPr>
              <w:jc w:val="right"/>
              <w:ind w:right="302"/>
              <w:spacing w:after="0"/>
              <w:rPr>
                <w:sz w:val="20"/>
                <w:szCs w:val="20"/>
                <w:color w:val="auto"/>
              </w:rPr>
            </w:pPr>
            <w:r>
              <w:rPr>
                <w:rFonts w:ascii="Arial" w:cs="Arial" w:eastAsia="Arial" w:hAnsi="Arial"/>
                <w:sz w:val="16"/>
                <w:szCs w:val="16"/>
                <w:i w:val="1"/>
                <w:iCs w:val="1"/>
                <w:color w:val="auto"/>
              </w:rPr>
              <w:t>Shares (thous.)</w:t>
            </w:r>
          </w:p>
        </w:tc>
        <w:tc>
          <w:tcPr>
            <w:tcW w:w="1820" w:type="dxa"/>
            <w:vAlign w:val="bottom"/>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at January 1, 2025</w:t>
            </w:r>
          </w:p>
        </w:tc>
        <w:tc>
          <w:tcPr>
            <w:tcW w:w="390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607</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219.08</w:t>
            </w:r>
          </w:p>
        </w:tc>
      </w:tr>
      <w:tr>
        <w:trPr>
          <w:trHeight w:val="223"/>
        </w:trPr>
        <w:tc>
          <w:tcPr>
            <w:tcW w:w="4840" w:type="dxa"/>
            <w:vAlign w:val="bottom"/>
          </w:tcPr>
          <w:p>
            <w:pPr>
              <w:ind w:left="20"/>
              <w:spacing w:after="0"/>
              <w:rPr>
                <w:sz w:val="20"/>
                <w:szCs w:val="20"/>
                <w:color w:val="auto"/>
              </w:rPr>
            </w:pPr>
            <w:r>
              <w:rPr>
                <w:rFonts w:ascii="Arial" w:cs="Arial" w:eastAsia="Arial" w:hAnsi="Arial"/>
                <w:sz w:val="16"/>
                <w:szCs w:val="16"/>
                <w:color w:val="auto"/>
              </w:rPr>
              <w:t>Granted</w:t>
            </w:r>
          </w:p>
        </w:tc>
        <w:tc>
          <w:tcPr>
            <w:tcW w:w="3900" w:type="dxa"/>
            <w:vAlign w:val="bottom"/>
          </w:tcPr>
          <w:p>
            <w:pPr>
              <w:jc w:val="right"/>
              <w:ind w:right="382"/>
              <w:spacing w:after="0"/>
              <w:rPr>
                <w:sz w:val="20"/>
                <w:szCs w:val="20"/>
                <w:color w:val="auto"/>
              </w:rPr>
            </w:pPr>
            <w:r>
              <w:rPr>
                <w:rFonts w:ascii="Arial" w:cs="Arial" w:eastAsia="Arial" w:hAnsi="Arial"/>
                <w:sz w:val="16"/>
                <w:szCs w:val="16"/>
                <w:color w:val="auto"/>
              </w:rPr>
              <w:t>254</w:t>
            </w:r>
          </w:p>
        </w:tc>
        <w:tc>
          <w:tcPr>
            <w:tcW w:w="50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243.51</w:t>
            </w: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9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(72)</w:t>
            </w: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244.95</w:t>
            </w:r>
          </w:p>
        </w:tc>
      </w:tr>
      <w:tr>
        <w:trPr>
          <w:trHeight w:val="223"/>
        </w:trPr>
        <w:tc>
          <w:tcPr>
            <w:tcW w:w="4840" w:type="dxa"/>
            <w:vAlign w:val="bottom"/>
          </w:tcPr>
          <w:p>
            <w:pPr>
              <w:ind w:left="20"/>
              <w:spacing w:after="0"/>
              <w:rPr>
                <w:sz w:val="20"/>
                <w:szCs w:val="20"/>
                <w:color w:val="auto"/>
              </w:rPr>
            </w:pPr>
            <w:r>
              <w:rPr>
                <w:rFonts w:ascii="Arial" w:cs="Arial" w:eastAsia="Arial" w:hAnsi="Arial"/>
                <w:sz w:val="16"/>
                <w:szCs w:val="16"/>
                <w:color w:val="auto"/>
              </w:rPr>
              <w:t>Unearned</w:t>
            </w:r>
          </w:p>
        </w:tc>
        <w:tc>
          <w:tcPr>
            <w:tcW w:w="3900" w:type="dxa"/>
            <w:vAlign w:val="bottom"/>
          </w:tcPr>
          <w:p>
            <w:pPr>
              <w:jc w:val="right"/>
              <w:ind w:right="342"/>
              <w:spacing w:after="0"/>
              <w:rPr>
                <w:sz w:val="20"/>
                <w:szCs w:val="20"/>
                <w:color w:val="auto"/>
              </w:rPr>
            </w:pPr>
            <w:r>
              <w:rPr>
                <w:rFonts w:ascii="Arial" w:cs="Arial" w:eastAsia="Arial" w:hAnsi="Arial"/>
                <w:sz w:val="16"/>
                <w:szCs w:val="16"/>
                <w:color w:val="auto"/>
              </w:rPr>
              <w:t>(83)</w:t>
            </w:r>
          </w:p>
        </w:tc>
        <w:tc>
          <w:tcPr>
            <w:tcW w:w="50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244.35</w:t>
            </w: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39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(85)</w:t>
            </w: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218.45</w:t>
            </w:r>
          </w:p>
        </w:tc>
      </w:tr>
      <w:tr>
        <w:trPr>
          <w:trHeight w:val="218"/>
        </w:trPr>
        <w:tc>
          <w:tcPr>
            <w:tcW w:w="4840" w:type="dxa"/>
            <w:vAlign w:val="bottom"/>
          </w:tcPr>
          <w:p>
            <w:pPr>
              <w:ind w:left="20"/>
              <w:spacing w:after="0"/>
              <w:rPr>
                <w:sz w:val="20"/>
                <w:szCs w:val="20"/>
                <w:color w:val="auto"/>
              </w:rPr>
            </w:pPr>
            <w:r>
              <w:rPr>
                <w:rFonts w:ascii="Arial" w:cs="Arial" w:eastAsia="Arial" w:hAnsi="Arial"/>
                <w:sz w:val="16"/>
                <w:szCs w:val="16"/>
                <w:color w:val="auto"/>
              </w:rPr>
              <w:t>Nonvested at September 30, 2025</w:t>
            </w:r>
          </w:p>
        </w:tc>
        <w:tc>
          <w:tcPr>
            <w:tcW w:w="3900" w:type="dxa"/>
            <w:vAlign w:val="bottom"/>
          </w:tcPr>
          <w:p>
            <w:pPr>
              <w:jc w:val="right"/>
              <w:ind w:right="382"/>
              <w:spacing w:after="0"/>
              <w:rPr>
                <w:sz w:val="20"/>
                <w:szCs w:val="20"/>
                <w:color w:val="auto"/>
              </w:rPr>
            </w:pPr>
            <w:r>
              <w:rPr>
                <w:rFonts w:ascii="Arial" w:cs="Arial" w:eastAsia="Arial" w:hAnsi="Arial"/>
                <w:sz w:val="16"/>
                <w:szCs w:val="16"/>
                <w:color w:val="auto"/>
              </w:rPr>
              <w:t>621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222.78</w:t>
            </w:r>
          </w:p>
        </w:tc>
      </w:tr>
    </w:tbl>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At September 30, 2025, there was $ 18 million of total unrecognized compensation expense related to nonvested performance stock unit awards, which is expected to be recognized over a weighted-average period of 1.5 years. This expense is subject to achievement of the performance measures established for the performance stock unit grants.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Retirement Plans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provide defined benefit retirement income to eligible non-union employees through qualified and non-qualified (supplemental) pension plans. Qualified and non- 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Pension expense is determined based upon the annual service cost of benefits (the actuarial cost of benefits earned during a period) and the interest cost on those liabilities, less the expected return on plan assets. The expected long -term rate of return on plan assets is applied to a calculated value of plan assets that recognizes changes in fair value over a 5-year period. This practice is intended to reduce year- 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spacing w:after="0"/>
              <w:rPr>
                <w:sz w:val="20"/>
                <w:szCs w:val="20"/>
                <w:color w:val="auto"/>
              </w:rPr>
            </w:pPr>
            <w:r>
              <w:rPr>
                <w:rFonts w:ascii="Arial" w:cs="Arial" w:eastAsia="Arial" w:hAnsi="Arial"/>
                <w:sz w:val="16"/>
                <w:szCs w:val="16"/>
                <w:color w:val="auto"/>
              </w:rPr>
              <w:t>The components of our net periodic pension benefit/cost were as follows:</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59"/>
        </w:trPr>
        <w:tc>
          <w:tcPr>
            <w:tcW w:w="5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right"/>
              <w:ind w:right="282"/>
              <w:spacing w:after="0"/>
              <w:rPr>
                <w:sz w:val="20"/>
                <w:szCs w:val="20"/>
                <w:color w:val="auto"/>
              </w:rPr>
            </w:pPr>
            <w:r>
              <w:rPr>
                <w:rFonts w:ascii="Arial" w:cs="Arial" w:eastAsia="Arial" w:hAnsi="Arial"/>
                <w:sz w:val="16"/>
                <w:szCs w:val="16"/>
                <w:i w:val="1"/>
                <w:iCs w:val="1"/>
                <w:color w:val="auto"/>
              </w:rPr>
              <w:t>Three months ended</w:t>
            </w:r>
          </w:p>
        </w:tc>
        <w:tc>
          <w:tcPr>
            <w:tcW w:w="260" w:type="dxa"/>
            <w:vAlign w:val="bottom"/>
          </w:tcPr>
          <w:p>
            <w:pPr>
              <w:spacing w:after="0"/>
              <w:rPr>
                <w:sz w:val="24"/>
                <w:szCs w:val="24"/>
                <w:color w:val="auto"/>
              </w:rPr>
            </w:pPr>
          </w:p>
        </w:tc>
        <w:tc>
          <w:tcPr>
            <w:tcW w:w="1820" w:type="dxa"/>
            <w:vAlign w:val="bottom"/>
            <w:gridSpan w:val="3"/>
          </w:tcPr>
          <w:p>
            <w:pPr>
              <w:jc w:val="right"/>
              <w:ind w:right="282"/>
              <w:spacing w:after="0"/>
              <w:rPr>
                <w:sz w:val="20"/>
                <w:szCs w:val="20"/>
                <w:color w:val="auto"/>
              </w:rPr>
            </w:pPr>
            <w:r>
              <w:rPr>
                <w:rFonts w:ascii="Arial" w:cs="Arial" w:eastAsia="Arial" w:hAnsi="Arial"/>
                <w:sz w:val="16"/>
                <w:szCs w:val="16"/>
                <w:i w:val="1"/>
                <w:iCs w:val="1"/>
                <w:color w:val="auto"/>
              </w:rPr>
              <w:t>Nine months ended</w:t>
            </w:r>
          </w:p>
        </w:tc>
      </w:tr>
      <w:tr>
        <w:trPr>
          <w:trHeight w:val="205"/>
        </w:trPr>
        <w:tc>
          <w:tcPr>
            <w:tcW w:w="5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6"/>
                <w:szCs w:val="16"/>
                <w:i w:val="1"/>
                <w:iCs w:val="1"/>
                <w:color w:val="auto"/>
              </w:rPr>
              <w:t>September 30,</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60" w:type="dxa"/>
            <w:vAlign w:val="bottom"/>
          </w:tcPr>
          <w:p>
            <w:pPr>
              <w:spacing w:after="0"/>
              <w:rPr>
                <w:sz w:val="17"/>
                <w:szCs w:val="17"/>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w:t>
            </w: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r>
      <w:tr>
        <w:trPr>
          <w:trHeight w:val="227"/>
        </w:trPr>
        <w:tc>
          <w:tcPr>
            <w:tcW w:w="57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45</w:t>
            </w:r>
          </w:p>
        </w:tc>
        <w:tc>
          <w:tcPr>
            <w:tcW w:w="58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135</w:t>
            </w: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8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7"/>
        </w:trPr>
        <w:tc>
          <w:tcPr>
            <w:tcW w:w="5720" w:type="dxa"/>
            <w:vAlign w:val="bottom"/>
          </w:tcPr>
          <w:p>
            <w:pPr>
              <w:ind w:left="20"/>
              <w:spacing w:after="0"/>
              <w:rPr>
                <w:sz w:val="20"/>
                <w:szCs w:val="20"/>
                <w:color w:val="auto"/>
              </w:rPr>
            </w:pPr>
            <w:r>
              <w:rPr>
                <w:rFonts w:ascii="Arial" w:cs="Arial" w:eastAsia="Arial" w:hAnsi="Arial"/>
                <w:sz w:val="16"/>
                <w:szCs w:val="16"/>
                <w:color w:val="auto"/>
              </w:rPr>
              <w:t>Amortization of actuarial loss</w:t>
            </w:r>
          </w:p>
        </w:tc>
        <w:tc>
          <w:tcPr>
            <w:tcW w:w="8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58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5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(benefit)/cost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contributions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the nine months ended September 30, 2025, cash contributions totaled $0 to the qualified pension plans. Any contributions made during 2025 will be based on cash generated from operations and financial market considerations. Our policy with respect to funding the qualified pension plans is to fund at least the minimum required by law and not more than the maximum amount deductible for tax purposes. At September 30, 2025, we do not have minimum cash funding requirements for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20"/>
                <w:szCs w:val="20"/>
                <w:color w:val="auto"/>
              </w:rPr>
            </w:pPr>
            <w:r>
              <w:rPr>
                <w:rFonts w:ascii="Arial" w:cs="Arial" w:eastAsia="Arial" w:hAnsi="Arial"/>
                <w:sz w:val="16"/>
                <w:szCs w:val="16"/>
                <w:b w:val="1"/>
                <w:bCs w:val="1"/>
                <w:color w:val="auto"/>
              </w:rPr>
              <w:t>6. Other Income</w:t>
            </w: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64"/>
        </w:trPr>
        <w:tc>
          <w:tcPr>
            <w:tcW w:w="4900" w:type="dxa"/>
            <w:vAlign w:val="bottom"/>
          </w:tcPr>
          <w:p>
            <w:pPr>
              <w:spacing w:after="0"/>
              <w:rPr>
                <w:sz w:val="20"/>
                <w:szCs w:val="20"/>
                <w:color w:val="auto"/>
              </w:rPr>
            </w:pPr>
            <w:r>
              <w:rPr>
                <w:rFonts w:ascii="Arial" w:cs="Arial" w:eastAsia="Arial" w:hAnsi="Arial"/>
                <w:sz w:val="16"/>
                <w:szCs w:val="16"/>
                <w:color w:val="auto"/>
              </w:rPr>
              <w:t>Other income included the following:</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9"/>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gridSpan w:val="3"/>
          </w:tcPr>
          <w:p>
            <w:pPr>
              <w:jc w:val="right"/>
              <w:ind w:right="262"/>
              <w:spacing w:after="0"/>
              <w:rPr>
                <w:sz w:val="20"/>
                <w:szCs w:val="20"/>
                <w:color w:val="auto"/>
              </w:rPr>
            </w:pPr>
            <w:r>
              <w:rPr>
                <w:rFonts w:ascii="Arial" w:cs="Arial" w:eastAsia="Arial" w:hAnsi="Arial"/>
                <w:sz w:val="16"/>
                <w:szCs w:val="16"/>
                <w:i w:val="1"/>
                <w:iCs w:val="1"/>
                <w:color w:val="auto"/>
              </w:rPr>
              <w:t>Three months ended</w:t>
            </w:r>
          </w:p>
        </w:tc>
        <w:tc>
          <w:tcPr>
            <w:tcW w:w="260" w:type="dxa"/>
            <w:vAlign w:val="bottom"/>
          </w:tcPr>
          <w:p>
            <w:pPr>
              <w:spacing w:after="0"/>
              <w:rPr>
                <w:sz w:val="24"/>
                <w:szCs w:val="24"/>
                <w:color w:val="auto"/>
              </w:rPr>
            </w:pPr>
          </w:p>
        </w:tc>
        <w:tc>
          <w:tcPr>
            <w:tcW w:w="1800" w:type="dxa"/>
            <w:vAlign w:val="bottom"/>
            <w:gridSpan w:val="3"/>
          </w:tcPr>
          <w:p>
            <w:pPr>
              <w:jc w:val="right"/>
              <w:ind w:right="262"/>
              <w:spacing w:after="0"/>
              <w:rPr>
                <w:sz w:val="20"/>
                <w:szCs w:val="20"/>
                <w:color w:val="auto"/>
              </w:rPr>
            </w:pPr>
            <w:r>
              <w:rPr>
                <w:rFonts w:ascii="Arial" w:cs="Arial" w:eastAsia="Arial" w:hAnsi="Arial"/>
                <w:sz w:val="16"/>
                <w:szCs w:val="16"/>
                <w:i w:val="1"/>
                <w:iCs w:val="1"/>
                <w:color w:val="auto"/>
              </w:rPr>
              <w:t>Nine months ended</w:t>
            </w:r>
          </w:p>
        </w:tc>
      </w:tr>
      <w:tr>
        <w:trPr>
          <w:trHeight w:val="205"/>
        </w:trPr>
        <w:tc>
          <w:tcPr>
            <w:tcW w:w="4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gridSpan w:val="2"/>
          </w:tcPr>
          <w:p>
            <w:pPr>
              <w:jc w:val="right"/>
              <w:ind w:right="2"/>
              <w:spacing w:after="0"/>
              <w:rPr>
                <w:sz w:val="20"/>
                <w:szCs w:val="20"/>
                <w:color w:val="auto"/>
              </w:rPr>
            </w:pPr>
            <w:r>
              <w:rPr>
                <w:rFonts w:ascii="Arial" w:cs="Arial" w:eastAsia="Arial" w:hAnsi="Arial"/>
                <w:sz w:val="16"/>
                <w:szCs w:val="16"/>
                <w:i w:val="1"/>
                <w:iCs w:val="1"/>
                <w:color w:val="auto"/>
              </w:rPr>
              <w:t>September 30,</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40" w:type="dxa"/>
            <w:vAlign w:val="bottom"/>
          </w:tcPr>
          <w:p>
            <w:pPr>
              <w:spacing w:after="0"/>
              <w:rPr>
                <w:sz w:val="17"/>
                <w:szCs w:val="17"/>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6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income</w:t>
            </w:r>
          </w:p>
        </w:tc>
        <w:tc>
          <w:tcPr>
            <w:tcW w:w="17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74</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27"/>
        </w:trPr>
        <w:tc>
          <w:tcPr>
            <w:tcW w:w="49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74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12</w:t>
            </w:r>
          </w:p>
        </w:tc>
        <w:tc>
          <w:tcPr>
            <w:tcW w:w="600" w:type="dxa"/>
            <w:vAlign w:val="bottom"/>
          </w:tcPr>
          <w:p>
            <w:pPr>
              <w:spacing w:after="0"/>
              <w:rPr>
                <w:sz w:val="19"/>
                <w:szCs w:val="19"/>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580" w:type="dxa"/>
            <w:vAlign w:val="bottom"/>
          </w:tcPr>
          <w:p>
            <w:pPr>
              <w:spacing w:after="0"/>
              <w:rPr>
                <w:sz w:val="19"/>
                <w:szCs w:val="19"/>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39</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benefit/(costs)</w:t>
            </w:r>
          </w:p>
        </w:tc>
        <w:tc>
          <w:tcPr>
            <w:tcW w:w="17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w:t>
            </w: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r>
      <w:tr>
        <w:trPr>
          <w:trHeight w:val="227"/>
        </w:trPr>
        <w:tc>
          <w:tcPr>
            <w:tcW w:w="4900" w:type="dxa"/>
            <w:vAlign w:val="bottom"/>
          </w:tcPr>
          <w:p>
            <w:pPr>
              <w:ind w:left="20"/>
              <w:spacing w:after="0"/>
              <w:rPr>
                <w:sz w:val="20"/>
                <w:szCs w:val="20"/>
                <w:color w:val="auto"/>
              </w:rPr>
            </w:pPr>
            <w:r>
              <w:rPr>
                <w:rFonts w:ascii="Arial" w:cs="Arial" w:eastAsia="Arial" w:hAnsi="Arial"/>
                <w:sz w:val="16"/>
                <w:szCs w:val="16"/>
                <w:color w:val="auto"/>
              </w:rPr>
              <w:t>Non-operating property environmental remediation and restoration</w:t>
            </w:r>
          </w:p>
        </w:tc>
        <w:tc>
          <w:tcPr>
            <w:tcW w:w="1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from IRS refund claims</w:t>
            </w:r>
          </w:p>
        </w:tc>
        <w:tc>
          <w:tcPr>
            <w:tcW w:w="17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r>
      <w:tr>
        <w:trPr>
          <w:trHeight w:val="227"/>
        </w:trPr>
        <w:tc>
          <w:tcPr>
            <w:tcW w:w="490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580" w:type="dxa"/>
            <w:vAlign w:val="bottom"/>
          </w:tcPr>
          <w:p>
            <w:pPr>
              <w:spacing w:after="0"/>
              <w:rPr>
                <w:sz w:val="19"/>
                <w:szCs w:val="19"/>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96</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466"/>
        </w:trPr>
        <w:tc>
          <w:tcPr>
            <w:tcW w:w="4900" w:type="dxa"/>
            <w:vAlign w:val="bottom"/>
          </w:tcPr>
          <w:p>
            <w:pPr>
              <w:spacing w:after="0"/>
              <w:rPr>
                <w:sz w:val="24"/>
                <w:szCs w:val="24"/>
                <w:color w:val="auto"/>
              </w:rPr>
            </w:pPr>
          </w:p>
        </w:tc>
        <w:tc>
          <w:tcPr>
            <w:tcW w:w="174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rPr>
              <w:t>12</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0"/>
        </w:trPr>
        <w:tc>
          <w:tcPr>
            <w:tcW w:w="490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the second quarter of 2025, the state of Kansas enacted legislation modifying the corporate income tax apportionment formula for future years resulting in a $115 million reduction of our deferred tax expense.</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the second quarter of 2024, the state of Arkansas enacted legislation to reduce its corporate income tax rate for future years resulting in an $8 million reduction of our deferred tax expense.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20"/>
                <w:szCs w:val="20"/>
                <w:color w:val="auto"/>
              </w:rPr>
            </w:pPr>
            <w:r>
              <w:rPr>
                <w:rFonts w:ascii="Arial" w:cs="Arial" w:eastAsia="Arial" w:hAnsi="Arial"/>
                <w:sz w:val="16"/>
                <w:szCs w:val="16"/>
                <w:b w:val="1"/>
                <w:bCs w:val="1"/>
                <w:color w:val="auto"/>
              </w:rPr>
              <w:t>8. Earnings Per Share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64"/>
        </w:trPr>
        <w:tc>
          <w:tcPr>
            <w:tcW w:w="6340" w:type="dxa"/>
            <w:vAlign w:val="bottom"/>
          </w:tcPr>
          <w:p>
            <w:pPr>
              <w:spacing w:after="0"/>
              <w:rPr>
                <w:sz w:val="20"/>
                <w:szCs w:val="20"/>
                <w:color w:val="auto"/>
              </w:rPr>
            </w:pPr>
            <w:r>
              <w:rPr>
                <w:rFonts w:ascii="Arial" w:cs="Arial" w:eastAsia="Arial" w:hAnsi="Arial"/>
                <w:sz w:val="16"/>
                <w:szCs w:val="16"/>
                <w:color w:val="auto"/>
                <w:w w:val="98"/>
              </w:rPr>
              <w:t>The following table provides a reconciliation between basic and diluted earnings per share: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9"/>
        </w:trPr>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3"/>
          </w:tcPr>
          <w:p>
            <w:pPr>
              <w:jc w:val="right"/>
              <w:ind w:right="222"/>
              <w:spacing w:after="0"/>
              <w:rPr>
                <w:sz w:val="20"/>
                <w:szCs w:val="20"/>
                <w:color w:val="auto"/>
              </w:rPr>
            </w:pPr>
            <w:r>
              <w:rPr>
                <w:rFonts w:ascii="Arial" w:cs="Arial" w:eastAsia="Arial" w:hAnsi="Arial"/>
                <w:sz w:val="16"/>
                <w:szCs w:val="16"/>
                <w:i w:val="1"/>
                <w:iCs w:val="1"/>
                <w:color w:val="auto"/>
              </w:rPr>
              <w:t>Three months ended</w:t>
            </w:r>
          </w:p>
        </w:tc>
        <w:tc>
          <w:tcPr>
            <w:tcW w:w="300" w:type="dxa"/>
            <w:vAlign w:val="bottom"/>
          </w:tcPr>
          <w:p>
            <w:pPr>
              <w:spacing w:after="0"/>
              <w:rPr>
                <w:sz w:val="24"/>
                <w:szCs w:val="24"/>
                <w:color w:val="auto"/>
              </w:rPr>
            </w:pPr>
          </w:p>
        </w:tc>
        <w:tc>
          <w:tcPr>
            <w:tcW w:w="1820" w:type="dxa"/>
            <w:vAlign w:val="bottom"/>
            <w:gridSpan w:val="3"/>
          </w:tcPr>
          <w:p>
            <w:pPr>
              <w:jc w:val="right"/>
              <w:ind w:right="282"/>
              <w:spacing w:after="0"/>
              <w:rPr>
                <w:sz w:val="20"/>
                <w:szCs w:val="20"/>
                <w:color w:val="auto"/>
              </w:rPr>
            </w:pPr>
            <w:r>
              <w:rPr>
                <w:rFonts w:ascii="Arial" w:cs="Arial" w:eastAsia="Arial" w:hAnsi="Arial"/>
                <w:sz w:val="16"/>
                <w:szCs w:val="16"/>
                <w:i w:val="1"/>
                <w:iCs w:val="1"/>
                <w:color w:val="auto"/>
              </w:rPr>
              <w:t>Nine months ended</w:t>
            </w:r>
          </w:p>
        </w:tc>
      </w:tr>
      <w:tr>
        <w:trPr>
          <w:trHeight w:val="205"/>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80" w:type="dxa"/>
            <w:vAlign w:val="bottom"/>
          </w:tcPr>
          <w:p>
            <w:pPr>
              <w:spacing w:after="0"/>
              <w:rPr>
                <w:sz w:val="17"/>
                <w:szCs w:val="17"/>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6"/>
                <w:szCs w:val="16"/>
                <w:i w:val="1"/>
                <w:iCs w:val="1"/>
                <w:color w:val="auto"/>
              </w:rPr>
              <w:t>Millions, except per share amounts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1,788</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1,671</w:t>
            </w:r>
          </w:p>
        </w:tc>
        <w:tc>
          <w:tcPr>
            <w:tcW w:w="3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5,290</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4,985</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3"/>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592.4</w:t>
            </w: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607.6</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595.8</w:t>
            </w: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w:t>
            </w:r>
          </w:p>
        </w:tc>
      </w:tr>
      <w:tr>
        <w:trPr>
          <w:trHeight w:val="227"/>
        </w:trPr>
        <w:tc>
          <w:tcPr>
            <w:tcW w:w="6340" w:type="dxa"/>
            <w:vAlign w:val="bottom"/>
          </w:tcPr>
          <w:p>
            <w:pPr>
              <w:ind w:left="160"/>
              <w:spacing w:after="0"/>
              <w:rPr>
                <w:sz w:val="20"/>
                <w:szCs w:val="20"/>
                <w:color w:val="auto"/>
              </w:rPr>
            </w:pPr>
            <w:r>
              <w:rPr>
                <w:rFonts w:ascii="Arial" w:cs="Arial" w:eastAsia="Arial" w:hAnsi="Arial"/>
                <w:sz w:val="16"/>
                <w:szCs w:val="16"/>
                <w:color w:val="auto"/>
              </w:rPr>
              <w:t>Dilutive effect of stock options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29"/>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effect of retention shares and units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7"/>
        </w:trPr>
        <w:tc>
          <w:tcPr>
            <w:tcW w:w="634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593.2</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608.6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596.7</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609.7</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 basic</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3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8.88</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8.19</w:t>
            </w:r>
          </w:p>
        </w:tc>
      </w:tr>
      <w:tr>
        <w:trPr>
          <w:trHeight w:val="227"/>
        </w:trPr>
        <w:tc>
          <w:tcPr>
            <w:tcW w:w="634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2.75</w:t>
            </w:r>
          </w:p>
        </w:tc>
        <w:tc>
          <w:tcPr>
            <w:tcW w:w="3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8.87</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8.18</w:t>
            </w:r>
          </w:p>
        </w:tc>
      </w:tr>
      <w:tr>
        <w:trPr>
          <w:trHeight w:val="228"/>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excluded as their inclusion would be anti-dilutive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Accumulated Other Comprehensive Income/Loss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66998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9885" cy="762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Foreign</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Unrealized gain on</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572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Arial" w:cs="Arial" w:eastAsia="Arial" w:hAnsi="Arial"/>
                <w:sz w:val="16"/>
                <w:szCs w:val="16"/>
                <w:i w:val="1"/>
                <w:iCs w:val="1"/>
                <w:color w:val="auto"/>
              </w:rPr>
              <w:t>Defined benefit</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i w:val="1"/>
                <w:iCs w:val="1"/>
                <w:color w:val="auto"/>
              </w:rPr>
              <w:t>currency</w:t>
            </w:r>
          </w:p>
        </w:tc>
        <w:tc>
          <w:tcPr>
            <w:tcW w:w="1600" w:type="dxa"/>
            <w:vAlign w:val="bottom"/>
            <w:gridSpan w:val="2"/>
          </w:tcPr>
          <w:p>
            <w:pPr>
              <w:jc w:val="right"/>
              <w:spacing w:after="0" w:line="180" w:lineRule="exact"/>
              <w:rPr>
                <w:sz w:val="20"/>
                <w:szCs w:val="20"/>
                <w:color w:val="auto"/>
              </w:rPr>
            </w:pPr>
            <w:r>
              <w:rPr>
                <w:rFonts w:ascii="Arial" w:cs="Arial" w:eastAsia="Arial" w:hAnsi="Arial"/>
                <w:sz w:val="16"/>
                <w:szCs w:val="16"/>
                <w:i w:val="1"/>
                <w:iCs w:val="1"/>
                <w:color w:val="auto"/>
              </w:rPr>
              <w:t>derivative instruments</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plans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translation</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[a]</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Total</w:t>
            </w:r>
          </w:p>
        </w:tc>
      </w:tr>
      <w:tr>
        <w:trPr>
          <w:trHeight w:val="22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July 1, 2025</w:t>
            </w: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20"/>
        </w:trPr>
        <w:tc>
          <w:tcPr>
            <w:tcW w:w="572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4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22</w:t>
            </w:r>
          </w:p>
        </w:tc>
      </w:tr>
      <w:tr>
        <w:trPr>
          <w:trHeight w:val="228"/>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income/(loss) [b]</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Net quarter-to-date other comprehensive income/(loss), net of taxes of $0.1 million</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w:t>
            </w:r>
          </w:p>
        </w:tc>
      </w:tr>
      <w:tr>
        <w:trPr>
          <w:trHeight w:val="22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2025</w:t>
            </w: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25"/>
        </w:trPr>
        <w:tc>
          <w:tcPr>
            <w:tcW w:w="5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15"/>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July 1, 2024</w:t>
            </w: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20"/>
        </w:trPr>
        <w:tc>
          <w:tcPr>
            <w:tcW w:w="572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4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28"/>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income/(loss) [b]</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2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Net quarter-to-date other comprehensive income/(loss), net of taxes of $0.8 million</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2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bl>
    <w:p>
      <w:pPr>
        <w:spacing w:after="0" w:line="158" w:lineRule="exact"/>
        <w:rPr>
          <w:sz w:val="20"/>
          <w:szCs w:val="20"/>
          <w:color w:val="auto"/>
        </w:rPr>
      </w:pPr>
    </w:p>
    <w:p>
      <w:pPr>
        <w:ind w:left="280" w:hanging="274"/>
        <w:spacing w:after="0"/>
        <w:tabs>
          <w:tab w:leader="none" w:pos="2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interest rate swaps from equity method investments.</w:t>
      </w:r>
    </w:p>
    <w:p>
      <w:pPr>
        <w:spacing w:after="0" w:line="19" w:lineRule="exact"/>
        <w:rPr>
          <w:rFonts w:ascii="Arial" w:cs="Arial" w:eastAsia="Arial" w:hAnsi="Arial"/>
          <w:sz w:val="14"/>
          <w:szCs w:val="14"/>
          <w:i w:val="1"/>
          <w:iCs w:val="1"/>
          <w:color w:val="auto"/>
        </w:rPr>
      </w:pPr>
    </w:p>
    <w:p>
      <w:pPr>
        <w:ind w:left="300" w:right="20" w:hanging="294"/>
        <w:spacing w:after="0" w:line="273" w:lineRule="auto"/>
        <w:tabs>
          <w:tab w:leader="none" w:pos="288"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66998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9885" cy="762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Foreign</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Unrealized gain on</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5680" w:type="dxa"/>
            <w:vAlign w:val="bottom"/>
          </w:tcPr>
          <w:p>
            <w:pPr>
              <w:spacing w:after="0"/>
              <w:rPr>
                <w:sz w:val="15"/>
                <w:szCs w:val="15"/>
                <w:color w:val="auto"/>
              </w:rPr>
            </w:pPr>
          </w:p>
        </w:tc>
        <w:tc>
          <w:tcPr>
            <w:tcW w:w="1200" w:type="dxa"/>
            <w:vAlign w:val="bottom"/>
            <w:gridSpan w:val="2"/>
          </w:tcPr>
          <w:p>
            <w:pPr>
              <w:jc w:val="right"/>
              <w:spacing w:after="0" w:line="180" w:lineRule="exact"/>
              <w:rPr>
                <w:sz w:val="20"/>
                <w:szCs w:val="20"/>
                <w:color w:val="auto"/>
              </w:rPr>
            </w:pPr>
            <w:r>
              <w:rPr>
                <w:rFonts w:ascii="Arial" w:cs="Arial" w:eastAsia="Arial" w:hAnsi="Arial"/>
                <w:sz w:val="16"/>
                <w:szCs w:val="16"/>
                <w:i w:val="1"/>
                <w:iCs w:val="1"/>
                <w:color w:val="auto"/>
              </w:rPr>
              <w:t>Defined benefit</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i w:val="1"/>
                <w:iCs w:val="1"/>
                <w:color w:val="auto"/>
              </w:rPr>
              <w:t>currency</w:t>
            </w:r>
          </w:p>
        </w:tc>
        <w:tc>
          <w:tcPr>
            <w:tcW w:w="1600" w:type="dxa"/>
            <w:vAlign w:val="bottom"/>
            <w:gridSpan w:val="2"/>
          </w:tcPr>
          <w:p>
            <w:pPr>
              <w:jc w:val="right"/>
              <w:spacing w:after="0" w:line="180" w:lineRule="exact"/>
              <w:rPr>
                <w:sz w:val="20"/>
                <w:szCs w:val="20"/>
                <w:color w:val="auto"/>
              </w:rPr>
            </w:pPr>
            <w:r>
              <w:rPr>
                <w:rFonts w:ascii="Arial" w:cs="Arial" w:eastAsia="Arial" w:hAnsi="Arial"/>
                <w:sz w:val="16"/>
                <w:szCs w:val="16"/>
                <w:i w:val="1"/>
                <w:iCs w:val="1"/>
                <w:color w:val="auto"/>
              </w:rPr>
              <w:t>derivative instruments</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plans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translation</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[a]</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Total</w:t>
            </w:r>
          </w:p>
        </w:tc>
      </w:tr>
      <w:tr>
        <w:trPr>
          <w:trHeight w:val="22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2025</w:t>
            </w:r>
          </w:p>
        </w:tc>
        <w:tc>
          <w:tcPr>
            <w:tcW w:w="48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20"/>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48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53</w:t>
            </w:r>
          </w:p>
        </w:tc>
      </w:tr>
      <w:tr>
        <w:trPr>
          <w:trHeight w:val="228"/>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income/(loss) [b]</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8"/>
              </w:rPr>
              <w:t>Net year-to-date other comprehensive income/(loss), net of taxes of ($1.8) million</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w:t>
            </w:r>
          </w:p>
        </w:tc>
      </w:tr>
      <w:tr>
        <w:trPr>
          <w:trHeight w:val="22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2025</w:t>
            </w:r>
          </w:p>
        </w:tc>
        <w:tc>
          <w:tcPr>
            <w:tcW w:w="48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25"/>
        </w:trPr>
        <w:tc>
          <w:tcPr>
            <w:tcW w:w="5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15"/>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2024</w:t>
            </w:r>
          </w:p>
        </w:tc>
        <w:tc>
          <w:tcPr>
            <w:tcW w:w="48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20"/>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48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income/(loss) [b]</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year-to-date other comprehensive income/(loss), net of taxes of $0.7 million</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2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48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bl>
    <w:p>
      <w:pPr>
        <w:spacing w:after="0" w:line="158" w:lineRule="exact"/>
        <w:rPr>
          <w:sz w:val="20"/>
          <w:szCs w:val="20"/>
          <w:color w:val="auto"/>
        </w:rPr>
      </w:pPr>
    </w:p>
    <w:p>
      <w:pPr>
        <w:ind w:left="280" w:hanging="274"/>
        <w:spacing w:after="0"/>
        <w:tabs>
          <w:tab w:leader="none" w:pos="2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interest rate swaps from equity method investments.</w:t>
      </w:r>
    </w:p>
    <w:p>
      <w:pPr>
        <w:spacing w:after="0" w:line="19" w:lineRule="exact"/>
        <w:rPr>
          <w:rFonts w:ascii="Arial" w:cs="Arial" w:eastAsia="Arial" w:hAnsi="Arial"/>
          <w:sz w:val="14"/>
          <w:szCs w:val="14"/>
          <w:i w:val="1"/>
          <w:iCs w:val="1"/>
          <w:color w:val="auto"/>
        </w:rPr>
      </w:pPr>
    </w:p>
    <w:p>
      <w:pPr>
        <w:ind w:left="300" w:right="20" w:hanging="294"/>
        <w:spacing w:after="0" w:line="273" w:lineRule="auto"/>
        <w:tabs>
          <w:tab w:leader="none" w:pos="288"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Accounts Receivable</w:t>
      </w:r>
    </w:p>
    <w:p>
      <w:pPr>
        <w:spacing w:after="0" w:line="19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Accounts receivable include freight and other receivables reduced by an allowance for doubtful accounts. At September 30, 2025, and December 31, 2024, our accounts receivable were reduced by $5 million and $6 million, respectively. Receivables not expected to be collected in one year and the associated allowances are classified as other assets in our Condensed Consolidated Statements of Financial Position. At September 30, 2025, and December 31, 2024, receivables classified as other assets were reduced by allowances of $71 million and $69 million, respectively.</w:t>
      </w:r>
    </w:p>
    <w:p>
      <w:pPr>
        <w:spacing w:after="0" w:line="126"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b w:val="1"/>
          <w:bCs w:val="1"/>
          <w:color w:val="auto"/>
        </w:rPr>
        <w:t xml:space="preserve">Receivables securitization facility </w:t>
      </w:r>
      <w:r>
        <w:rPr>
          <w:rFonts w:ascii="Arial" w:cs="Arial" w:eastAsia="Arial" w:hAnsi="Arial"/>
          <w:sz w:val="14"/>
          <w:szCs w:val="14"/>
          <w:color w:val="auto"/>
        </w:rPr>
        <w:t>– On July 28, 2025, the Railroad completed the renewal of the receivables securitization facility (the Receivables</w:t>
      </w:r>
      <w:r>
        <w:rPr>
          <w:rFonts w:ascii="Arial" w:cs="Arial" w:eastAsia="Arial" w:hAnsi="Arial"/>
          <w:sz w:val="14"/>
          <w:szCs w:val="14"/>
          <w:b w:val="1"/>
          <w:bCs w:val="1"/>
          <w:color w:val="auto"/>
        </w:rPr>
        <w:t xml:space="preserve"> </w:t>
      </w:r>
      <w:r>
        <w:rPr>
          <w:rFonts w:ascii="Arial" w:cs="Arial" w:eastAsia="Arial" w:hAnsi="Arial"/>
          <w:sz w:val="14"/>
          <w:szCs w:val="14"/>
          <w:color w:val="auto"/>
        </w:rPr>
        <w:t>Facility). The new $ 600 million, 3 -year facility replaces the prior $ 800 million facility and will mature in July 2028.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0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amount recorded under the Receivables Facility was $0 at both September 30, 2025, and December 31, 2024. During the nine months ended September 30, 2025, we issued $0 and repaid $0 under the Receivables Facility. The Receivables Facility was supported by $1.6 billion of accounts receivable as collateral at both September 30, 2025, and December 31, 2024, which, as a retained interest, is included in accounts receivable, net in our Condensed Consolidated Statements of Financial Position.</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outstanding amount the Railroad maintains under the Receivables Facility may fluctuate based on current cash needs. The maximum allowed under the Receivables Facility is $600 million with availability directly impacted by eligible receivables, business volume,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2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$1 million and $ 2 million for the three months ended September 30, 2025 and 2024, respectively, and $3 million and $7 million for the nine months ended September 30, 2025 and 2024, respectively.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Properties</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following tables list the major categories of property and equipment, as well as the weighted-average estimated useful life for each category (in years):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Millions, except estimated useful life</w:t>
            </w:r>
          </w:p>
        </w:tc>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Accumulated</w:t>
            </w:r>
          </w:p>
        </w:tc>
        <w:tc>
          <w:tcPr>
            <w:tcW w:w="320" w:type="dxa"/>
            <w:vAlign w:val="bottom"/>
          </w:tcPr>
          <w:p>
            <w:pPr>
              <w:spacing w:after="0"/>
              <w:rPr>
                <w:sz w:val="16"/>
                <w:szCs w:val="16"/>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i w:val="1"/>
                <w:iCs w:val="1"/>
                <w:color w:val="auto"/>
              </w:rPr>
              <w:t>Net book</w:t>
            </w: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Estimated</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As of September 30, 2025</w:t>
            </w:r>
          </w:p>
        </w:tc>
        <w:tc>
          <w:tcPr>
            <w:tcW w:w="1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Cost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depreciation</w:t>
            </w:r>
          </w:p>
        </w:tc>
        <w:tc>
          <w:tcPr>
            <w:tcW w:w="320" w:type="dxa"/>
            <w:vAlign w:val="bottom"/>
          </w:tcPr>
          <w:p>
            <w:pPr>
              <w:spacing w:after="0"/>
              <w:rPr>
                <w:sz w:val="18"/>
                <w:szCs w:val="18"/>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i w:val="1"/>
                <w:iCs w:val="1"/>
                <w:color w:val="auto"/>
              </w:rPr>
              <w:t>value</w:t>
            </w: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useful life</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5,455</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N/A $</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5,455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Road:</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Rail and other track material</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7,858</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11,788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Ties</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12,699</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4,251</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8,448</w:t>
            </w: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Ballast</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6,618</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2,274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4,344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Other roadway [a]</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24,385</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6,005</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18,380</w:t>
            </w: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road</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63,348</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20,388</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42,960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Locomotives</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9,899</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3,819</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6,080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Freight cars</w:t>
            </w:r>
          </w:p>
        </w:tc>
        <w:tc>
          <w:tcPr>
            <w:tcW w:w="18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3,063</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1,088</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1,975</w:t>
            </w: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 equipment and other</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1,287</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763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Total equipment</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14,249</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5,431</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8,818</w:t>
            </w: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other</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1,386</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749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18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1,410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1,410</w:t>
            </w: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85,848</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26,456</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59,392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385"/>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Millions, except estimated useful life</w:t>
            </w: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Accumulated</w:t>
            </w:r>
          </w:p>
        </w:tc>
        <w:tc>
          <w:tcPr>
            <w:tcW w:w="320" w:type="dxa"/>
            <w:vAlign w:val="bottom"/>
          </w:tcPr>
          <w:p>
            <w:pPr>
              <w:spacing w:after="0"/>
              <w:rPr>
                <w:sz w:val="24"/>
                <w:szCs w:val="24"/>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i w:val="1"/>
                <w:iCs w:val="1"/>
                <w:color w:val="auto"/>
              </w:rPr>
              <w:t>Net book</w:t>
            </w: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Estimated</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As of December 31, 2024</w:t>
            </w:r>
          </w:p>
        </w:tc>
        <w:tc>
          <w:tcPr>
            <w:tcW w:w="1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Cost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depreciation</w:t>
            </w:r>
          </w:p>
        </w:tc>
        <w:tc>
          <w:tcPr>
            <w:tcW w:w="320" w:type="dxa"/>
            <w:vAlign w:val="bottom"/>
          </w:tcPr>
          <w:p>
            <w:pPr>
              <w:spacing w:after="0"/>
              <w:rPr>
                <w:sz w:val="18"/>
                <w:szCs w:val="18"/>
                <w:color w:val="auto"/>
              </w:rPr>
            </w:pPr>
          </w:p>
        </w:tc>
        <w:tc>
          <w:tcPr>
            <w:tcW w:w="1240" w:type="dxa"/>
            <w:vAlign w:val="bottom"/>
          </w:tcPr>
          <w:p>
            <w:pPr>
              <w:jc w:val="right"/>
              <w:ind w:right="322"/>
              <w:spacing w:after="0"/>
              <w:rPr>
                <w:sz w:val="20"/>
                <w:szCs w:val="20"/>
                <w:color w:val="auto"/>
              </w:rPr>
            </w:pPr>
            <w:r>
              <w:rPr>
                <w:rFonts w:ascii="Arial" w:cs="Arial" w:eastAsia="Arial" w:hAnsi="Arial"/>
                <w:sz w:val="16"/>
                <w:szCs w:val="16"/>
                <w:i w:val="1"/>
                <w:iCs w:val="1"/>
                <w:color w:val="auto"/>
              </w:rPr>
              <w:t>value</w:t>
            </w: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useful life</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5,441</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N/A $</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5,441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Road:</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Rail and other track material</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7,642</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11,641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Ties</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12,358</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4,109</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8,249</w:t>
            </w: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Ballast</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6,495</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2,182</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4,313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Other roadway [a]</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23,913</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5,681</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18,232</w:t>
            </w: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road</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62,049</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19,614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42,435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Locomotives</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9,517</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5,793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4000" w:type="dxa"/>
            <w:vAlign w:val="bottom"/>
          </w:tcPr>
          <w:p>
            <w:pPr>
              <w:ind w:left="160"/>
              <w:spacing w:after="0"/>
              <w:rPr>
                <w:sz w:val="20"/>
                <w:szCs w:val="20"/>
                <w:color w:val="auto"/>
              </w:rPr>
            </w:pPr>
            <w:r>
              <w:rPr>
                <w:rFonts w:ascii="Arial" w:cs="Arial" w:eastAsia="Arial" w:hAnsi="Arial"/>
                <w:sz w:val="16"/>
                <w:szCs w:val="16"/>
                <w:color w:val="auto"/>
              </w:rPr>
              <w:t>Freight cars</w:t>
            </w:r>
          </w:p>
        </w:tc>
        <w:tc>
          <w:tcPr>
            <w:tcW w:w="18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3,011</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1,037</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1,974</w:t>
            </w: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4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 equipment and other [b]</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1,222</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482</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740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Total equipment</w:t>
            </w:r>
          </w:p>
        </w:tc>
        <w:tc>
          <w:tcPr>
            <w:tcW w:w="1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13,750</w:t>
            </w:r>
          </w:p>
        </w:tc>
        <w:tc>
          <w:tcPr>
            <w:tcW w:w="2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5,243</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8,507</w:t>
            </w: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other</w:t>
            </w:r>
          </w:p>
        </w:tc>
        <w:tc>
          <w:tcPr>
            <w:tcW w:w="18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1,431</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640</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791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18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1,169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9"/>
                <w:szCs w:val="19"/>
                <w:color w:val="auto"/>
              </w:rPr>
            </w:pPr>
          </w:p>
        </w:tc>
        <w:tc>
          <w:tcPr>
            <w:tcW w:w="1240" w:type="dxa"/>
            <w:vAlign w:val="bottom"/>
          </w:tcPr>
          <w:p>
            <w:pPr>
              <w:jc w:val="right"/>
              <w:ind w:right="382"/>
              <w:spacing w:after="0"/>
              <w:rPr>
                <w:sz w:val="20"/>
                <w:szCs w:val="20"/>
                <w:color w:val="auto"/>
              </w:rPr>
            </w:pPr>
            <w:r>
              <w:rPr>
                <w:rFonts w:ascii="Arial" w:cs="Arial" w:eastAsia="Arial" w:hAnsi="Arial"/>
                <w:sz w:val="16"/>
                <w:szCs w:val="16"/>
                <w:color w:val="auto"/>
              </w:rPr>
              <w:t>1,169</w:t>
            </w: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83,840</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25,497</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58,343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bl>
    <w:p>
      <w:pPr>
        <w:spacing w:after="0" w:line="158" w:lineRule="exact"/>
        <w:rPr>
          <w:sz w:val="20"/>
          <w:szCs w:val="20"/>
          <w:color w:val="auto"/>
        </w:rPr>
      </w:pPr>
    </w:p>
    <w:p>
      <w:pPr>
        <w:ind w:left="280" w:hanging="274"/>
        <w:spacing w:after="0"/>
        <w:tabs>
          <w:tab w:leader="none" w:pos="2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Other roadway includes grading, bridges and tunnels, signals, buildings, and other road assets.</w:t>
      </w:r>
    </w:p>
    <w:p>
      <w:pPr>
        <w:spacing w:after="0" w:line="19" w:lineRule="exact"/>
        <w:rPr>
          <w:rFonts w:ascii="Arial" w:cs="Arial" w:eastAsia="Arial" w:hAnsi="Arial"/>
          <w:sz w:val="14"/>
          <w:szCs w:val="14"/>
          <w:i w:val="1"/>
          <w:iCs w:val="1"/>
          <w:color w:val="auto"/>
        </w:rPr>
      </w:pPr>
    </w:p>
    <w:p>
      <w:pPr>
        <w:jc w:val="both"/>
        <w:ind w:left="300" w:hanging="294"/>
        <w:spacing w:after="0" w:line="258" w:lineRule="auto"/>
        <w:tabs>
          <w:tab w:leader="none" w:pos="288"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In the second quarter of 2024, we sold a large portion of an intermodal equipment asset class resulting in a $46 million gain recognized in other expense in our Condensed Consolidated Statements of Income.</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520" w:type="dxa"/>
            <w:vAlign w:val="bottom"/>
            <w:gridSpan w:val="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2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74"/>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12. Accounts Payable and Other Current Liabilities</w:t>
            </w:r>
          </w:p>
        </w:tc>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7"/>
        </w:trPr>
        <w:tc>
          <w:tcPr>
            <w:tcW w:w="11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Sep. 30,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520" w:type="dxa"/>
            <w:vAlign w:val="bottom"/>
            <w:gridSpan w:val="2"/>
          </w:tcPr>
          <w:p>
            <w:pPr>
              <w:ind w:left="20"/>
              <w:spacing w:after="0"/>
              <w:rPr>
                <w:sz w:val="20"/>
                <w:szCs w:val="20"/>
                <w:color w:val="auto"/>
              </w:rPr>
            </w:pPr>
            <w:r>
              <w:rPr>
                <w:rFonts w:ascii="Arial" w:cs="Arial" w:eastAsia="Arial" w:hAnsi="Arial"/>
                <w:sz w:val="16"/>
                <w:szCs w:val="16"/>
                <w:i w:val="1"/>
                <w:iCs w:val="1"/>
                <w:color w:val="auto"/>
              </w:rPr>
              <w:t>Millions</w:t>
            </w:r>
          </w:p>
        </w:tc>
        <w:tc>
          <w:tcPr>
            <w:tcW w:w="20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02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853</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27"/>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and other taxes payable</w:t>
            </w:r>
          </w:p>
        </w:tc>
        <w:tc>
          <w:tcPr>
            <w:tcW w:w="20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767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Compensation-related accruals</w:t>
            </w:r>
          </w:p>
        </w:tc>
        <w:tc>
          <w:tcPr>
            <w:tcW w:w="20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612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27"/>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Accrued casualty costs</w:t>
            </w:r>
          </w:p>
        </w:tc>
        <w:tc>
          <w:tcPr>
            <w:tcW w:w="20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307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w:t>
            </w:r>
          </w:p>
        </w:tc>
        <w:tc>
          <w:tcPr>
            <w:tcW w:w="20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277</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27"/>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Interest payable</w:t>
            </w:r>
          </w:p>
        </w:tc>
        <w:tc>
          <w:tcPr>
            <w:tcW w:w="20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269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rents payable</w:t>
            </w:r>
          </w:p>
        </w:tc>
        <w:tc>
          <w:tcPr>
            <w:tcW w:w="20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27"/>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0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509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accounts payable and other current liabilities</w:t>
            </w:r>
          </w:p>
        </w:tc>
        <w:tc>
          <w:tcPr>
            <w:tcW w:w="202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3,699</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Financial Instruments</w:t>
      </w:r>
    </w:p>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b w:val="1"/>
          <w:bCs w:val="1"/>
          <w:color w:val="auto"/>
        </w:rPr>
        <w:t xml:space="preserve">Short-term investments </w:t>
      </w:r>
      <w:r>
        <w:rPr>
          <w:rFonts w:ascii="Arial" w:cs="Arial" w:eastAsia="Arial" w:hAnsi="Arial"/>
          <w:sz w:val="14"/>
          <w:szCs w:val="14"/>
          <w:color w:val="auto"/>
        </w:rPr>
        <w:t>– All of the Company's short-term investments consist of time deposits and government agency securities. These investments</w:t>
      </w:r>
      <w:r>
        <w:rPr>
          <w:rFonts w:ascii="Arial" w:cs="Arial" w:eastAsia="Arial" w:hAnsi="Arial"/>
          <w:sz w:val="14"/>
          <w:szCs w:val="14"/>
          <w:b w:val="1"/>
          <w:bCs w:val="1"/>
          <w:color w:val="auto"/>
        </w:rPr>
        <w:t xml:space="preserve"> </w:t>
      </w:r>
      <w:r>
        <w:rPr>
          <w:rFonts w:ascii="Arial" w:cs="Arial" w:eastAsia="Arial" w:hAnsi="Arial"/>
          <w:sz w:val="14"/>
          <w:szCs w:val="14"/>
          <w:color w:val="auto"/>
        </w:rPr>
        <w:t>are considered Level 2 investments and are valued at amortized cost, which approximates fair value. As of both September 30, 2025, and December 31, 2024, the Company had $20 million of short- term investments, which is included in other current assets in our Condensed Consolidated Statements of Financial Position. All short-term investments have a maturity of less than one year and are classified as held-to-maturity.</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The fair value of our short- and long-term debt was estimated using a market value price model, which utilizes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U.S. Treasury rates along with current market quotes on comparable debt securities. All of the inputs used to determine the fair market value of the Corporation’s long-term debt are Level 2 inputs and obtained from an independent source. At September 30, 2025, the fair value of total debt was $26.8 billion, approximately $5.0 billion less than the carrying value. At December 31, 2024, the fair value of total debt was $25.3 billion, approximately $5.9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Debt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Credit facilities </w:t>
      </w:r>
      <w:r>
        <w:rPr>
          <w:rFonts w:ascii="Arial" w:cs="Arial" w:eastAsia="Arial" w:hAnsi="Arial"/>
          <w:sz w:val="16"/>
          <w:szCs w:val="16"/>
          <w:color w:val="auto"/>
        </w:rPr>
        <w:t>– At September 30, 2025, we had $2.0 billion of credit available under our revolving credit facility (the Facility), which is designated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corporate purposes and supports the issuance of commercial paper. Credit facility withdrawals totaled $0 during the nine months ended September 30, 2025.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definition of debt used for purposes of calculating the adjusted debt-to-EBITDA coverage ratio includes, among other things, certain credit arrangements, finance leases, guarantees, unfunded and vested pension benefits under Title IV of the Employee Retirement Income Security Act of 1974 (ERISA), and unamortized debt discount and deferred debt issuance costs. At September 30, 2025, the Company was in compliance with the adjusted debt-to-EBITDA coverage ratio, which allows us to carry up to $47.8 billion of debt (as defined in the Facility), and we had $33.5 billion of debt (as defined in the Facility) outstanding at that date. The Facility does not include any other financial restrictions, credit rating triggers (other than rating -dependent pricing), or any other provision that could require us to post collateral. The Facility also includes a $150 million cross-default provision and a change-of-control provision.</w:t>
      </w:r>
    </w:p>
    <w:p>
      <w:pPr>
        <w:spacing w:after="0" w:line="134"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During the nine months ended September 30, 2025, we issued $0 and repaid $0 of commercial paper. At September 30, 2025,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42" w:right="660"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Shelf registration statement and significant new borrowings </w:t>
      </w:r>
      <w:r>
        <w:rPr>
          <w:rFonts w:ascii="Arial" w:cs="Arial" w:eastAsia="Arial" w:hAnsi="Arial"/>
          <w:sz w:val="16"/>
          <w:szCs w:val="16"/>
          <w:color w:val="auto"/>
        </w:rPr>
        <w:t>– We filed an automatic shelf registration statement with the SEC that became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on February 13, 2024. On July 28, 2025, the Board of Directors authorized the issuance of up to $ 20.0 billion of debt securities, replacing the prior authorization from 2024, which had $7.0 billion of authority remaining. Under our shelf registration, we may issue, from time to time, any combination of debt securities, preferred stock, common stock, or warrants for debt securities or preferred stock in one or more offerings.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2025, we issued the following unsecured, fixed-rate debt securities under our shelf registration: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Date</w:t>
            </w:r>
          </w:p>
        </w:tc>
        <w:tc>
          <w:tcPr>
            <w:tcW w:w="7580" w:type="dxa"/>
            <w:vAlign w:val="bottom"/>
          </w:tcPr>
          <w:p>
            <w:pPr>
              <w:ind w:left="1680"/>
              <w:spacing w:after="0"/>
              <w:rPr>
                <w:sz w:val="20"/>
                <w:szCs w:val="20"/>
                <w:color w:val="auto"/>
              </w:rPr>
            </w:pPr>
            <w:r>
              <w:rPr>
                <w:rFonts w:ascii="Arial" w:cs="Arial" w:eastAsia="Arial" w:hAnsi="Arial"/>
                <w:sz w:val="16"/>
                <w:szCs w:val="16"/>
                <w:i w:val="1"/>
                <w:iCs w:val="1"/>
                <w:color w:val="auto"/>
              </w:rPr>
              <w:t>Description of securities</w:t>
            </w:r>
          </w:p>
        </w:tc>
      </w:tr>
      <w:tr>
        <w:trPr>
          <w:trHeight w:val="204"/>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13, 2025</w:t>
            </w:r>
          </w:p>
        </w:tc>
        <w:tc>
          <w:tcPr>
            <w:tcW w:w="75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$1.00 billion of 5.100% Notes due February 20, 2035</w:t>
            </w:r>
          </w:p>
        </w:tc>
      </w:tr>
      <w:tr>
        <w:trPr>
          <w:trHeight w:val="206"/>
        </w:trPr>
        <w:tc>
          <w:tcPr>
            <w:tcW w:w="2980" w:type="dxa"/>
            <w:vAlign w:val="bottom"/>
          </w:tcPr>
          <w:p>
            <w:pPr>
              <w:spacing w:after="0"/>
              <w:rPr>
                <w:sz w:val="17"/>
                <w:szCs w:val="17"/>
                <w:color w:val="auto"/>
              </w:rPr>
            </w:pPr>
          </w:p>
        </w:tc>
        <w:tc>
          <w:tcPr>
            <w:tcW w:w="7580" w:type="dxa"/>
            <w:vAlign w:val="bottom"/>
          </w:tcPr>
          <w:p>
            <w:pPr>
              <w:ind w:left="1680"/>
              <w:spacing w:after="0"/>
              <w:rPr>
                <w:sz w:val="20"/>
                <w:szCs w:val="20"/>
                <w:color w:val="auto"/>
              </w:rPr>
            </w:pPr>
            <w:r>
              <w:rPr>
                <w:rFonts w:ascii="Arial" w:cs="Arial" w:eastAsia="Arial" w:hAnsi="Arial"/>
                <w:sz w:val="16"/>
                <w:szCs w:val="16"/>
                <w:color w:val="auto"/>
              </w:rPr>
              <w:t>$1.00 billion of 5.600% Notes due December 1, 2054</w:t>
            </w:r>
          </w:p>
        </w:tc>
      </w:tr>
    </w:tbl>
    <w:p>
      <w:pPr>
        <w:spacing w:after="0" w:line="21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used the net proceeds from the offering for general corporate purposes, including the repurchase of common stock pursuant to our share repurchase programs. These debt securities include change -of- control provisions. At September 30, 2025, we had remaining authority from the Board of Directors to issue up to $20.0 billion of debt securities under our shelf registration.</w:t>
      </w:r>
    </w:p>
    <w:p>
      <w:pPr>
        <w:spacing w:after="0" w:line="12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Receivables securitization facility </w:t>
      </w:r>
      <w:r>
        <w:rPr>
          <w:rFonts w:ascii="Arial" w:cs="Arial" w:eastAsia="Arial" w:hAnsi="Arial"/>
          <w:sz w:val="16"/>
          <w:szCs w:val="16"/>
          <w:color w:val="auto"/>
        </w:rPr>
        <w:t>– As of both September 30, 2025, and December 31, 2024, we recorded $0 of borrowings under our Receivables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as secured debt. (See further discussion in the "Receivables Securitization Facility" section of Note 10).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See Note 18 for a discussion on the pending acquisition of Norfolk Southern Corporation (Norfolk Southern).</w:t>
      </w:r>
    </w:p>
    <w:p>
      <w:pPr>
        <w:spacing w:after="0" w:line="15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b w:val="1"/>
          <w:bCs w:val="1"/>
          <w:color w:val="auto"/>
        </w:rPr>
        <w:t xml:space="preserve">Asserted and unasserted claims </w:t>
      </w:r>
      <w:r>
        <w:rPr>
          <w:rFonts w:ascii="Arial" w:cs="Arial" w:eastAsia="Arial" w:hAnsi="Arial"/>
          <w:sz w:val="14"/>
          <w:szCs w:val="14"/>
          <w:color w:val="auto"/>
        </w:rPr>
        <w:t>– Various claims and lawsuits are pending against us and certain of our subsidiaries. We cannot fully determine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0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spacing w:after="0" w:line="12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Personal injury </w:t>
      </w:r>
      <w:r>
        <w:rPr>
          <w:rFonts w:ascii="Arial" w:cs="Arial" w:eastAsia="Arial" w:hAnsi="Arial"/>
          <w:sz w:val="16"/>
          <w:szCs w:val="16"/>
          <w:color w:val="auto"/>
        </w:rPr>
        <w:t>– The Federal Employers’ Liability Act (FELA) governs compensation for work-related accidents. Under FELA, damages are assessed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a finding of fault through litigation or out-of-court settlements. We offer a comprehensive variety of services and rehabilitation programs for employees who are injured at work.</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Because of the uncertainty surrounding the ultimate outcome of personal injury claims, it is reasonably possible that future costs to settle these claims may range from approximately $389 million to $508 million. We record an accrual at the low end of the range as no amount of loss within the range is more probable than any other. Estimates can vary over time due to evolving trends in litigation.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20"/>
                <w:szCs w:val="20"/>
                <w:color w:val="auto"/>
              </w:rPr>
            </w:pPr>
            <w:r>
              <w:rPr>
                <w:rFonts w:ascii="Arial" w:cs="Arial" w:eastAsia="Arial" w:hAnsi="Arial"/>
                <w:sz w:val="16"/>
                <w:szCs w:val="16"/>
                <w:color w:val="auto"/>
              </w:rPr>
              <w:t>Our personal injury liability activity was as follows:</w:t>
            </w:r>
          </w:p>
        </w:tc>
        <w:tc>
          <w:tcPr>
            <w:tcW w:w="4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9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4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4240" w:type="dxa"/>
            <w:vAlign w:val="bottom"/>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379</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27"/>
        </w:trPr>
        <w:tc>
          <w:tcPr>
            <w:tcW w:w="4360" w:type="dxa"/>
            <w:vAlign w:val="bottom"/>
          </w:tcPr>
          <w:p>
            <w:pPr>
              <w:ind w:left="20"/>
              <w:spacing w:after="0"/>
              <w:rPr>
                <w:sz w:val="20"/>
                <w:szCs w:val="20"/>
                <w:color w:val="auto"/>
              </w:rPr>
            </w:pPr>
            <w:r>
              <w:rPr>
                <w:rFonts w:ascii="Arial" w:cs="Arial" w:eastAsia="Arial" w:hAnsi="Arial"/>
                <w:sz w:val="16"/>
                <w:szCs w:val="16"/>
                <w:color w:val="auto"/>
              </w:rPr>
              <w:t>Current year accruals</w:t>
            </w:r>
          </w:p>
        </w:tc>
        <w:tc>
          <w:tcPr>
            <w:tcW w:w="4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48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87</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estimates for prior years</w:t>
            </w:r>
          </w:p>
        </w:tc>
        <w:tc>
          <w:tcPr>
            <w:tcW w:w="4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7"/>
        </w:trPr>
        <w:tc>
          <w:tcPr>
            <w:tcW w:w="4360" w:type="dxa"/>
            <w:vAlign w:val="bottom"/>
          </w:tcPr>
          <w:p>
            <w:pPr>
              <w:ind w:left="20"/>
              <w:spacing w:after="0"/>
              <w:rPr>
                <w:sz w:val="20"/>
                <w:szCs w:val="20"/>
                <w:color w:val="auto"/>
              </w:rPr>
            </w:pPr>
            <w:r>
              <w:rPr>
                <w:rFonts w:ascii="Arial" w:cs="Arial" w:eastAsia="Arial" w:hAnsi="Arial"/>
                <w:sz w:val="16"/>
                <w:szCs w:val="16"/>
                <w:color w:val="auto"/>
              </w:rPr>
              <w:t>Payments</w:t>
            </w:r>
          </w:p>
        </w:tc>
        <w:tc>
          <w:tcPr>
            <w:tcW w:w="4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September 30,</w:t>
            </w:r>
          </w:p>
        </w:tc>
        <w:tc>
          <w:tcPr>
            <w:tcW w:w="4240" w:type="dxa"/>
            <w:vAlign w:val="bottom"/>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389</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26"/>
        </w:trPr>
        <w:tc>
          <w:tcPr>
            <w:tcW w:w="4360" w:type="dxa"/>
            <w:vAlign w:val="bottom"/>
          </w:tcPr>
          <w:p>
            <w:pPr>
              <w:ind w:left="20"/>
              <w:spacing w:after="0"/>
              <w:rPr>
                <w:sz w:val="20"/>
                <w:szCs w:val="20"/>
                <w:color w:val="auto"/>
              </w:rPr>
            </w:pPr>
            <w:r>
              <w:rPr>
                <w:rFonts w:ascii="Arial" w:cs="Arial" w:eastAsia="Arial" w:hAnsi="Arial"/>
                <w:sz w:val="16"/>
                <w:szCs w:val="16"/>
                <w:color w:val="auto"/>
              </w:rPr>
              <w:t>Current portion, ending balance at September 30,</w:t>
            </w:r>
          </w:p>
        </w:tc>
        <w:tc>
          <w:tcPr>
            <w:tcW w:w="4240" w:type="dxa"/>
            <w:vAlign w:val="bottom"/>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105</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504"/>
        </w:trPr>
        <w:tc>
          <w:tcPr>
            <w:tcW w:w="4360" w:type="dxa"/>
            <w:vAlign w:val="bottom"/>
          </w:tcPr>
          <w:p>
            <w:pPr>
              <w:spacing w:after="0"/>
              <w:rPr>
                <w:sz w:val="24"/>
                <w:szCs w:val="24"/>
                <w:color w:val="auto"/>
              </w:rPr>
            </w:pPr>
          </w:p>
        </w:tc>
        <w:tc>
          <w:tcPr>
            <w:tcW w:w="4240" w:type="dxa"/>
            <w:vAlign w:val="bottom"/>
          </w:tcPr>
          <w:p>
            <w:pPr>
              <w:jc w:val="right"/>
              <w:ind w:right="3162"/>
              <w:spacing w:after="0"/>
              <w:rPr>
                <w:sz w:val="20"/>
                <w:szCs w:val="20"/>
                <w:color w:val="auto"/>
              </w:rPr>
            </w:pPr>
            <w:r>
              <w:rPr>
                <w:rFonts w:ascii="Times New Roman" w:cs="Times New Roman" w:eastAsia="Times New Roman" w:hAnsi="Times New Roman"/>
                <w:sz w:val="16"/>
                <w:szCs w:val="16"/>
                <w:color w:val="auto"/>
              </w:rPr>
              <w:t>17</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0"/>
        </w:trPr>
        <w:tc>
          <w:tcPr>
            <w:tcW w:w="4360" w:type="dxa"/>
            <w:vAlign w:val="bottom"/>
            <w:tcBorders>
              <w:bottom w:val="single" w:sz="8" w:color="EEEEEE"/>
            </w:tcBorders>
          </w:tcPr>
          <w:p>
            <w:pPr>
              <w:spacing w:after="0"/>
              <w:rPr>
                <w:sz w:val="24"/>
                <w:szCs w:val="24"/>
                <w:color w:val="auto"/>
              </w:rPr>
            </w:pPr>
          </w:p>
        </w:tc>
        <w:tc>
          <w:tcPr>
            <w:tcW w:w="424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b w:val="1"/>
          <w:bCs w:val="1"/>
          <w:color w:val="auto"/>
        </w:rPr>
        <w:t xml:space="preserve">Environmental costs </w:t>
      </w:r>
      <w:r>
        <w:rPr>
          <w:rFonts w:ascii="Arial" w:cs="Arial" w:eastAsia="Arial" w:hAnsi="Arial"/>
          <w:sz w:val="16"/>
          <w:szCs w:val="16"/>
          <w:color w:val="auto"/>
        </w:rPr>
        <w:t>– We are subject to federal, state, and local environmental laws and regulations. We have identified 361 sites where we are or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liable for remediation costs associated with alleged contamination or for violations of environmental requirements. This includes 29 sites that are the subject of actions taken by the U.S. government, including 17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20" w:type="dxa"/>
            <w:vAlign w:val="bottom"/>
          </w:tcPr>
          <w:p>
            <w:pPr>
              <w:spacing w:after="0"/>
              <w:rPr>
                <w:sz w:val="20"/>
                <w:szCs w:val="20"/>
                <w:color w:val="auto"/>
              </w:rPr>
            </w:pPr>
            <w:r>
              <w:rPr>
                <w:rFonts w:ascii="Arial" w:cs="Arial" w:eastAsia="Arial" w:hAnsi="Arial"/>
                <w:sz w:val="16"/>
                <w:szCs w:val="16"/>
                <w:color w:val="auto"/>
              </w:rPr>
              <w:t>Our environmental liability activity was as follows:</w:t>
            </w:r>
          </w:p>
        </w:tc>
        <w:tc>
          <w:tcPr>
            <w:tcW w:w="2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93"/>
        </w:trPr>
        <w:tc>
          <w:tcPr>
            <w:tcW w:w="582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27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480" w:type="dxa"/>
            <w:vAlign w:val="bottom"/>
          </w:tcPr>
          <w:p>
            <w:pPr>
              <w:spacing w:after="0"/>
              <w:rPr>
                <w:sz w:val="24"/>
                <w:szCs w:val="24"/>
                <w:color w:val="auto"/>
              </w:rPr>
            </w:pPr>
          </w:p>
        </w:tc>
        <w:tc>
          <w:tcPr>
            <w:tcW w:w="740" w:type="dxa"/>
            <w:vAlign w:val="bottom"/>
          </w:tcPr>
          <w:p>
            <w:pPr>
              <w:jc w:val="center"/>
              <w:ind w:left="282"/>
              <w:spacing w:after="0"/>
              <w:rPr>
                <w:sz w:val="20"/>
                <w:szCs w:val="20"/>
                <w:color w:val="auto"/>
              </w:rPr>
            </w:pPr>
            <w:r>
              <w:rPr>
                <w:rFonts w:ascii="Arial" w:cs="Arial" w:eastAsia="Arial" w:hAnsi="Arial"/>
                <w:sz w:val="16"/>
                <w:szCs w:val="16"/>
                <w:i w:val="1"/>
                <w:iCs w:val="1"/>
                <w:color w:val="auto"/>
                <w:w w:val="95"/>
              </w:rPr>
              <w:t>2024</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780" w:type="dxa"/>
            <w:vAlign w:val="bottom"/>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268</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282"/>
              <w:spacing w:after="0"/>
              <w:rPr>
                <w:sz w:val="20"/>
                <w:szCs w:val="20"/>
                <w:color w:val="auto"/>
              </w:rPr>
            </w:pPr>
            <w:r>
              <w:rPr>
                <w:rFonts w:ascii="Arial" w:cs="Arial" w:eastAsia="Arial" w:hAnsi="Arial"/>
                <w:sz w:val="16"/>
                <w:szCs w:val="16"/>
                <w:color w:val="auto"/>
                <w:w w:val="97"/>
              </w:rPr>
              <w:t>245</w:t>
            </w:r>
          </w:p>
        </w:tc>
      </w:tr>
      <w:tr>
        <w:trPr>
          <w:trHeight w:val="227"/>
        </w:trPr>
        <w:tc>
          <w:tcPr>
            <w:tcW w:w="5820" w:type="dxa"/>
            <w:vAlign w:val="bottom"/>
          </w:tcPr>
          <w:p>
            <w:pPr>
              <w:ind w:left="20"/>
              <w:spacing w:after="0"/>
              <w:rPr>
                <w:sz w:val="20"/>
                <w:szCs w:val="20"/>
                <w:color w:val="auto"/>
              </w:rPr>
            </w:pPr>
            <w:r>
              <w:rPr>
                <w:rFonts w:ascii="Arial" w:cs="Arial" w:eastAsia="Arial" w:hAnsi="Arial"/>
                <w:sz w:val="16"/>
                <w:szCs w:val="16"/>
                <w:color w:val="auto"/>
              </w:rPr>
              <w:t>Accruals</w:t>
            </w:r>
          </w:p>
        </w:tc>
        <w:tc>
          <w:tcPr>
            <w:tcW w:w="2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480" w:type="dxa"/>
            <w:vAlign w:val="bottom"/>
          </w:tcPr>
          <w:p>
            <w:pPr>
              <w:spacing w:after="0"/>
              <w:rPr>
                <w:sz w:val="19"/>
                <w:szCs w:val="19"/>
                <w:color w:val="auto"/>
              </w:rPr>
            </w:pPr>
          </w:p>
        </w:tc>
        <w:tc>
          <w:tcPr>
            <w:tcW w:w="740" w:type="dxa"/>
            <w:vAlign w:val="bottom"/>
          </w:tcPr>
          <w:p>
            <w:pPr>
              <w:jc w:val="center"/>
              <w:ind w:left="282"/>
              <w:spacing w:after="0"/>
              <w:rPr>
                <w:sz w:val="20"/>
                <w:szCs w:val="20"/>
                <w:color w:val="auto"/>
              </w:rPr>
            </w:pPr>
            <w:r>
              <w:rPr>
                <w:rFonts w:ascii="Arial" w:cs="Arial" w:eastAsia="Arial" w:hAnsi="Arial"/>
                <w:sz w:val="16"/>
                <w:szCs w:val="16"/>
                <w:color w:val="auto"/>
                <w:w w:val="97"/>
              </w:rPr>
              <w:t>100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2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27"/>
        </w:trPr>
        <w:tc>
          <w:tcPr>
            <w:tcW w:w="5820" w:type="dxa"/>
            <w:vAlign w:val="bottom"/>
          </w:tcPr>
          <w:p>
            <w:pPr>
              <w:ind w:left="20"/>
              <w:spacing w:after="0"/>
              <w:rPr>
                <w:sz w:val="20"/>
                <w:szCs w:val="20"/>
                <w:color w:val="auto"/>
              </w:rPr>
            </w:pPr>
            <w:r>
              <w:rPr>
                <w:rFonts w:ascii="Arial" w:cs="Arial" w:eastAsia="Arial" w:hAnsi="Arial"/>
                <w:sz w:val="16"/>
                <w:szCs w:val="16"/>
                <w:color w:val="auto"/>
              </w:rPr>
              <w:t>Ending balance at September 30,</w:t>
            </w:r>
          </w:p>
        </w:tc>
        <w:tc>
          <w:tcPr>
            <w:tcW w:w="2780" w:type="dxa"/>
            <w:vAlign w:val="bottom"/>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257</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tcPr>
          <w:p>
            <w:pPr>
              <w:jc w:val="center"/>
              <w:ind w:left="282"/>
              <w:spacing w:after="0"/>
              <w:rPr>
                <w:sz w:val="20"/>
                <w:szCs w:val="20"/>
                <w:color w:val="auto"/>
              </w:rPr>
            </w:pPr>
            <w:r>
              <w:rPr>
                <w:rFonts w:ascii="Arial" w:cs="Arial" w:eastAsia="Arial" w:hAnsi="Arial"/>
                <w:sz w:val="16"/>
                <w:szCs w:val="16"/>
                <w:color w:val="auto"/>
                <w:w w:val="97"/>
              </w:rPr>
              <w:t>269</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ending balance at September 30,</w:t>
            </w:r>
          </w:p>
        </w:tc>
        <w:tc>
          <w:tcPr>
            <w:tcW w:w="2780" w:type="dxa"/>
            <w:vAlign w:val="bottom"/>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282"/>
              <w:spacing w:after="0"/>
              <w:rPr>
                <w:sz w:val="20"/>
                <w:szCs w:val="20"/>
                <w:color w:val="auto"/>
              </w:rPr>
            </w:pPr>
            <w:r>
              <w:rPr>
                <w:rFonts w:ascii="Arial" w:cs="Arial" w:eastAsia="Arial" w:hAnsi="Arial"/>
                <w:sz w:val="16"/>
                <w:szCs w:val="16"/>
                <w:color w:val="auto"/>
                <w:w w:val="97"/>
              </w:rPr>
              <w:t>119</w:t>
            </w:r>
          </w:p>
        </w:tc>
      </w:tr>
    </w:tbl>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 Our maximum potential exposure under indemnification arrangements, including certain tax indemnifications, can range from a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 Repurchase Programs</w:t>
      </w:r>
    </w:p>
    <w:p>
      <w:pPr>
        <w:spacing w:after="0" w:line="190"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Effective April 1, 2025, our Board of Directors authorized the repurchase of up to 100 million shares of our common stock by March 31, 2028. As of September 30, 2025, we repurchased a total of 6.1 million shares of our common stock under the 2025 authorization. As part of the pending acquisition of Norfolk Southern described in Note 18, we paused our share repurchase program.</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shares repurchased under repurchase programs in the nine months ended September 30,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500" w:type="dxa"/>
            <w:vAlign w:val="bottom"/>
            <w:gridSpan w:val="2"/>
          </w:tcPr>
          <w:p>
            <w:pPr>
              <w:jc w:val="right"/>
              <w:ind w:right="2"/>
              <w:spacing w:after="0"/>
              <w:rPr>
                <w:sz w:val="20"/>
                <w:szCs w:val="20"/>
                <w:color w:val="auto"/>
              </w:rPr>
            </w:pPr>
            <w:r>
              <w:rPr>
                <w:rFonts w:ascii="Arial" w:cs="Arial" w:eastAsia="Arial" w:hAnsi="Arial"/>
                <w:sz w:val="16"/>
                <w:szCs w:val="16"/>
                <w:i w:val="1"/>
                <w:iCs w:val="1"/>
                <w:color w:val="auto"/>
              </w:rPr>
              <w:t>Number of shares purchased</w:t>
            </w:r>
          </w:p>
        </w:tc>
        <w:tc>
          <w:tcPr>
            <w:tcW w:w="42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i w:val="1"/>
                <w:iCs w:val="1"/>
                <w:color w:val="auto"/>
              </w:rPr>
              <w:t>Average price paid [a]</w:t>
            </w:r>
          </w:p>
        </w:tc>
      </w:tr>
      <w:tr>
        <w:trPr>
          <w:trHeight w:val="237"/>
        </w:trPr>
        <w:tc>
          <w:tcPr>
            <w:tcW w:w="5480" w:type="dxa"/>
            <w:vAlign w:val="bottom"/>
          </w:tcPr>
          <w:p>
            <w:pPr>
              <w:spacing w:after="0"/>
              <w:rPr>
                <w:sz w:val="20"/>
                <w:szCs w:val="20"/>
                <w:color w:val="auto"/>
              </w:rPr>
            </w:pPr>
          </w:p>
        </w:tc>
        <w:tc>
          <w:tcPr>
            <w:tcW w:w="1320" w:type="dxa"/>
            <w:vAlign w:val="bottom"/>
          </w:tcPr>
          <w:p>
            <w:pPr>
              <w:jc w:val="right"/>
              <w:ind w:right="302"/>
              <w:spacing w:after="0"/>
              <w:rPr>
                <w:sz w:val="20"/>
                <w:szCs w:val="20"/>
                <w:color w:val="auto"/>
              </w:rPr>
            </w:pPr>
            <w:r>
              <w:rPr>
                <w:rFonts w:ascii="Arial" w:cs="Arial" w:eastAsia="Arial" w:hAnsi="Arial"/>
                <w:sz w:val="16"/>
                <w:szCs w:val="16"/>
                <w:b w:val="1"/>
                <w:bCs w:val="1"/>
                <w:i w:val="1"/>
                <w:iCs w:val="1"/>
                <w:color w:val="auto"/>
              </w:rPr>
              <w:t>2025</w:t>
            </w: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 [b]</w:t>
            </w:r>
          </w:p>
        </w:tc>
        <w:tc>
          <w:tcPr>
            <w:tcW w:w="1320" w:type="dxa"/>
            <w:vAlign w:val="bottom"/>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5,745,601</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250.74</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27"/>
        </w:trPr>
        <w:tc>
          <w:tcPr>
            <w:tcW w:w="5480" w:type="dxa"/>
            <w:vAlign w:val="bottom"/>
          </w:tcPr>
          <w:p>
            <w:pPr>
              <w:ind w:left="20"/>
              <w:spacing w:after="0"/>
              <w:rPr>
                <w:sz w:val="20"/>
                <w:szCs w:val="20"/>
                <w:color w:val="auto"/>
              </w:rPr>
            </w:pPr>
            <w:r>
              <w:rPr>
                <w:rFonts w:ascii="Arial" w:cs="Arial" w:eastAsia="Arial" w:hAnsi="Arial"/>
                <w:sz w:val="16"/>
                <w:szCs w:val="16"/>
                <w:color w:val="auto"/>
              </w:rPr>
              <w:t>Second quarter [c]</w:t>
            </w:r>
          </w:p>
        </w:tc>
        <w:tc>
          <w:tcPr>
            <w:tcW w:w="1320" w:type="dxa"/>
            <w:vAlign w:val="bottom"/>
          </w:tcPr>
          <w:p>
            <w:pPr>
              <w:jc w:val="right"/>
              <w:ind w:right="362"/>
              <w:spacing w:after="0"/>
              <w:rPr>
                <w:sz w:val="20"/>
                <w:szCs w:val="20"/>
                <w:color w:val="auto"/>
              </w:rPr>
            </w:pPr>
            <w:r>
              <w:rPr>
                <w:rFonts w:ascii="Arial" w:cs="Arial" w:eastAsia="Arial" w:hAnsi="Arial"/>
                <w:sz w:val="16"/>
                <w:szCs w:val="16"/>
                <w:b w:val="1"/>
                <w:bCs w:val="1"/>
                <w:color w:val="auto"/>
              </w:rPr>
              <w:t>6,111,558</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492,320</w:t>
            </w:r>
          </w:p>
        </w:tc>
        <w:tc>
          <w:tcPr>
            <w:tcW w:w="4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205.06</w:t>
            </w:r>
          </w:p>
        </w:tc>
        <w:tc>
          <w:tcPr>
            <w:tcW w:w="30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225.96</w:t>
            </w:r>
          </w:p>
        </w:tc>
      </w:tr>
      <w:tr>
        <w:trPr>
          <w:trHeight w:val="22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3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3,006,061</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245.44</w:t>
            </w:r>
          </w:p>
        </w:tc>
      </w:tr>
      <w:tr>
        <w:trPr>
          <w:trHeight w:val="220"/>
        </w:trPr>
        <w:tc>
          <w:tcPr>
            <w:tcW w:w="5480" w:type="dxa"/>
            <w:vAlign w:val="bottom"/>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tcPr>
          <w:p>
            <w:pPr>
              <w:jc w:val="right"/>
              <w:ind w:right="362"/>
              <w:spacing w:after="0"/>
              <w:rPr>
                <w:sz w:val="20"/>
                <w:szCs w:val="20"/>
                <w:color w:val="auto"/>
              </w:rPr>
            </w:pPr>
            <w:r>
              <w:rPr>
                <w:rFonts w:ascii="Arial" w:cs="Arial" w:eastAsia="Arial" w:hAnsi="Arial"/>
                <w:sz w:val="16"/>
                <w:szCs w:val="16"/>
                <w:b w:val="1"/>
                <w:bCs w:val="1"/>
                <w:color w:val="auto"/>
              </w:rPr>
              <w:t>11,857,159</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3,498,381</w:t>
            </w:r>
          </w:p>
        </w:tc>
        <w:tc>
          <w:tcPr>
            <w:tcW w:w="42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227.20</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242.70</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Remaining number of shares that may be repurchased under current authority</w:t>
            </w:r>
          </w:p>
        </w:tc>
        <w:tc>
          <w:tcPr>
            <w:tcW w:w="1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93,888,442</w:t>
            </w:r>
          </w:p>
        </w:tc>
      </w:tr>
    </w:tbl>
    <w:p>
      <w:pPr>
        <w:spacing w:after="0" w:line="158" w:lineRule="exact"/>
        <w:rPr>
          <w:sz w:val="20"/>
          <w:szCs w:val="20"/>
          <w:color w:val="auto"/>
        </w:rPr>
      </w:pPr>
    </w:p>
    <w:p>
      <w:pPr>
        <w:ind w:left="300" w:right="20" w:hanging="294"/>
        <w:spacing w:after="0" w:line="259" w:lineRule="auto"/>
        <w:tabs>
          <w:tab w:leader="none" w:pos="28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ind w:left="280" w:hanging="274"/>
        <w:spacing w:after="0"/>
        <w:tabs>
          <w:tab w:leader="none" w:pos="2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4,815,022 shares repurchased in 2025 under the ASRs at an average price $251.73.</w:t>
      </w:r>
    </w:p>
    <w:p>
      <w:pPr>
        <w:spacing w:after="0" w:line="7" w:lineRule="exact"/>
        <w:rPr>
          <w:rFonts w:ascii="Arial" w:cs="Arial" w:eastAsia="Arial" w:hAnsi="Arial"/>
          <w:sz w:val="14"/>
          <w:szCs w:val="14"/>
          <w:i w:val="1"/>
          <w:iCs w:val="1"/>
          <w:color w:val="auto"/>
        </w:rPr>
      </w:pPr>
    </w:p>
    <w:p>
      <w:pPr>
        <w:ind w:left="300" w:hanging="294"/>
        <w:spacing w:after="0"/>
        <w:tabs>
          <w:tab w:leader="none" w:pos="30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 incremental 1,795,904 shares received upon final settlement in 2025 under the ASRs at an average price of $169.22.</w:t>
      </w:r>
    </w:p>
    <w:p>
      <w:pPr>
        <w:spacing w:after="0" w:line="148"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b w:val="1"/>
          <w:bCs w:val="1"/>
          <w:color w:val="auto"/>
        </w:rPr>
        <w:t xml:space="preserve">Accelerated share repurchase programs </w:t>
      </w:r>
      <w:r>
        <w:rPr>
          <w:rFonts w:ascii="Arial" w:cs="Arial" w:eastAsia="Arial" w:hAnsi="Arial"/>
          <w:sz w:val="16"/>
          <w:szCs w:val="16"/>
          <w:color w:val="auto"/>
        </w:rPr>
        <w:t>– The Company has established ASRs with financial institutions to repurchase shares of our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February 18, 2025, the Company received 4,815,022 shares of its common stock repurchased under ASRs for an aggregate of $1.5 billion. Upon settlement of these ASRs in the second quarter of 2025, we received 1,795,904 additional shares.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Related Parties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6"/>
          <w:szCs w:val="16"/>
          <w:i w:val="1"/>
          <w:iCs w:val="1"/>
          <w:color w:val="auto"/>
        </w:rPr>
        <w:t>Investments - Equity Method and Joint Venture</w:t>
      </w:r>
      <w:r>
        <w:rPr>
          <w:rFonts w:ascii="Arial" w:cs="Arial" w:eastAsia="Arial" w:hAnsi="Arial"/>
          <w:sz w:val="16"/>
          <w:szCs w:val="16"/>
          <w:color w:val="auto"/>
        </w:rPr>
        <w:t>, UPRR applies the equity method of accounting to our investment in TTX.</w:t>
      </w:r>
    </w:p>
    <w:p>
      <w:pPr>
        <w:spacing w:after="0" w:line="12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(i.e., renting rail cars at stated rates).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UPRR had $2.0 billion and $1.9 billion recognized as investments related to TTX in our Condensed Consolidated Statements of Financial Position as of September 30, 2025, and December 31, 2024, respectively. TTX car hire expense of $115 million and $112 million for the three months ended September 30, 2025 and 2024, respectively, and $336 million and $321 million for the nine months ended September 30, 2025 and 2024, respectively, are included in equipment and other rents in our Condensed Consolidated Statements of Income. In addition, UPRR had accounts payable to TTX of $75 million and $70 million at September 30, 2025, and December 31, 2024,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Pending Acquisition</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Norfolk Southern, a Virginia corporation, is one of the nation’s premier transportation companies, moving goods and materials that help drive the U.S. economy. Norfolk Southern connects customers to markets and communities to economic opportunity with safe, reliable, and cost-effective shipping solutions. Its Norfolk Southern Railway Company subsidiary operates in 22 states and the District of Columbia. Norfolk Southern is a major transporter of industrial products, including agriculture, forest, and consumer products, chemicals, and metals and construction materials. In addition, in the East, it serves every major container port and operates the most extensive intermodal network. Norfolk Southern is also a principal carrier of coal, automobiles, and automotive parts. Norfolk Southern’s stock is publicly traded on the NYSE under the ticker symbol NSC.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On July 28, 2025, Union Pacific, Norfolk Southern, Ruby Merger Sub 1 Corporation, and Ruby Merger Sub 2 LLC, entered into an agreement and plan of merger (the merger agreement). The merger agreement provides, among other things, for the acquisition of Norfolk Southern by Union Pacific, subject to the satisfaction or waiver of the conditions specified therein, through two mergers: (i) first, Ruby Merger Sub 1 Corporation will merge with and into Norfolk Southern with Norfolk Southern surviving as a direct, wholly owned subsidiary of Union Pacific (the first merger); and (ii) second, immediately after the first merger, Norfolk Southern will merge with and into Ruby Merger Sub 2 LLC with Ruby Merger Sub 2 LLC surviving as a direct, wholly owned subsidiary of Union Pacific (second merger). The first merger and the second merger are collectively referred to as the mergers.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At the effective time of the first merger (first effective time), each share of Norfolk Southern common stock issued and outstanding immediately prior to the first effective time, except for shares held by Union Pacific or Norfolk Southern, or their direct or indirect subsidiaries (other than, with respect to shares held by Union Pacific, Norfolk Southern, Ruby Merger Sub 1 Corporation, or Ruby Merger Sub 2 LLC, shares held on behalf of third parties), will be converted automatically into the right to receive one validly issued, fully paid, and nonassessable share of Union Pacific common stock and $88.82 in cash, without interest. Assuming completion of the mergers, we expect approximately 224.8 million shares of common stock to be issued and approximately $20 billion of cash consideration to be paid. The cash consideration is expected to be funded through a combination of new debt and cash accumulated through cash provided by operating activities. The actual value of the transaction may fluctuate based upon changes in the price of Union Pacific common stock and the number of Norfolk Southern common stock outstanding at the first effective time.</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combination of Norfolk Southern and Union Pacific would create America’s first transcontinental railroad that spans over 50,000 miles across 43 states with access to 10 international interchanges and approximately 100 ports.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Union Pacific filed a registration statement on Form S -4 (File No. 333-290282), which the SEC declared effective on September 30, 2025. Union Pacific and Norfolk Southern each also filed definitive proxy statements on October 1, 2025. Both Union Pacific's and Norfolk Southern's special meetings of shareholders will be held on November 14, 2025 (unless one or both are adjourned or postponed to a later date).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Completion of the mergers is conditioned on Union Pacific shareholders approving the share issuance proposal, Norfolk Southern shareholders approving the merger agreement proposal (each as described in the companies' definitive proxy statements), as well as the receipt of approval of the Surface Transportation Board (STB) and a number of other conditions before the mergers can be consummated, as described in the merger agreement. Norfolk Southern's management and Board of Directors will continue to manage Norfolk Southern until the first effective time, pursuing its independent business plans and growth strategies. Subject to completion of the mergers, the acquisition is expected to be accounted for as a business combination using the acquisition method of accounting and currently expected to be completed in early 2027.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Union Pacific incurred the following acquisition-related expense associated with the merger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right"/>
              <w:ind w:right="242"/>
              <w:spacing w:after="0"/>
              <w:rPr>
                <w:sz w:val="20"/>
                <w:szCs w:val="20"/>
                <w:color w:val="auto"/>
              </w:rPr>
            </w:pPr>
            <w:r>
              <w:rPr>
                <w:rFonts w:ascii="Arial" w:cs="Arial" w:eastAsia="Arial" w:hAnsi="Arial"/>
                <w:sz w:val="16"/>
                <w:szCs w:val="16"/>
                <w:i w:val="1"/>
                <w:iCs w:val="1"/>
                <w:color w:val="auto"/>
              </w:rPr>
              <w:t>Three months ended</w:t>
            </w:r>
          </w:p>
        </w:tc>
        <w:tc>
          <w:tcPr>
            <w:tcW w:w="340" w:type="dxa"/>
            <w:vAlign w:val="bottom"/>
          </w:tcPr>
          <w:p>
            <w:pPr>
              <w:spacing w:after="0"/>
              <w:rPr>
                <w:sz w:val="16"/>
                <w:szCs w:val="16"/>
                <w:color w:val="auto"/>
              </w:rPr>
            </w:pPr>
          </w:p>
        </w:tc>
        <w:tc>
          <w:tcPr>
            <w:tcW w:w="1760" w:type="dxa"/>
            <w:vAlign w:val="bottom"/>
          </w:tcPr>
          <w:p>
            <w:pPr>
              <w:jc w:val="right"/>
              <w:ind w:right="222"/>
              <w:spacing w:after="0"/>
              <w:rPr>
                <w:sz w:val="20"/>
                <w:szCs w:val="20"/>
                <w:color w:val="auto"/>
              </w:rPr>
            </w:pPr>
            <w:r>
              <w:rPr>
                <w:rFonts w:ascii="Arial" w:cs="Arial" w:eastAsia="Arial" w:hAnsi="Arial"/>
                <w:sz w:val="16"/>
                <w:szCs w:val="16"/>
                <w:i w:val="1"/>
                <w:iCs w:val="1"/>
                <w:color w:val="auto"/>
              </w:rPr>
              <w:t>Nine months ended</w:t>
            </w:r>
          </w:p>
        </w:tc>
      </w:tr>
      <w:tr>
        <w:trPr>
          <w:trHeight w:val="21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16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jc w:val="right"/>
              <w:ind w:right="262"/>
              <w:spacing w:after="0"/>
              <w:rPr>
                <w:sz w:val="20"/>
                <w:szCs w:val="20"/>
                <w:color w:val="auto"/>
              </w:rPr>
            </w:pPr>
            <w:r>
              <w:rPr>
                <w:rFonts w:ascii="Arial" w:cs="Arial" w:eastAsia="Arial" w:hAnsi="Arial"/>
                <w:sz w:val="16"/>
                <w:szCs w:val="16"/>
                <w:i w:val="1"/>
                <w:iCs w:val="1"/>
                <w:color w:val="auto"/>
              </w:rPr>
              <w:t>September 30, 2025</w:t>
            </w:r>
          </w:p>
        </w:tc>
        <w:tc>
          <w:tcPr>
            <w:tcW w:w="3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ind w:right="202"/>
              <w:spacing w:after="0"/>
              <w:rPr>
                <w:sz w:val="20"/>
                <w:szCs w:val="20"/>
                <w:color w:val="auto"/>
              </w:rPr>
            </w:pPr>
            <w:r>
              <w:rPr>
                <w:rFonts w:ascii="Arial" w:cs="Arial" w:eastAsia="Arial" w:hAnsi="Arial"/>
                <w:sz w:val="16"/>
                <w:szCs w:val="16"/>
                <w:i w:val="1"/>
                <w:iCs w:val="1"/>
                <w:color w:val="auto"/>
              </w:rPr>
              <w:t>September 30, 2025</w:t>
            </w:r>
          </w:p>
        </w:tc>
      </w:tr>
      <w:tr>
        <w:trPr>
          <w:trHeight w:val="22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expense</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3"/>
        </w:trPr>
        <w:tc>
          <w:tcPr>
            <w:tcW w:w="6460" w:type="dxa"/>
            <w:vAlign w:val="bottom"/>
          </w:tcPr>
          <w:p>
            <w:pPr>
              <w:ind w:left="160"/>
              <w:spacing w:after="0"/>
              <w:rPr>
                <w:sz w:val="20"/>
                <w:szCs w:val="20"/>
                <w:color w:val="auto"/>
              </w:rPr>
            </w:pPr>
            <w:r>
              <w:rPr>
                <w:rFonts w:ascii="Arial" w:cs="Arial" w:eastAsia="Arial" w:hAnsi="Arial"/>
                <w:sz w:val="16"/>
                <w:szCs w:val="16"/>
                <w:color w:val="auto"/>
              </w:rPr>
              <w:t>Purchased services and materials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2"/>
              <w:spacing w:after="0"/>
              <w:rPr>
                <w:sz w:val="20"/>
                <w:szCs w:val="20"/>
                <w:color w:val="auto"/>
              </w:rPr>
            </w:pPr>
            <w:r>
              <w:rPr>
                <w:rFonts w:ascii="Arial" w:cs="Arial" w:eastAsia="Arial" w:hAnsi="Arial"/>
                <w:sz w:val="16"/>
                <w:szCs w:val="16"/>
                <w:color w:val="auto"/>
              </w:rPr>
              <w:t>41</w:t>
            </w:r>
          </w:p>
        </w:tc>
      </w:tr>
      <w:tr>
        <w:trPr>
          <w:trHeight w:val="233"/>
        </w:trPr>
        <w:tc>
          <w:tcPr>
            <w:tcW w:w="6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18"/>
        </w:trPr>
        <w:tc>
          <w:tcPr>
            <w:tcW w:w="6460" w:type="dxa"/>
            <w:vAlign w:val="bottom"/>
          </w:tcPr>
          <w:p>
            <w:pPr>
              <w:ind w:left="20"/>
              <w:spacing w:after="0"/>
              <w:rPr>
                <w:sz w:val="20"/>
                <w:szCs w:val="20"/>
                <w:color w:val="auto"/>
              </w:rPr>
            </w:pPr>
            <w:r>
              <w:rPr>
                <w:rFonts w:ascii="Arial" w:cs="Arial" w:eastAsia="Arial" w:hAnsi="Arial"/>
                <w:sz w:val="16"/>
                <w:szCs w:val="16"/>
                <w:color w:val="auto"/>
              </w:rPr>
              <w:t>Total acquisition-related expense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02"/>
              <w:spacing w:after="0"/>
              <w:rPr>
                <w:sz w:val="20"/>
                <w:szCs w:val="20"/>
                <w:color w:val="auto"/>
              </w:rPr>
            </w:pPr>
            <w:r>
              <w:rPr>
                <w:rFonts w:ascii="Arial" w:cs="Arial" w:eastAsia="Arial" w:hAnsi="Arial"/>
                <w:sz w:val="16"/>
                <w:szCs w:val="16"/>
                <w:color w:val="auto"/>
              </w:rPr>
              <w:t>41</w:t>
            </w: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2"/>
              <w:spacing w:after="0"/>
              <w:rPr>
                <w:sz w:val="20"/>
                <w:szCs w:val="20"/>
                <w:color w:val="auto"/>
              </w:rPr>
            </w:pPr>
            <w:r>
              <w:rPr>
                <w:rFonts w:ascii="Arial" w:cs="Arial" w:eastAsia="Arial" w:hAnsi="Arial"/>
                <w:sz w:val="16"/>
                <w:szCs w:val="16"/>
                <w:color w:val="auto"/>
              </w:rPr>
              <w:t>42</w:t>
            </w:r>
          </w:p>
        </w:tc>
      </w:tr>
    </w:tbl>
    <w:p>
      <w:pPr>
        <w:spacing w:after="0" w:line="16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i w:val="1"/>
          <w:iCs w:val="1"/>
          <w:color w:val="auto"/>
        </w:rPr>
        <w:t>[a]</w:t>
        <w:tab/>
        <w:t>Certain acquisition-related costs are non-deductible for income tax purposes.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2025, we incurred deferred share issuance costs of $8 million that will be recognized in paid-in-surplus upon completion of the mergers.</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Both Union Pacific and Norfolk Southern may be required to pay the other a termination fee of $2.5 billion if the merger agreement is terminated under certain circumstances described in the merger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UNION PACIFIC CORPORATION AND SUBSIDIARY COMPANIES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RESULTS OF OPERATIONS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Three and nine months ended September 30, 2025, compared to</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three and nine months ended September 30, 2024</w:t>
      </w:r>
    </w:p>
    <w:p>
      <w:pPr>
        <w:spacing w:after="0" w:line="174"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26"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54"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2024 Annual Report on Form 10-K. During the first nine months of 2025, there have not been any significant changes with respect to our critical accounting estimates.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summary</w:t>
      </w:r>
    </w:p>
    <w:p>
      <w:pPr>
        <w:spacing w:after="0" w:line="15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The Company reported earnings of $3.01 per diluted share on net income of $1.8 billion and an operating ratio of 59.2% in the third quarter of 2025 compared to earnings of $2.75 per diluted share on net income of $1.7 billion and an operating ratio of 60.3% in the third quarter of 2024. Freight revenues increased 3% on slightly negative carloads in the third quarter of 2025 compared to the same period in 2024 driven by core pricing gains and a more favorable business mix, partially offset by lower fuel surcharge revenue. Increased carloads in coal, industrial chemicals and plastics, and grain and grain products were offset by lower international intermodal carloads, which declined 17% in the third quarter of 2025.</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rail network operations remained fluid in the third quarter of 2025 compared to 2024 resulting in record performance for many of our key operating metrics. Freight car velocity increased 8% and terminal dwell improved 9%. Although volumes were essentially unchanged from the third quarter of 2024, we efficiently handled the shift in business traffic as we moved more bulk and manifest carloads and fewer international intermodal carloads with the traffic shifting back to historical trade patterns. In third quarter of 2025 compared to 2024, workforce productivity improved 6% and locomotive productivity improved 4% to record results as we efficiently utilized our resources and adjusted to the changing demand environments. Both manifest and intermodal service performance index measures improved over 10 points compared to last year, while train length continued to improve, increasing 2%.</w:t>
      </w:r>
    </w:p>
    <w:p>
      <w:pPr>
        <w:spacing w:after="0" w:line="105"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Operating expenses slightly increased compared to the third quarter of 2024 due to inflation, acquisition -related expenses (see Note 18 to the Condensed Consolidated Financial Statements, Item 1), and higher depreciation. These increases were partially offset by productivity, lower casualty costs, and lower fuel prices. Compared to third quarter of last year, operating income increased 6% to $2.5 billion, and the operating ratio of 59.2% improved 1.1 points, reflecting top-line growth, solid operational performance, and productivity gains.</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060" w:type="dxa"/>
            <w:vAlign w:val="bottom"/>
            <w:gridSpan w:val="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722"/>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gridSpan w:val="3"/>
          </w:tcPr>
          <w:p>
            <w:pPr>
              <w:jc w:val="right"/>
              <w:ind w:right="2"/>
              <w:spacing w:after="0"/>
              <w:rPr>
                <w:sz w:val="20"/>
                <w:szCs w:val="20"/>
                <w:color w:val="auto"/>
              </w:rPr>
            </w:pPr>
            <w:r>
              <w:rPr>
                <w:rFonts w:ascii="Arial" w:cs="Arial" w:eastAsia="Arial" w:hAnsi="Arial"/>
                <w:sz w:val="16"/>
                <w:szCs w:val="16"/>
                <w:i w:val="1"/>
                <w:iCs w:val="1"/>
                <w:color w:val="auto"/>
              </w:rPr>
              <w:t>Three months ended</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22"/>
              <w:spacing w:after="0"/>
              <w:rPr>
                <w:sz w:val="20"/>
                <w:szCs w:val="20"/>
                <w:color w:val="auto"/>
              </w:rPr>
            </w:pPr>
            <w:r>
              <w:rPr>
                <w:rFonts w:ascii="Arial" w:cs="Arial" w:eastAsia="Arial" w:hAnsi="Arial"/>
                <w:sz w:val="16"/>
                <w:szCs w:val="16"/>
                <w:i w:val="1"/>
                <w:iCs w:val="1"/>
                <w:color w:val="auto"/>
              </w:rPr>
              <w:t>Nine months ended</w:t>
            </w:r>
          </w:p>
        </w:tc>
        <w:tc>
          <w:tcPr>
            <w:tcW w:w="920" w:type="dxa"/>
            <w:vAlign w:val="bottom"/>
          </w:tcPr>
          <w:p>
            <w:pPr>
              <w:spacing w:after="0"/>
              <w:rPr>
                <w:sz w:val="16"/>
                <w:szCs w:val="16"/>
                <w:color w:val="auto"/>
              </w:rPr>
            </w:pPr>
          </w:p>
        </w:tc>
      </w:tr>
      <w:tr>
        <w:trPr>
          <w:trHeight w:val="205"/>
        </w:trPr>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i w:val="1"/>
                <w:iCs w:val="1"/>
                <w:color w:val="auto"/>
              </w:rPr>
              <w:t>September 30,</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i w:val="1"/>
                <w:iCs w:val="1"/>
                <w:color w:val="auto"/>
              </w:rPr>
              <w:t>September 30,</w:t>
            </w:r>
          </w:p>
        </w:tc>
        <w:tc>
          <w:tcPr>
            <w:tcW w:w="920" w:type="dxa"/>
            <w:vAlign w:val="bottom"/>
          </w:tcPr>
          <w:p>
            <w:pPr>
              <w:spacing w:after="0"/>
              <w:rPr>
                <w:sz w:val="17"/>
                <w:szCs w:val="17"/>
                <w:color w:val="auto"/>
              </w:rPr>
            </w:pP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6"/>
                <w:szCs w:val="16"/>
                <w:i w:val="1"/>
                <w:iCs w:val="1"/>
                <w:color w:val="auto"/>
              </w:rPr>
              <w:t>Millions</w:t>
            </w:r>
          </w:p>
        </w:tc>
        <w:tc>
          <w:tcPr>
            <w:tcW w:w="1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20"/>
                <w:szCs w:val="20"/>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i w:val="1"/>
                <w:iCs w:val="1"/>
                <w:color w:val="auto"/>
              </w:rPr>
              <w:t>2024</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Change</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40" w:type="dxa"/>
            <w:vAlign w:val="bottom"/>
          </w:tcPr>
          <w:p>
            <w:pPr>
              <w:spacing w:after="0"/>
              <w:rPr>
                <w:sz w:val="20"/>
                <w:szCs w:val="20"/>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i w:val="1"/>
                <w:iCs w:val="1"/>
                <w:color w:val="auto"/>
              </w:rPr>
              <w:t>2024</w:t>
            </w:r>
          </w:p>
        </w:tc>
        <w:tc>
          <w:tcPr>
            <w:tcW w:w="92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Freight revenues</w:t>
            </w:r>
          </w:p>
        </w:tc>
        <w:tc>
          <w:tcPr>
            <w:tcW w:w="14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5,927</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5,768</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17,461</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17,022</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w:t>
            </w:r>
          </w:p>
        </w:tc>
      </w:tr>
      <w:tr>
        <w:trPr>
          <w:trHeight w:val="227"/>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Other subsidiary revenues</w:t>
            </w:r>
          </w:p>
        </w:tc>
        <w:tc>
          <w:tcPr>
            <w:tcW w:w="1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280" w:type="dxa"/>
            <w:vAlign w:val="bottom"/>
          </w:tcPr>
          <w:p>
            <w:pPr>
              <w:spacing w:after="0"/>
              <w:rPr>
                <w:sz w:val="19"/>
                <w:szCs w:val="19"/>
                <w:color w:val="auto"/>
              </w:rPr>
            </w:pPr>
          </w:p>
        </w:tc>
        <w:tc>
          <w:tcPr>
            <w:tcW w:w="1060" w:type="dxa"/>
            <w:vAlign w:val="bottom"/>
          </w:tcPr>
          <w:p>
            <w:pPr>
              <w:jc w:val="right"/>
              <w:ind w:right="402"/>
              <w:spacing w:after="0"/>
              <w:rPr>
                <w:sz w:val="20"/>
                <w:szCs w:val="20"/>
                <w:color w:val="auto"/>
              </w:rPr>
            </w:pPr>
            <w:r>
              <w:rPr>
                <w:rFonts w:ascii="Arial" w:cs="Arial" w:eastAsia="Arial" w:hAnsi="Arial"/>
                <w:sz w:val="16"/>
                <w:szCs w:val="16"/>
                <w:color w:val="auto"/>
              </w:rPr>
              <w:t>179</w:t>
            </w:r>
          </w:p>
        </w:tc>
        <w:tc>
          <w:tcPr>
            <w:tcW w:w="860" w:type="dxa"/>
            <w:vAlign w:val="bottom"/>
          </w:tcPr>
          <w:p>
            <w:pPr>
              <w:jc w:val="center"/>
              <w:ind w:left="62"/>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547</w:t>
            </w:r>
          </w:p>
        </w:tc>
        <w:tc>
          <w:tcPr>
            <w:tcW w:w="240" w:type="dxa"/>
            <w:vAlign w:val="bottom"/>
          </w:tcPr>
          <w:p>
            <w:pPr>
              <w:spacing w:after="0"/>
              <w:rPr>
                <w:sz w:val="19"/>
                <w:szCs w:val="19"/>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color w:val="auto"/>
              </w:rPr>
              <w:t>608</w:t>
            </w:r>
          </w:p>
        </w:tc>
        <w:tc>
          <w:tcPr>
            <w:tcW w:w="920" w:type="dxa"/>
            <w:vAlign w:val="bottom"/>
          </w:tcPr>
          <w:p>
            <w:pPr>
              <w:jc w:val="right"/>
              <w:ind w:right="202"/>
              <w:spacing w:after="0"/>
              <w:rPr>
                <w:sz w:val="20"/>
                <w:szCs w:val="20"/>
                <w:color w:val="auto"/>
              </w:rPr>
            </w:pPr>
            <w:r>
              <w:rPr>
                <w:rFonts w:ascii="Arial" w:cs="Arial" w:eastAsia="Arial" w:hAnsi="Arial"/>
                <w:sz w:val="16"/>
                <w:szCs w:val="16"/>
                <w:b w:val="1"/>
                <w:bCs w:val="1"/>
                <w:color w:val="auto"/>
              </w:rPr>
              <w:t>(10)</w:t>
            </w: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Accessorial revenues</w:t>
            </w:r>
          </w:p>
        </w:tc>
        <w:tc>
          <w:tcPr>
            <w:tcW w:w="1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122</w:t>
            </w:r>
          </w:p>
        </w:tc>
        <w:tc>
          <w:tcPr>
            <w:tcW w:w="860" w:type="dxa"/>
            <w:vAlign w:val="bottom"/>
            <w:shd w:val="clear" w:color="auto" w:fill="CCEEFF"/>
          </w:tcPr>
          <w:p>
            <w:pPr>
              <w:jc w:val="center"/>
              <w:ind w:left="82"/>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349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427</w:t>
            </w: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(18)</w:t>
            </w:r>
          </w:p>
        </w:tc>
      </w:tr>
      <w:tr>
        <w:trPr>
          <w:trHeight w:val="227"/>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tcPr>
          <w:p>
            <w:pPr>
              <w:spacing w:after="0"/>
              <w:rPr>
                <w:sz w:val="19"/>
                <w:szCs w:val="19"/>
                <w:color w:val="auto"/>
              </w:rPr>
            </w:pPr>
          </w:p>
        </w:tc>
        <w:tc>
          <w:tcPr>
            <w:tcW w:w="1060" w:type="dxa"/>
            <w:vAlign w:val="bottom"/>
          </w:tcPr>
          <w:p>
            <w:pPr>
              <w:jc w:val="right"/>
              <w:ind w:right="402"/>
              <w:spacing w:after="0"/>
              <w:rPr>
                <w:sz w:val="20"/>
                <w:szCs w:val="20"/>
                <w:color w:val="auto"/>
              </w:rPr>
            </w:pPr>
            <w:r>
              <w:rPr>
                <w:rFonts w:ascii="Arial" w:cs="Arial" w:eastAsia="Arial" w:hAnsi="Arial"/>
                <w:sz w:val="16"/>
                <w:szCs w:val="16"/>
                <w:color w:val="auto"/>
              </w:rPr>
              <w:t>22</w:t>
            </w:r>
          </w:p>
        </w:tc>
        <w:tc>
          <w:tcPr>
            <w:tcW w:w="860" w:type="dxa"/>
            <w:vAlign w:val="bottom"/>
          </w:tcPr>
          <w:p>
            <w:pPr>
              <w:jc w:val="center"/>
              <w:ind w:left="62"/>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240" w:type="dxa"/>
            <w:vAlign w:val="bottom"/>
          </w:tcPr>
          <w:p>
            <w:pPr>
              <w:spacing w:after="0"/>
              <w:rPr>
                <w:sz w:val="19"/>
                <w:szCs w:val="19"/>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color w:val="auto"/>
              </w:rPr>
              <w:t>72</w:t>
            </w:r>
          </w:p>
        </w:tc>
        <w:tc>
          <w:tcPr>
            <w:tcW w:w="920" w:type="dxa"/>
            <w:vAlign w:val="bottom"/>
          </w:tcPr>
          <w:p>
            <w:pPr>
              <w:jc w:val="right"/>
              <w:ind w:right="202"/>
              <w:spacing w:after="0"/>
              <w:rPr>
                <w:sz w:val="20"/>
                <w:szCs w:val="20"/>
                <w:color w:val="auto"/>
              </w:rPr>
            </w:pPr>
            <w:r>
              <w:rPr>
                <w:rFonts w:ascii="Arial" w:cs="Arial" w:eastAsia="Arial" w:hAnsi="Arial"/>
                <w:sz w:val="16"/>
                <w:szCs w:val="16"/>
                <w:b w:val="1"/>
                <w:bCs w:val="1"/>
                <w:color w:val="auto"/>
              </w:rPr>
              <w:t>(6)</w:t>
            </w: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6,244</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6,091</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18,425</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18,129</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w:t>
            </w:r>
          </w:p>
        </w:tc>
      </w:tr>
    </w:tbl>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generate freight revenues by transporting products from our three commodity groups. Freight revenues vary with volume (carloads) and average revenue per car (ARC). Changes in price, traffic mix, and fuel surcharges drive ARC. Customer incentives, which are primarily provided for shipping to/from specific locations or based on cumulative volume, are recorded as a reduction to operating revenues. Customer incentives that include variable consideration based on cumulative volume are estimated using the expected value method, which is based on available historical, current, and forecasted volume,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6"/>
          <w:szCs w:val="16"/>
          <w:color w:val="auto"/>
        </w:rPr>
        <w:t>Freight revenues increased 3% on slightly negative carloads in the third quarter of 2025 compared to the same period in 2024 as a result of core pricing gains and a more favorable business mix, partially offset by lower fuel surcharge revenue. Increased carloads in coal, industrial chemicals and plastics, and grain and grain products were offset by lower international intermodal carloads, which declined 17% in the third quarter of 2025. For the year -to-date period of 2025, freight revenues also increased 3% driven by core pricing gains and 3% volume growth, partially offset by unfavorable business mix (for example, relative increases in shipments with lower ARC such as intermodal and coal) and lower fuel surcharge revenues. Increased shipments of intermodal, coal, and grain and grain products were partially offset by lower automotive shipments.</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Each of our commodity groups includes revenues from fuel surcharges. Freight revenues from fuel surcharge programs decreased $33 million to $ 602 million in the third quarter of 2025 compared to $635 million in the same period of 2024 due the lag impact on fuel prices (it can generally take up to two months for changing fuel prices to affect fuel surcharge recoveries) and lower volumes, partially offset by higher fuel prices. For the year- to-date period of 2025, freight revenues from fuel surcharge programs declined $233 million compared to 2024 driven by lower fuel prices and the related price lag impact, partially offset by higher volume levels.</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Other subsidiary revenues decreased in the third quarter and year-to-date periods of 2025 compared to 2024 primarily driven by the transfer of commuter operations to Metra and a weaker demand for auto parts shipments at our subsidiary that brokers intermodal and transload logistics services. Accessorial revenues increased in the third quarter 2025 compared to 2024 driven by improved intermodal accessorial revenues. For the year-to-date period, accessorial revenues decreased due to the sale of our intermodal equipment in the second quarter of 2024, resulting in lower intermodal accessorial revenues, and the comparison period was also negatively impacted by a one-time contract settlement recognized in the first quarter of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42" w:right="660"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year-over-year changes in freight revenues, revenue carloads, and ARC by commodity type: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Freight revenues</w:t>
            </w:r>
          </w:p>
        </w:tc>
        <w:tc>
          <w:tcPr>
            <w:tcW w:w="12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tcPr>
          <w:p>
            <w:pPr>
              <w:jc w:val="right"/>
              <w:ind w:right="2"/>
              <w:spacing w:after="0"/>
              <w:rPr>
                <w:sz w:val="20"/>
                <w:szCs w:val="20"/>
                <w:color w:val="auto"/>
              </w:rPr>
            </w:pPr>
            <w:r>
              <w:rPr>
                <w:rFonts w:ascii="Arial" w:cs="Arial" w:eastAsia="Arial" w:hAnsi="Arial"/>
                <w:sz w:val="16"/>
                <w:szCs w:val="16"/>
                <w:i w:val="1"/>
                <w:i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i w:val="1"/>
                <w:iCs w:val="1"/>
                <w:color w:val="auto"/>
              </w:rPr>
              <w:t>September 30,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i w:val="1"/>
                <w:i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220" w:type="dxa"/>
            <w:vAlign w:val="bottom"/>
          </w:tcPr>
          <w:p>
            <w:pPr>
              <w:spacing w:after="0"/>
              <w:rPr>
                <w:sz w:val="19"/>
                <w:szCs w:val="19"/>
                <w:color w:val="auto"/>
              </w:rPr>
            </w:pPr>
          </w:p>
        </w:tc>
        <w:tc>
          <w:tcPr>
            <w:tcW w:w="940" w:type="dxa"/>
            <w:vAlign w:val="bottom"/>
            <w:gridSpan w:val="2"/>
          </w:tcPr>
          <w:p>
            <w:pPr>
              <w:ind w:left="360"/>
              <w:spacing w:after="0"/>
              <w:rPr>
                <w:sz w:val="20"/>
                <w:szCs w:val="20"/>
                <w:color w:val="auto"/>
              </w:rPr>
            </w:pPr>
            <w:r>
              <w:rPr>
                <w:rFonts w:ascii="Arial" w:cs="Arial" w:eastAsia="Arial" w:hAnsi="Arial"/>
                <w:sz w:val="16"/>
                <w:szCs w:val="16"/>
                <w:b w:val="1"/>
                <w:bCs w:val="1"/>
                <w:i w:val="1"/>
                <w:iCs w:val="1"/>
                <w:color w:val="auto"/>
              </w:rPr>
              <w:t>2025</w:t>
            </w:r>
          </w:p>
        </w:tc>
        <w:tc>
          <w:tcPr>
            <w:tcW w:w="1040" w:type="dxa"/>
            <w:vAlign w:val="bottom"/>
          </w:tcPr>
          <w:p>
            <w:pPr>
              <w:jc w:val="right"/>
              <w:ind w:right="302"/>
              <w:spacing w:after="0"/>
              <w:rPr>
                <w:sz w:val="20"/>
                <w:szCs w:val="20"/>
                <w:color w:val="auto"/>
              </w:rPr>
            </w:pPr>
            <w:r>
              <w:rPr>
                <w:rFonts w:ascii="Arial" w:cs="Arial" w:eastAsia="Arial" w:hAnsi="Arial"/>
                <w:sz w:val="16"/>
                <w:szCs w:val="16"/>
                <w:i w:val="1"/>
                <w:iCs w:val="1"/>
                <w:color w:val="auto"/>
              </w:rPr>
              <w:t>2024</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i w:val="1"/>
                <w:iCs w:val="1"/>
                <w:color w:val="auto"/>
              </w:rPr>
              <w:t>Change</w:t>
            </w:r>
          </w:p>
        </w:tc>
        <w:tc>
          <w:tcPr>
            <w:tcW w:w="300" w:type="dxa"/>
            <w:vAlign w:val="bottom"/>
          </w:tcPr>
          <w:p>
            <w:pPr>
              <w:spacing w:after="0"/>
              <w:rPr>
                <w:sz w:val="19"/>
                <w:szCs w:val="19"/>
                <w:color w:val="auto"/>
              </w:rPr>
            </w:pPr>
          </w:p>
        </w:tc>
        <w:tc>
          <w:tcPr>
            <w:tcW w:w="920" w:type="dxa"/>
            <w:vAlign w:val="bottom"/>
            <w:gridSpan w:val="2"/>
          </w:tcPr>
          <w:p>
            <w:pPr>
              <w:jc w:val="right"/>
              <w:ind w:right="162"/>
              <w:spacing w:after="0"/>
              <w:rPr>
                <w:sz w:val="20"/>
                <w:szCs w:val="20"/>
                <w:color w:val="auto"/>
              </w:rPr>
            </w:pPr>
            <w:r>
              <w:rPr>
                <w:rFonts w:ascii="Arial" w:cs="Arial" w:eastAsia="Arial" w:hAnsi="Arial"/>
                <w:sz w:val="16"/>
                <w:szCs w:val="16"/>
                <w:b w:val="1"/>
                <w:bCs w:val="1"/>
                <w:i w:val="1"/>
                <w:iCs w:val="1"/>
                <w:color w:val="auto"/>
              </w:rPr>
              <w:t>2025</w:t>
            </w:r>
          </w:p>
        </w:tc>
        <w:tc>
          <w:tcPr>
            <w:tcW w:w="1020" w:type="dxa"/>
            <w:vAlign w:val="bottom"/>
          </w:tcPr>
          <w:p>
            <w:pPr>
              <w:jc w:val="right"/>
              <w:ind w:right="282"/>
              <w:spacing w:after="0"/>
              <w:rPr>
                <w:sz w:val="20"/>
                <w:szCs w:val="20"/>
                <w:color w:val="auto"/>
              </w:rPr>
            </w:pPr>
            <w:r>
              <w:rPr>
                <w:rFonts w:ascii="Arial" w:cs="Arial" w:eastAsia="Arial" w:hAnsi="Arial"/>
                <w:sz w:val="16"/>
                <w:szCs w:val="16"/>
                <w:i w:val="1"/>
                <w:iCs w:val="1"/>
                <w:color w:val="auto"/>
              </w:rPr>
              <w:t>2024</w:t>
            </w:r>
          </w:p>
        </w:tc>
        <w:tc>
          <w:tcPr>
            <w:tcW w:w="90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Grain &amp; grain products</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923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2,889</w:t>
            </w:r>
          </w:p>
        </w:tc>
        <w:tc>
          <w:tcPr>
            <w:tcW w:w="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2,767</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Fertilizer</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208</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638</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612</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Food &amp; refrigerated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269</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832</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Coal &amp; renewables</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405</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16</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1,355</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1,132</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Bulk</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1,805</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5,343</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Industrial chemicals &amp; plastics</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647</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598</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1,900</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1,763</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Metals &amp; minerals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529</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1,574</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Forest products</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322</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988</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1,002</w:t>
            </w:r>
          </w:p>
        </w:tc>
        <w:tc>
          <w:tcPr>
            <w:tcW w:w="900" w:type="dxa"/>
            <w:vAlign w:val="bottom"/>
          </w:tcPr>
          <w:p>
            <w:pPr>
              <w:jc w:val="right"/>
              <w:ind w:right="22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Energy &amp; specialized markets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672</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2,009</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7"/>
        </w:trPr>
        <w:tc>
          <w:tcPr>
            <w:tcW w:w="3360" w:type="dxa"/>
            <w:vAlign w:val="bottom"/>
          </w:tcPr>
          <w:p>
            <w:pPr>
              <w:ind w:left="160"/>
              <w:spacing w:after="0"/>
              <w:rPr>
                <w:sz w:val="20"/>
                <w:szCs w:val="20"/>
                <w:color w:val="auto"/>
              </w:rPr>
            </w:pPr>
            <w:r>
              <w:rPr>
                <w:rFonts w:ascii="Arial" w:cs="Arial" w:eastAsia="Arial" w:hAnsi="Arial"/>
                <w:sz w:val="16"/>
                <w:szCs w:val="16"/>
                <w:color w:val="auto"/>
              </w:rPr>
              <w:t>Industrial</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2,194</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2,121</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6,488</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6,348</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Automotive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601</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1,871</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Intermodal</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1,199</w:t>
            </w:r>
          </w:p>
        </w:tc>
        <w:tc>
          <w:tcPr>
            <w:tcW w:w="280" w:type="dxa"/>
            <w:vAlign w:val="bottom"/>
          </w:tcPr>
          <w:p>
            <w:pPr>
              <w:spacing w:after="0"/>
              <w:rPr>
                <w:sz w:val="19"/>
                <w:szCs w:val="19"/>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1,241</w:t>
            </w:r>
          </w:p>
        </w:tc>
        <w:tc>
          <w:tcPr>
            <w:tcW w:w="860" w:type="dxa"/>
            <w:vAlign w:val="bottom"/>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3,489</w:t>
            </w:r>
          </w:p>
        </w:tc>
        <w:tc>
          <w:tcPr>
            <w:tcW w:w="280" w:type="dxa"/>
            <w:vAlign w:val="bottom"/>
          </w:tcPr>
          <w:p>
            <w:pPr>
              <w:spacing w:after="0"/>
              <w:rPr>
                <w:sz w:val="19"/>
                <w:szCs w:val="19"/>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3,460</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1,842</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5,331</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5,927</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42"/>
              <w:spacing w:after="0"/>
              <w:rPr>
                <w:sz w:val="20"/>
                <w:szCs w:val="20"/>
                <w:color w:val="auto"/>
              </w:rPr>
            </w:pPr>
            <w:r>
              <w:rPr>
                <w:rFonts w:ascii="Arial" w:cs="Arial" w:eastAsia="Arial" w:hAnsi="Arial"/>
                <w:sz w:val="16"/>
                <w:szCs w:val="16"/>
                <w:color w:val="auto"/>
              </w:rPr>
              <w:t>5,768</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17,461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22"/>
              <w:spacing w:after="0"/>
              <w:rPr>
                <w:sz w:val="20"/>
                <w:szCs w:val="20"/>
                <w:color w:val="auto"/>
              </w:rPr>
            </w:pPr>
            <w:r>
              <w:rPr>
                <w:rFonts w:ascii="Arial" w:cs="Arial" w:eastAsia="Arial" w:hAnsi="Arial"/>
                <w:sz w:val="16"/>
                <w:szCs w:val="16"/>
                <w:color w:val="auto"/>
              </w:rPr>
              <w:t>17,022</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87"/>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 carloads</w:t>
            </w:r>
          </w:p>
        </w:tc>
        <w:tc>
          <w:tcPr>
            <w:tcW w:w="1220" w:type="dxa"/>
            <w:vAlign w:val="bottom"/>
          </w:tcPr>
          <w:p>
            <w:pPr>
              <w:spacing w:after="0"/>
              <w:rPr>
                <w:sz w:val="24"/>
                <w:szCs w:val="24"/>
                <w:color w:val="auto"/>
              </w:rPr>
            </w:pPr>
          </w:p>
        </w:tc>
        <w:tc>
          <w:tcPr>
            <w:tcW w:w="1980" w:type="dxa"/>
            <w:vAlign w:val="bottom"/>
            <w:gridSpan w:val="3"/>
          </w:tcPr>
          <w:p>
            <w:pPr>
              <w:ind w:left="360"/>
              <w:spacing w:after="0"/>
              <w:rPr>
                <w:sz w:val="20"/>
                <w:szCs w:val="20"/>
                <w:color w:val="auto"/>
              </w:rPr>
            </w:pPr>
            <w:r>
              <w:rPr>
                <w:rFonts w:ascii="Arial" w:cs="Arial" w:eastAsia="Arial" w:hAnsi="Arial"/>
                <w:sz w:val="16"/>
                <w:szCs w:val="16"/>
                <w:i w:val="1"/>
                <w:iCs w:val="1"/>
                <w:color w:val="auto"/>
              </w:rPr>
              <w:t>Three months ended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3"/>
          </w:tcPr>
          <w:p>
            <w:pPr>
              <w:jc w:val="right"/>
              <w:ind w:right="62"/>
              <w:spacing w:after="0"/>
              <w:rPr>
                <w:sz w:val="20"/>
                <w:szCs w:val="20"/>
                <w:color w:val="auto"/>
              </w:rPr>
            </w:pPr>
            <w:r>
              <w:rPr>
                <w:rFonts w:ascii="Arial" w:cs="Arial" w:eastAsia="Arial" w:hAnsi="Arial"/>
                <w:sz w:val="16"/>
                <w:szCs w:val="16"/>
                <w:i w:val="1"/>
                <w:i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6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gridSpan w:val="3"/>
          </w:tcPr>
          <w:p>
            <w:pPr>
              <w:jc w:val="right"/>
              <w:ind w:right="322"/>
              <w:spacing w:after="0"/>
              <w:rPr>
                <w:sz w:val="20"/>
                <w:szCs w:val="20"/>
                <w:color w:val="auto"/>
              </w:rPr>
            </w:pPr>
            <w:r>
              <w:rPr>
                <w:rFonts w:ascii="Arial" w:cs="Arial" w:eastAsia="Arial" w:hAnsi="Arial"/>
                <w:sz w:val="16"/>
                <w:szCs w:val="16"/>
                <w:i w:val="1"/>
                <w:iCs w:val="1"/>
                <w:color w:val="auto"/>
              </w:rPr>
              <w:t>September 30,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222"/>
              <w:spacing w:after="0"/>
              <w:rPr>
                <w:sz w:val="20"/>
                <w:szCs w:val="20"/>
                <w:color w:val="auto"/>
              </w:rPr>
            </w:pPr>
            <w:r>
              <w:rPr>
                <w:rFonts w:ascii="Arial" w:cs="Arial" w:eastAsia="Arial" w:hAnsi="Arial"/>
                <w:sz w:val="16"/>
                <w:szCs w:val="16"/>
                <w:i w:val="1"/>
                <w:i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i w:val="1"/>
                <w:iCs w:val="1"/>
                <w:color w:val="auto"/>
              </w:rPr>
              <w:t>Thousands</w:t>
            </w:r>
          </w:p>
        </w:tc>
        <w:tc>
          <w:tcPr>
            <w:tcW w:w="12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i w:val="1"/>
                <w:iCs w:val="1"/>
                <w:color w:val="auto"/>
              </w:rPr>
              <w:t>2024</w:t>
            </w:r>
          </w:p>
        </w:tc>
        <w:tc>
          <w:tcPr>
            <w:tcW w:w="860" w:type="dxa"/>
            <w:vAlign w:val="bottom"/>
          </w:tcPr>
          <w:p>
            <w:pPr>
              <w:jc w:val="right"/>
              <w:ind w:right="202"/>
              <w:spacing w:after="0"/>
              <w:rPr>
                <w:sz w:val="20"/>
                <w:szCs w:val="20"/>
                <w:color w:val="auto"/>
              </w:rPr>
            </w:pPr>
            <w:r>
              <w:rPr>
                <w:rFonts w:ascii="Arial" w:cs="Arial" w:eastAsia="Arial" w:hAnsi="Arial"/>
                <w:sz w:val="16"/>
                <w:szCs w:val="16"/>
                <w:b w:val="1"/>
                <w:bCs w:val="1"/>
                <w:i w:val="1"/>
                <w:iCs w:val="1"/>
                <w:color w:val="auto"/>
                <w:w w:val="95"/>
              </w:rPr>
              <w:t>Change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19"/>
                <w:szCs w:val="19"/>
                <w:color w:val="auto"/>
              </w:rPr>
            </w:pPr>
          </w:p>
        </w:tc>
        <w:tc>
          <w:tcPr>
            <w:tcW w:w="1020" w:type="dxa"/>
            <w:vAlign w:val="bottom"/>
          </w:tcPr>
          <w:p>
            <w:pPr>
              <w:jc w:val="right"/>
              <w:ind w:right="302"/>
              <w:spacing w:after="0"/>
              <w:rPr>
                <w:sz w:val="20"/>
                <w:szCs w:val="20"/>
                <w:color w:val="auto"/>
              </w:rPr>
            </w:pPr>
            <w:r>
              <w:rPr>
                <w:rFonts w:ascii="Arial" w:cs="Arial" w:eastAsia="Arial" w:hAnsi="Arial"/>
                <w:sz w:val="16"/>
                <w:szCs w:val="16"/>
                <w:i w:val="1"/>
                <w:iCs w:val="1"/>
                <w:color w:val="auto"/>
              </w:rPr>
              <w:t>2024</w:t>
            </w:r>
          </w:p>
        </w:tc>
        <w:tc>
          <w:tcPr>
            <w:tcW w:w="90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Grain &amp; grain products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215</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206</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7"/>
              </w:rPr>
              <w:t>645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616</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Fertilizer</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89"/>
              </w:rPr>
              <w:t>58</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53</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9"/>
                <w:szCs w:val="19"/>
                <w:color w:val="auto"/>
              </w:rPr>
            </w:pPr>
          </w:p>
        </w:tc>
        <w:tc>
          <w:tcPr>
            <w:tcW w:w="640" w:type="dxa"/>
            <w:vAlign w:val="bottom"/>
          </w:tcPr>
          <w:p>
            <w:pPr>
              <w:jc w:val="center"/>
              <w:ind w:left="62"/>
              <w:spacing w:after="0"/>
              <w:rPr>
                <w:sz w:val="20"/>
                <w:szCs w:val="20"/>
                <w:color w:val="auto"/>
              </w:rPr>
            </w:pPr>
            <w:r>
              <w:rPr>
                <w:rFonts w:ascii="Arial" w:cs="Arial" w:eastAsia="Arial" w:hAnsi="Arial"/>
                <w:sz w:val="16"/>
                <w:szCs w:val="16"/>
                <w:b w:val="1"/>
                <w:bCs w:val="1"/>
                <w:color w:val="auto"/>
                <w:w w:val="97"/>
              </w:rPr>
              <w:t>162</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162</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Food &amp; refrigerated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89"/>
              </w:rPr>
              <w:t>41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45</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7"/>
              </w:rPr>
              <w:t>127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137</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Coal &amp; renewables</w:t>
            </w:r>
          </w:p>
        </w:tc>
        <w:tc>
          <w:tcPr>
            <w:tcW w:w="1220" w:type="dxa"/>
            <w:vAlign w:val="bottom"/>
          </w:tcPr>
          <w:p>
            <w:pPr>
              <w:spacing w:after="0"/>
              <w:rPr>
                <w:sz w:val="19"/>
                <w:szCs w:val="19"/>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b w:val="1"/>
                <w:bCs w:val="1"/>
                <w:color w:val="auto"/>
              </w:rPr>
              <w:t>216</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192</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9"/>
                <w:szCs w:val="19"/>
                <w:color w:val="auto"/>
              </w:rPr>
            </w:pPr>
          </w:p>
        </w:tc>
        <w:tc>
          <w:tcPr>
            <w:tcW w:w="640" w:type="dxa"/>
            <w:vAlign w:val="bottom"/>
          </w:tcPr>
          <w:p>
            <w:pPr>
              <w:jc w:val="center"/>
              <w:ind w:left="62"/>
              <w:spacing w:after="0"/>
              <w:rPr>
                <w:sz w:val="20"/>
                <w:szCs w:val="20"/>
                <w:color w:val="auto"/>
              </w:rPr>
            </w:pPr>
            <w:r>
              <w:rPr>
                <w:rFonts w:ascii="Arial" w:cs="Arial" w:eastAsia="Arial" w:hAnsi="Arial"/>
                <w:sz w:val="16"/>
                <w:szCs w:val="16"/>
                <w:b w:val="1"/>
                <w:bCs w:val="1"/>
                <w:color w:val="auto"/>
                <w:w w:val="97"/>
              </w:rPr>
              <w:t>606</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527</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Bulk</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530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496</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7</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1,540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1,442</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Industrial chemicals &amp; plastics</w:t>
            </w:r>
          </w:p>
        </w:tc>
        <w:tc>
          <w:tcPr>
            <w:tcW w:w="1220" w:type="dxa"/>
            <w:vAlign w:val="bottom"/>
          </w:tcPr>
          <w:p>
            <w:pPr>
              <w:spacing w:after="0"/>
              <w:rPr>
                <w:sz w:val="19"/>
                <w:szCs w:val="19"/>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b w:val="1"/>
                <w:bCs w:val="1"/>
                <w:color w:val="auto"/>
              </w:rPr>
              <w:t>182</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169</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9"/>
                <w:szCs w:val="19"/>
                <w:color w:val="auto"/>
              </w:rPr>
            </w:pPr>
          </w:p>
        </w:tc>
        <w:tc>
          <w:tcPr>
            <w:tcW w:w="640" w:type="dxa"/>
            <w:vAlign w:val="bottom"/>
          </w:tcPr>
          <w:p>
            <w:pPr>
              <w:jc w:val="center"/>
              <w:ind w:left="62"/>
              <w:spacing w:after="0"/>
              <w:rPr>
                <w:sz w:val="20"/>
                <w:szCs w:val="20"/>
                <w:color w:val="auto"/>
              </w:rPr>
            </w:pPr>
            <w:r>
              <w:rPr>
                <w:rFonts w:ascii="Arial" w:cs="Arial" w:eastAsia="Arial" w:hAnsi="Arial"/>
                <w:sz w:val="16"/>
                <w:szCs w:val="16"/>
                <w:b w:val="1"/>
                <w:bCs w:val="1"/>
                <w:color w:val="auto"/>
                <w:w w:val="97"/>
              </w:rPr>
              <w:t>528</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502</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Metals &amp; minerals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193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186</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7"/>
              </w:rPr>
              <w:t>558</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540</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Forest products</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89"/>
              </w:rPr>
              <w:t>52</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53</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9"/>
                <w:szCs w:val="19"/>
                <w:color w:val="auto"/>
              </w:rPr>
            </w:pPr>
          </w:p>
        </w:tc>
        <w:tc>
          <w:tcPr>
            <w:tcW w:w="640" w:type="dxa"/>
            <w:vAlign w:val="bottom"/>
          </w:tcPr>
          <w:p>
            <w:pPr>
              <w:jc w:val="center"/>
              <w:ind w:left="62"/>
              <w:spacing w:after="0"/>
              <w:rPr>
                <w:sz w:val="20"/>
                <w:szCs w:val="20"/>
                <w:color w:val="auto"/>
              </w:rPr>
            </w:pPr>
            <w:r>
              <w:rPr>
                <w:rFonts w:ascii="Arial" w:cs="Arial" w:eastAsia="Arial" w:hAnsi="Arial"/>
                <w:sz w:val="16"/>
                <w:szCs w:val="16"/>
                <w:b w:val="1"/>
                <w:bCs w:val="1"/>
                <w:color w:val="auto"/>
                <w:w w:val="97"/>
              </w:rPr>
              <w:t>155</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161</w:t>
            </w:r>
          </w:p>
        </w:tc>
        <w:tc>
          <w:tcPr>
            <w:tcW w:w="900" w:type="dxa"/>
            <w:vAlign w:val="bottom"/>
          </w:tcPr>
          <w:p>
            <w:pPr>
              <w:jc w:val="right"/>
              <w:ind w:right="22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Energy &amp; specialized markets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147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152</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7"/>
              </w:rPr>
              <w:t>439</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453</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7"/>
        </w:trPr>
        <w:tc>
          <w:tcPr>
            <w:tcW w:w="3360" w:type="dxa"/>
            <w:vAlign w:val="bottom"/>
          </w:tcPr>
          <w:p>
            <w:pPr>
              <w:ind w:left="160"/>
              <w:spacing w:after="0"/>
              <w:rPr>
                <w:sz w:val="20"/>
                <w:szCs w:val="20"/>
                <w:color w:val="auto"/>
              </w:rPr>
            </w:pPr>
            <w:r>
              <w:rPr>
                <w:rFonts w:ascii="Arial" w:cs="Arial" w:eastAsia="Arial" w:hAnsi="Arial"/>
                <w:sz w:val="16"/>
                <w:szCs w:val="16"/>
                <w:color w:val="auto"/>
              </w:rPr>
              <w:t>Industrial</w:t>
            </w:r>
          </w:p>
        </w:tc>
        <w:tc>
          <w:tcPr>
            <w:tcW w:w="1220" w:type="dxa"/>
            <w:vAlign w:val="bottom"/>
          </w:tcPr>
          <w:p>
            <w:pPr>
              <w:spacing w:after="0"/>
              <w:rPr>
                <w:sz w:val="19"/>
                <w:szCs w:val="19"/>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b w:val="1"/>
                <w:bCs w:val="1"/>
                <w:color w:val="auto"/>
              </w:rPr>
              <w:t>574</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560</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b w:val="1"/>
                <w:bCs w:val="1"/>
                <w:color w:val="auto"/>
              </w:rPr>
              <w:t>1,680</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1,656</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Automotive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199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202</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7"/>
              </w:rPr>
              <w:t>603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627</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Intermodal [a]</w:t>
            </w:r>
          </w:p>
        </w:tc>
        <w:tc>
          <w:tcPr>
            <w:tcW w:w="1220" w:type="dxa"/>
            <w:vAlign w:val="bottom"/>
          </w:tcPr>
          <w:p>
            <w:pPr>
              <w:spacing w:after="0"/>
              <w:rPr>
                <w:sz w:val="19"/>
                <w:szCs w:val="19"/>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b w:val="1"/>
                <w:bCs w:val="1"/>
                <w:color w:val="auto"/>
              </w:rPr>
              <w:t>860</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909</w:t>
            </w:r>
          </w:p>
        </w:tc>
        <w:tc>
          <w:tcPr>
            <w:tcW w:w="860" w:type="dxa"/>
            <w:vAlign w:val="bottom"/>
          </w:tcPr>
          <w:p>
            <w:pPr>
              <w:jc w:val="right"/>
              <w:ind w:right="262"/>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b w:val="1"/>
                <w:bCs w:val="1"/>
                <w:color w:val="auto"/>
              </w:rPr>
              <w:t>2,551</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2,446</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1,059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1,111</w:t>
            </w:r>
          </w:p>
        </w:tc>
        <w:tc>
          <w:tcPr>
            <w:tcW w:w="86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3,154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3,073</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9"/>
                <w:szCs w:val="19"/>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b w:val="1"/>
                <w:bCs w:val="1"/>
                <w:color w:val="auto"/>
              </w:rPr>
              <w:t>2,163</w:t>
            </w:r>
          </w:p>
        </w:tc>
        <w:tc>
          <w:tcPr>
            <w:tcW w:w="28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color w:val="auto"/>
              </w:rPr>
              <w:t>2,167</w:t>
            </w:r>
          </w:p>
        </w:tc>
        <w:tc>
          <w:tcPr>
            <w:tcW w:w="86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b w:val="1"/>
                <w:bCs w:val="1"/>
                <w:color w:val="auto"/>
              </w:rPr>
              <w:t>6,374</w:t>
            </w:r>
          </w:p>
        </w:tc>
        <w:tc>
          <w:tcPr>
            <w:tcW w:w="280" w:type="dxa"/>
            <w:vAlign w:val="bottom"/>
          </w:tcPr>
          <w:p>
            <w:pPr>
              <w:spacing w:after="0"/>
              <w:rPr>
                <w:sz w:val="19"/>
                <w:szCs w:val="19"/>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6,171</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87"/>
        </w:trPr>
        <w:tc>
          <w:tcPr>
            <w:tcW w:w="3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3"/>
          </w:tcPr>
          <w:p>
            <w:pPr>
              <w:jc w:val="right"/>
              <w:ind w:right="22"/>
              <w:spacing w:after="0"/>
              <w:rPr>
                <w:sz w:val="20"/>
                <w:szCs w:val="20"/>
                <w:color w:val="auto"/>
              </w:rPr>
            </w:pPr>
            <w:r>
              <w:rPr>
                <w:rFonts w:ascii="Arial" w:cs="Arial" w:eastAsia="Arial" w:hAnsi="Arial"/>
                <w:sz w:val="16"/>
                <w:szCs w:val="16"/>
                <w:i w:val="1"/>
                <w:i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gridSpan w:val="2"/>
          </w:tcPr>
          <w:p>
            <w:pPr>
              <w:jc w:val="right"/>
              <w:ind w:right="182"/>
              <w:spacing w:after="0"/>
              <w:rPr>
                <w:sz w:val="20"/>
                <w:szCs w:val="20"/>
                <w:color w:val="auto"/>
              </w:rPr>
            </w:pPr>
            <w:r>
              <w:rPr>
                <w:rFonts w:ascii="Arial" w:cs="Arial" w:eastAsia="Arial" w:hAnsi="Arial"/>
                <w:sz w:val="16"/>
                <w:szCs w:val="16"/>
                <w:i w:val="1"/>
                <w:iCs w:val="1"/>
                <w:color w:val="auto"/>
                <w:w w:val="99"/>
              </w:rPr>
              <w:t>September 30,</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i w:val="1"/>
                <w:i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Average revenue per car</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20"/>
                <w:szCs w:val="20"/>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i w:val="1"/>
                <w:iCs w:val="1"/>
                <w:color w:val="auto"/>
              </w:rPr>
              <w:t>2024</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Change</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80" w:type="dxa"/>
            <w:vAlign w:val="bottom"/>
          </w:tcPr>
          <w:p>
            <w:pPr>
              <w:spacing w:after="0"/>
              <w:rPr>
                <w:sz w:val="20"/>
                <w:szCs w:val="20"/>
                <w:color w:val="auto"/>
              </w:rPr>
            </w:pPr>
          </w:p>
        </w:tc>
        <w:tc>
          <w:tcPr>
            <w:tcW w:w="1020" w:type="dxa"/>
            <w:vAlign w:val="bottom"/>
          </w:tcPr>
          <w:p>
            <w:pPr>
              <w:jc w:val="right"/>
              <w:ind w:right="342"/>
              <w:spacing w:after="0"/>
              <w:rPr>
                <w:sz w:val="20"/>
                <w:szCs w:val="20"/>
                <w:color w:val="auto"/>
              </w:rPr>
            </w:pPr>
            <w:r>
              <w:rPr>
                <w:rFonts w:ascii="Arial" w:cs="Arial" w:eastAsia="Arial" w:hAnsi="Arial"/>
                <w:sz w:val="16"/>
                <w:szCs w:val="16"/>
                <w:i w:val="1"/>
                <w:iCs w:val="1"/>
                <w:color w:val="auto"/>
              </w:rPr>
              <w:t>2024</w:t>
            </w:r>
          </w:p>
        </w:tc>
        <w:tc>
          <w:tcPr>
            <w:tcW w:w="90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Grain &amp; grain products</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4,532</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4,498</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4,478</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4,495</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Fertilizer</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3,875</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3,872</w:t>
            </w:r>
          </w:p>
        </w:tc>
        <w:tc>
          <w:tcPr>
            <w:tcW w:w="860" w:type="dxa"/>
            <w:vAlign w:val="bottom"/>
          </w:tcPr>
          <w:p>
            <w:pPr>
              <w:jc w:val="right"/>
              <w:ind w:right="24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3,929</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3,775</w:t>
            </w:r>
          </w:p>
        </w:tc>
        <w:tc>
          <w:tcPr>
            <w:tcW w:w="900" w:type="dxa"/>
            <w:vAlign w:val="bottom"/>
          </w:tcPr>
          <w:p>
            <w:pPr>
              <w:jc w:val="right"/>
              <w:ind w:right="26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Food &amp; refrigerated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6,306</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6,099</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6,199</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6,090</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Coal &amp; renewables</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2,181</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2,101</w:t>
            </w:r>
          </w:p>
        </w:tc>
        <w:tc>
          <w:tcPr>
            <w:tcW w:w="860" w:type="dxa"/>
            <w:vAlign w:val="bottom"/>
          </w:tcPr>
          <w:p>
            <w:pPr>
              <w:ind w:left="460"/>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2,237</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2,147</w:t>
            </w:r>
          </w:p>
        </w:tc>
        <w:tc>
          <w:tcPr>
            <w:tcW w:w="900" w:type="dxa"/>
            <w:vAlign w:val="bottom"/>
          </w:tcPr>
          <w:p>
            <w:pPr>
              <w:jc w:val="right"/>
              <w:ind w:right="26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Bulk</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3,641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3,641</w:t>
            </w:r>
          </w:p>
        </w:tc>
        <w:tc>
          <w:tcPr>
            <w:tcW w:w="86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3,680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3,706</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Industrial chemicals &amp; plastics</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3,548</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3,534</w:t>
            </w:r>
          </w:p>
        </w:tc>
        <w:tc>
          <w:tcPr>
            <w:tcW w:w="860" w:type="dxa"/>
            <w:vAlign w:val="bottom"/>
          </w:tcPr>
          <w:p>
            <w:pPr>
              <w:jc w:val="right"/>
              <w:ind w:right="24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3,598</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3,509</w:t>
            </w:r>
          </w:p>
        </w:tc>
        <w:tc>
          <w:tcPr>
            <w:tcW w:w="900" w:type="dxa"/>
            <w:vAlign w:val="bottom"/>
          </w:tcPr>
          <w:p>
            <w:pPr>
              <w:jc w:val="right"/>
              <w:ind w:right="26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Metals &amp; minerals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2,944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2,847</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2,959</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2,918</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Forest products</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6,315</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6,157</w:t>
            </w:r>
          </w:p>
        </w:tc>
        <w:tc>
          <w:tcPr>
            <w:tcW w:w="860" w:type="dxa"/>
            <w:vAlign w:val="bottom"/>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6,363</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6,235</w:t>
            </w:r>
          </w:p>
        </w:tc>
        <w:tc>
          <w:tcPr>
            <w:tcW w:w="900" w:type="dxa"/>
            <w:vAlign w:val="bottom"/>
          </w:tcPr>
          <w:p>
            <w:pPr>
              <w:jc w:val="right"/>
              <w:ind w:right="26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Energy &amp; specialized markets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4,462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4,415</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4,445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4,431</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160"/>
              <w:spacing w:after="0"/>
              <w:rPr>
                <w:sz w:val="20"/>
                <w:szCs w:val="20"/>
                <w:color w:val="auto"/>
              </w:rPr>
            </w:pPr>
            <w:r>
              <w:rPr>
                <w:rFonts w:ascii="Arial" w:cs="Arial" w:eastAsia="Arial" w:hAnsi="Arial"/>
                <w:sz w:val="16"/>
                <w:szCs w:val="16"/>
                <w:color w:val="auto"/>
              </w:rPr>
              <w:t>Industrial</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3,828</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3,791</w:t>
            </w:r>
          </w:p>
        </w:tc>
        <w:tc>
          <w:tcPr>
            <w:tcW w:w="860" w:type="dxa"/>
            <w:vAlign w:val="bottom"/>
          </w:tcPr>
          <w:p>
            <w:pPr>
              <w:ind w:left="460"/>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3,863</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3,833</w:t>
            </w:r>
          </w:p>
        </w:tc>
        <w:tc>
          <w:tcPr>
            <w:tcW w:w="900" w:type="dxa"/>
            <w:vAlign w:val="bottom"/>
          </w:tcPr>
          <w:p>
            <w:pPr>
              <w:jc w:val="right"/>
              <w:ind w:right="26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Automotive</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3,027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2,968</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3,011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2,983</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360" w:type="dxa"/>
            <w:vAlign w:val="bottom"/>
          </w:tcPr>
          <w:p>
            <w:pPr>
              <w:ind w:left="300"/>
              <w:spacing w:after="0"/>
              <w:rPr>
                <w:sz w:val="20"/>
                <w:szCs w:val="20"/>
                <w:color w:val="auto"/>
              </w:rPr>
            </w:pPr>
            <w:r>
              <w:rPr>
                <w:rFonts w:ascii="Arial" w:cs="Arial" w:eastAsia="Arial" w:hAnsi="Arial"/>
                <w:sz w:val="16"/>
                <w:szCs w:val="16"/>
                <w:color w:val="auto"/>
              </w:rPr>
              <w:t>Intermodal [a]</w:t>
            </w:r>
          </w:p>
        </w:tc>
        <w:tc>
          <w:tcPr>
            <w:tcW w:w="1220" w:type="dxa"/>
            <w:vAlign w:val="bottom"/>
          </w:tcPr>
          <w:p>
            <w:pPr>
              <w:spacing w:after="0"/>
              <w:rPr>
                <w:sz w:val="19"/>
                <w:szCs w:val="19"/>
                <w:color w:val="auto"/>
              </w:rPr>
            </w:pP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1,393</w:t>
            </w:r>
          </w:p>
        </w:tc>
        <w:tc>
          <w:tcPr>
            <w:tcW w:w="28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1,365</w:t>
            </w:r>
          </w:p>
        </w:tc>
        <w:tc>
          <w:tcPr>
            <w:tcW w:w="860" w:type="dxa"/>
            <w:vAlign w:val="bottom"/>
          </w:tcPr>
          <w:p>
            <w:pPr>
              <w:ind w:left="460"/>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9"/>
                <w:szCs w:val="19"/>
                <w:color w:val="auto"/>
              </w:rPr>
            </w:pP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1,368</w:t>
            </w:r>
          </w:p>
        </w:tc>
        <w:tc>
          <w:tcPr>
            <w:tcW w:w="280" w:type="dxa"/>
            <w:vAlign w:val="bottom"/>
          </w:tcPr>
          <w:p>
            <w:pPr>
              <w:spacing w:after="0"/>
              <w:rPr>
                <w:sz w:val="19"/>
                <w:szCs w:val="19"/>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1,414</w:t>
            </w:r>
          </w:p>
        </w:tc>
        <w:tc>
          <w:tcPr>
            <w:tcW w:w="90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99"/>
              </w:rPr>
              <w:t>1,701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1,657</w:t>
            </w: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9"/>
              </w:rPr>
              <w:t>1,682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1,735</w:t>
            </w:r>
          </w:p>
        </w:tc>
        <w:tc>
          <w:tcPr>
            <w:tcW w:w="9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Average</w:t>
            </w:r>
          </w:p>
        </w:tc>
        <w:tc>
          <w:tcPr>
            <w:tcW w:w="122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center"/>
              <w:ind w:left="62"/>
              <w:spacing w:after="0"/>
              <w:rPr>
                <w:sz w:val="20"/>
                <w:szCs w:val="20"/>
                <w:color w:val="auto"/>
              </w:rPr>
            </w:pPr>
            <w:r>
              <w:rPr>
                <w:rFonts w:ascii="Arial" w:cs="Arial" w:eastAsia="Arial" w:hAnsi="Arial"/>
                <w:sz w:val="16"/>
                <w:szCs w:val="16"/>
                <w:b w:val="1"/>
                <w:bCs w:val="1"/>
                <w:color w:val="auto"/>
                <w:w w:val="99"/>
              </w:rPr>
              <w:t>2,740</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2,662</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2,740</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2"/>
              <w:spacing w:after="0"/>
              <w:rPr>
                <w:sz w:val="20"/>
                <w:szCs w:val="20"/>
                <w:color w:val="auto"/>
              </w:rPr>
            </w:pPr>
            <w:r>
              <w:rPr>
                <w:rFonts w:ascii="Arial" w:cs="Arial" w:eastAsia="Arial" w:hAnsi="Arial"/>
                <w:sz w:val="16"/>
                <w:szCs w:val="16"/>
                <w:color w:val="auto"/>
              </w:rPr>
              <w:t>2,758</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i w:val="1"/>
          <w:iCs w:val="1"/>
          <w:color w:val="auto"/>
        </w:rPr>
        <w:t>[a]</w:t>
        <w:tab/>
        <w:t>For intermodal shipments each container or trailer equals one carload.</w:t>
      </w:r>
    </w:p>
    <w:p>
      <w:pPr>
        <w:sectPr>
          <w:pgSz w:w="11900" w:h="16840" w:orient="portrait"/>
          <w:cols w:equalWidth="0" w:num="1">
            <w:col w:w="10560"/>
          </w:cols>
          <w:pgMar w:left="660" w:top="557" w:right="680"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Bulk </w:t>
      </w:r>
      <w:r>
        <w:rPr>
          <w:rFonts w:ascii="Arial" w:cs="Arial" w:eastAsia="Arial" w:hAnsi="Arial"/>
          <w:sz w:val="16"/>
          <w:szCs w:val="16"/>
          <w:color w:val="auto"/>
        </w:rPr>
        <w:t>– Bulk includes shipments of grain and grain products, fertilizer, food and refrigerated, and coal and renewables. Freight revenues from bulk</w:t>
      </w:r>
      <w:r>
        <w:rPr>
          <w:rFonts w:ascii="Arial" w:cs="Arial" w:eastAsia="Arial" w:hAnsi="Arial"/>
          <w:sz w:val="16"/>
          <w:szCs w:val="16"/>
          <w:i w:val="1"/>
          <w:iCs w:val="1"/>
          <w:color w:val="auto"/>
        </w:rPr>
        <w:t xml:space="preserve"> </w:t>
      </w:r>
      <w:r>
        <w:rPr>
          <w:rFonts w:ascii="Arial" w:cs="Arial" w:eastAsia="Arial" w:hAnsi="Arial"/>
          <w:sz w:val="16"/>
          <w:szCs w:val="16"/>
          <w:color w:val="auto"/>
        </w:rPr>
        <w:t>shipments increased in the third quarter and year-to-date periods of 2025 compared to 2024 due to 7% volume growth for both periods and core pricing gains, partially offset by business mix (from increased coal shipments) and lower fuel surcharge revenues. The volume increases were driven by higher demand for coal used in electricity generation due to higher natural gas prices and business wins and strength in grain and grain products from increased exports and soybean crush production. Lower food and refrigerated carloads partially offset the volume growth.</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 Industrial includes shipments of industrial chemicals and plastics, metals and minerals, forest products, and energy and specialized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Freight revenues from industrial shipments increased in the third quarter and year-to-date periods of 2025 compared to 2024 due to core pricing gains and volume increases, partially offset by business mix and lower fuel surcharge revenues. Quarterly increases in plastics, industrial chemicals, and steel carloads more than offset the reduced iron ore (as a result of tariff uncertainties) and government carloads. Year-to-date volume growth in industrial chemicals, rock, and plastics was partially offset by lower iron ore, petroleum products, waste shipments, and lumber.</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i w:val="1"/>
          <w:iCs w:val="1"/>
          <w:color w:val="auto"/>
        </w:rPr>
        <w:t xml:space="preserve">Premium </w:t>
      </w:r>
      <w:r>
        <w:rPr>
          <w:rFonts w:ascii="Arial" w:cs="Arial" w:eastAsia="Arial" w:hAnsi="Arial"/>
          <w:sz w:val="14"/>
          <w:szCs w:val="14"/>
          <w:color w:val="auto"/>
        </w:rPr>
        <w:t>– Premium includes shipments of finished automobiles, automotive parts, and merchandise in intermodal containers, both domestic and</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Premium freight revenues decreased 2% in the third quarter of 2025 compared to 2024 driven by 5% lower volumes, partially offset by business mix and core pricing gains. Third quarter of 2025 intermodal volumes were down 5% driven by a 17% reduction in international intermodal carloads, partially offset by strong domestic intermodal growth. In 2024, international intermodal benefited from heavy demand due to a trade flow shift from the East Coast and Canadian ports to the West Coast that have now shifted back to historical trade patterns. Automotive shipments decreased in the third quarter of 2025 compared to 2024 due to reduced production. For the year-to-date period of 2025 compared to 2024, premium freight revenues were flat as 3% volume increases and core pricing gains were offset by lower fuel surcharge revenues and business mix. Year-to-date intermodal volumes are up 4% driven by strong domestic intermodal growth in addition to elevated U.S. West Coast imports in the first half of 2025. Automotive shipments decreased in the year-to-date periods of 2025 compared to 2024 due to reduced production and tariff uncertainties in the first half of the year.</w:t>
      </w:r>
    </w:p>
    <w:p>
      <w:pPr>
        <w:spacing w:after="0" w:line="29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Mexico business </w:t>
      </w:r>
      <w:r>
        <w:rPr>
          <w:rFonts w:ascii="Arial" w:cs="Arial" w:eastAsia="Arial" w:hAnsi="Arial"/>
          <w:sz w:val="14"/>
          <w:szCs w:val="14"/>
          <w:color w:val="auto"/>
        </w:rPr>
        <w:t>– Freight revenues from each of our commodity groups includes revenu es from shipments to and from Mexico, which increased 4% to</w:t>
      </w:r>
      <w:r>
        <w:rPr>
          <w:rFonts w:ascii="Arial" w:cs="Arial" w:eastAsia="Arial" w:hAnsi="Arial"/>
          <w:sz w:val="14"/>
          <w:szCs w:val="14"/>
          <w:i w:val="1"/>
          <w:iCs w:val="1"/>
          <w:color w:val="auto"/>
        </w:rPr>
        <w:t xml:space="preserve"> </w:t>
      </w:r>
      <w:r>
        <w:rPr>
          <w:rFonts w:ascii="Arial" w:cs="Arial" w:eastAsia="Arial" w:hAnsi="Arial"/>
          <w:sz w:val="14"/>
          <w:szCs w:val="14"/>
          <w:color w:val="auto"/>
        </w:rPr>
        <w:t>$752 million in the third quarter of 2025 compared to 2024 driven by 4% volume growth due to increased intermodal and grain shipments, partially offset by lower beverage and steel shipments. For the year-to-date period of 2025, Mexico related freight revenues declined 2% on essentially flat volume driven by lower auto parts, finished vehicles, and beverage carloads, which offset growth in intermodal, grain, and petroleum product shipments.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3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ind w:right="22"/>
              <w:spacing w:after="0"/>
              <w:rPr>
                <w:sz w:val="20"/>
                <w:szCs w:val="20"/>
                <w:color w:val="auto"/>
              </w:rPr>
            </w:pPr>
            <w:r>
              <w:rPr>
                <w:rFonts w:ascii="Arial" w:cs="Arial" w:eastAsia="Arial" w:hAnsi="Arial"/>
                <w:sz w:val="16"/>
                <w:szCs w:val="16"/>
                <w:i w:val="1"/>
                <w:iCs w:val="1"/>
                <w:color w:val="auto"/>
              </w:rPr>
              <w:t>Nine months ended</w:t>
            </w:r>
          </w:p>
        </w:tc>
        <w:tc>
          <w:tcPr>
            <w:tcW w:w="900" w:type="dxa"/>
            <w:vAlign w:val="bottom"/>
          </w:tcPr>
          <w:p>
            <w:pPr>
              <w:spacing w:after="0"/>
              <w:rPr>
                <w:sz w:val="16"/>
                <w:szCs w:val="16"/>
                <w:color w:val="auto"/>
              </w:rPr>
            </w:pPr>
          </w:p>
        </w:tc>
      </w:tr>
      <w:tr>
        <w:trPr>
          <w:trHeight w:val="205"/>
        </w:trPr>
        <w:tc>
          <w:tcPr>
            <w:tcW w:w="3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6"/>
                <w:szCs w:val="16"/>
                <w:i w:val="1"/>
                <w:iCs w:val="1"/>
                <w:color w:val="auto"/>
              </w:rPr>
              <w:t>September 30,</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i w:val="1"/>
                <w:iCs w:val="1"/>
                <w:color w:val="auto"/>
              </w:rPr>
              <w:t>September 30,</w:t>
            </w:r>
          </w:p>
        </w:tc>
        <w:tc>
          <w:tcPr>
            <w:tcW w:w="900" w:type="dxa"/>
            <w:vAlign w:val="bottom"/>
          </w:tcPr>
          <w:p>
            <w:pPr>
              <w:spacing w:after="0"/>
              <w:rPr>
                <w:sz w:val="17"/>
                <w:szCs w:val="17"/>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60" w:type="dxa"/>
            <w:vAlign w:val="bottom"/>
          </w:tcPr>
          <w:p>
            <w:pPr>
              <w:spacing w:after="0"/>
              <w:rPr>
                <w:sz w:val="20"/>
                <w:szCs w:val="20"/>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i w:val="1"/>
                <w:iCs w:val="1"/>
                <w:color w:val="auto"/>
              </w:rPr>
              <w:t>2024</w:t>
            </w:r>
          </w:p>
        </w:tc>
        <w:tc>
          <w:tcPr>
            <w:tcW w:w="8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Change</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40" w:type="dxa"/>
            <w:vAlign w:val="bottom"/>
          </w:tcPr>
          <w:p>
            <w:pPr>
              <w:spacing w:after="0"/>
              <w:rPr>
                <w:sz w:val="20"/>
                <w:szCs w:val="20"/>
                <w:color w:val="auto"/>
              </w:rPr>
            </w:pPr>
          </w:p>
        </w:tc>
        <w:tc>
          <w:tcPr>
            <w:tcW w:w="1080" w:type="dxa"/>
            <w:vAlign w:val="bottom"/>
          </w:tcPr>
          <w:p>
            <w:pPr>
              <w:jc w:val="right"/>
              <w:ind w:right="342"/>
              <w:spacing w:after="0"/>
              <w:rPr>
                <w:sz w:val="20"/>
                <w:szCs w:val="20"/>
                <w:color w:val="auto"/>
              </w:rPr>
            </w:pPr>
            <w:r>
              <w:rPr>
                <w:rFonts w:ascii="Arial" w:cs="Arial" w:eastAsia="Arial" w:hAnsi="Arial"/>
                <w:sz w:val="16"/>
                <w:szCs w:val="16"/>
                <w:i w:val="1"/>
                <w:iCs w:val="1"/>
                <w:color w:val="auto"/>
              </w:rPr>
              <w:t>2024</w:t>
            </w:r>
          </w:p>
        </w:tc>
        <w:tc>
          <w:tcPr>
            <w:tcW w:w="90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1,214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1,228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3,675</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3,638</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Purchased services and materials</w:t>
            </w:r>
          </w:p>
        </w:tc>
        <w:tc>
          <w:tcPr>
            <w:tcW w:w="12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683</w:t>
            </w:r>
          </w:p>
        </w:tc>
        <w:tc>
          <w:tcPr>
            <w:tcW w:w="26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644</w:t>
            </w:r>
          </w:p>
        </w:tc>
        <w:tc>
          <w:tcPr>
            <w:tcW w:w="840" w:type="dxa"/>
            <w:vAlign w:val="bottom"/>
          </w:tcPr>
          <w:p>
            <w:pPr>
              <w:jc w:val="right"/>
              <w:ind w:right="202"/>
              <w:spacing w:after="0"/>
              <w:rPr>
                <w:sz w:val="20"/>
                <w:szCs w:val="20"/>
                <w:color w:val="auto"/>
              </w:rPr>
            </w:pPr>
            <w:r>
              <w:rPr>
                <w:rFonts w:ascii="Arial" w:cs="Arial" w:eastAsia="Arial" w:hAnsi="Arial"/>
                <w:sz w:val="16"/>
                <w:szCs w:val="16"/>
                <w:b w:val="1"/>
                <w:bCs w:val="1"/>
                <w:color w:val="auto"/>
              </w:rPr>
              <w:t>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1,956</w:t>
            </w:r>
          </w:p>
        </w:tc>
        <w:tc>
          <w:tcPr>
            <w:tcW w:w="240" w:type="dxa"/>
            <w:vAlign w:val="bottom"/>
          </w:tcPr>
          <w:p>
            <w:pPr>
              <w:spacing w:after="0"/>
              <w:rPr>
                <w:sz w:val="19"/>
                <w:szCs w:val="19"/>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color w:val="auto"/>
              </w:rPr>
              <w:t>1,901</w:t>
            </w:r>
          </w:p>
        </w:tc>
        <w:tc>
          <w:tcPr>
            <w:tcW w:w="900" w:type="dxa"/>
            <w:vAlign w:val="bottom"/>
          </w:tcPr>
          <w:p>
            <w:pPr>
              <w:jc w:val="center"/>
              <w:ind w:left="62"/>
              <w:spacing w:after="0"/>
              <w:rPr>
                <w:sz w:val="20"/>
                <w:szCs w:val="20"/>
                <w:color w:val="auto"/>
              </w:rPr>
            </w:pPr>
            <w:r>
              <w:rPr>
                <w:rFonts w:ascii="Arial" w:cs="Arial" w:eastAsia="Arial" w:hAnsi="Arial"/>
                <w:sz w:val="16"/>
                <w:szCs w:val="16"/>
                <w:b w:val="1"/>
                <w:bCs w:val="1"/>
                <w:color w:val="auto"/>
                <w:w w:val="89"/>
              </w:rPr>
              <w:t>3</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618</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602</w:t>
            </w: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1,792</w:t>
            </w:r>
          </w:p>
        </w:tc>
        <w:tc>
          <w:tcPr>
            <w:tcW w:w="90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89"/>
              </w:rPr>
              <w:t>3</w:t>
            </w: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Fuel</w:t>
            </w:r>
          </w:p>
        </w:tc>
        <w:tc>
          <w:tcPr>
            <w:tcW w:w="12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616</w:t>
            </w:r>
          </w:p>
        </w:tc>
        <w:tc>
          <w:tcPr>
            <w:tcW w:w="26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610</w:t>
            </w:r>
          </w:p>
        </w:tc>
        <w:tc>
          <w:tcPr>
            <w:tcW w:w="840" w:type="dxa"/>
            <w:vAlign w:val="bottom"/>
          </w:tcPr>
          <w:p>
            <w:pPr>
              <w:jc w:val="right"/>
              <w:ind w:right="202"/>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1,795</w:t>
            </w:r>
          </w:p>
        </w:tc>
        <w:tc>
          <w:tcPr>
            <w:tcW w:w="240" w:type="dxa"/>
            <w:vAlign w:val="bottom"/>
          </w:tcPr>
          <w:p>
            <w:pPr>
              <w:spacing w:after="0"/>
              <w:rPr>
                <w:sz w:val="19"/>
                <w:szCs w:val="19"/>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color w:val="auto"/>
              </w:rPr>
              <w:t>1,893</w:t>
            </w:r>
          </w:p>
        </w:tc>
        <w:tc>
          <w:tcPr>
            <w:tcW w:w="900" w:type="dxa"/>
            <w:vAlign w:val="bottom"/>
          </w:tcPr>
          <w:p>
            <w:pPr>
              <w:jc w:val="center"/>
              <w:ind w:left="42"/>
              <w:spacing w:after="0"/>
              <w:rPr>
                <w:sz w:val="20"/>
                <w:szCs w:val="20"/>
                <w:color w:val="auto"/>
              </w:rPr>
            </w:pPr>
            <w:r>
              <w:rPr>
                <w:rFonts w:ascii="Arial" w:cs="Arial" w:eastAsia="Arial" w:hAnsi="Arial"/>
                <w:sz w:val="16"/>
                <w:szCs w:val="16"/>
                <w:b w:val="1"/>
                <w:bCs w:val="1"/>
                <w:color w:val="auto"/>
                <w:w w:val="91"/>
              </w:rPr>
              <w:t>(5)</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other rents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237</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672</w:t>
            </w:r>
          </w:p>
        </w:tc>
        <w:tc>
          <w:tcPr>
            <w:tcW w:w="90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w w:val="89"/>
              </w:rPr>
              <w:t>2</w:t>
            </w: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Other</w:t>
            </w:r>
          </w:p>
        </w:tc>
        <w:tc>
          <w:tcPr>
            <w:tcW w:w="12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352</w:t>
            </w:r>
          </w:p>
        </w:tc>
        <w:tc>
          <w:tcPr>
            <w:tcW w:w="260" w:type="dxa"/>
            <w:vAlign w:val="bottom"/>
          </w:tcPr>
          <w:p>
            <w:pPr>
              <w:spacing w:after="0"/>
              <w:rPr>
                <w:sz w:val="19"/>
                <w:szCs w:val="19"/>
                <w:color w:val="auto"/>
              </w:rPr>
            </w:pP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354</w:t>
            </w:r>
          </w:p>
        </w:tc>
        <w:tc>
          <w:tcPr>
            <w:tcW w:w="840" w:type="dxa"/>
            <w:vAlign w:val="bottom"/>
          </w:tcPr>
          <w:p>
            <w:pPr>
              <w:jc w:val="right"/>
              <w:ind w:right="142"/>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1,030</w:t>
            </w:r>
          </w:p>
        </w:tc>
        <w:tc>
          <w:tcPr>
            <w:tcW w:w="240" w:type="dxa"/>
            <w:vAlign w:val="bottom"/>
          </w:tcPr>
          <w:p>
            <w:pPr>
              <w:spacing w:after="0"/>
              <w:rPr>
                <w:sz w:val="19"/>
                <w:szCs w:val="19"/>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color w:val="auto"/>
              </w:rPr>
              <w:t>1,045</w:t>
            </w:r>
          </w:p>
        </w:tc>
        <w:tc>
          <w:tcPr>
            <w:tcW w:w="900" w:type="dxa"/>
            <w:vAlign w:val="bottom"/>
          </w:tcPr>
          <w:p>
            <w:pPr>
              <w:jc w:val="center"/>
              <w:ind w:left="42"/>
              <w:spacing w:after="0"/>
              <w:rPr>
                <w:sz w:val="20"/>
                <w:szCs w:val="20"/>
                <w:color w:val="auto"/>
              </w:rPr>
            </w:pPr>
            <w:r>
              <w:rPr>
                <w:rFonts w:ascii="Arial" w:cs="Arial" w:eastAsia="Arial" w:hAnsi="Arial"/>
                <w:sz w:val="16"/>
                <w:szCs w:val="16"/>
                <w:b w:val="1"/>
                <w:bCs w:val="1"/>
                <w:color w:val="auto"/>
                <w:w w:val="91"/>
              </w:rPr>
              <w:t>(1)</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3,695</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3,675</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10,980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10,941</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r>
    </w:tbl>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Operating expenses slightly increased compared to the third quarter and year-to-date periods of 2024 due to inflation, acquisition-related expenses (see Note 18 to the Condensed Consolidated Financial Statements, Item 1), and higher depreciation. These increases were partially offset by productivity and lower fuel prices.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Compensation and benefits </w:t>
      </w:r>
      <w:r>
        <w:rPr>
          <w:rFonts w:ascii="Arial" w:cs="Arial" w:eastAsia="Arial" w:hAnsi="Arial"/>
          <w:sz w:val="16"/>
          <w:szCs w:val="16"/>
          <w:color w:val="auto"/>
        </w:rPr>
        <w:t>– Compensation and benefits include wages, payroll taxes, health and welfare costs, pension costs, and incentive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2025, compensation and benefits expense decreased 1% compared to 2024 due to lower employee levels, partially offset by wage inflation and higher incentive compensation. For the year-to-date period, compensation and benefits expense increased 1% compared to 2024 due to wage inflation, volume-related costs, a $55 million crew staffing agreement ratification charge, and higher incentive compensation, partially offset by lower employee levels.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 xml:space="preserve">Purchased services and materials </w:t>
      </w:r>
      <w:r>
        <w:rPr>
          <w:rFonts w:ascii="Arial" w:cs="Arial" w:eastAsia="Arial" w:hAnsi="Arial"/>
          <w:sz w:val="14"/>
          <w:szCs w:val="14"/>
          <w:color w:val="auto"/>
        </w:rPr>
        <w:t>– Expense for purchased services and materials includes the costs of services purchased from outside contractors and</w:t>
      </w:r>
      <w:r>
        <w:rPr>
          <w:rFonts w:ascii="Arial" w:cs="Arial" w:eastAsia="Arial" w:hAnsi="Arial"/>
          <w:sz w:val="14"/>
          <w:szCs w:val="14"/>
          <w:i w:val="1"/>
          <w:iCs w:val="1"/>
          <w:color w:val="auto"/>
        </w:rPr>
        <w:t xml:space="preserve"> </w:t>
      </w:r>
      <w:r>
        <w:rPr>
          <w:rFonts w:ascii="Arial" w:cs="Arial" w:eastAsia="Arial" w:hAnsi="Arial"/>
          <w:sz w:val="14"/>
          <w:szCs w:val="14"/>
          <w:color w:val="auto"/>
        </w:rPr>
        <w:t>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increased 6% and 3%, respectively, in the third quarter and year-to- date periods of 2025 compared to 2024 driven by acquisition-related expenses, inflation, and an increase in derailment related expenses, offset by lower costs associated with improved locomotive productivity. The year-to-date period was also impacted by higher volume related cost and a 2024 favorable contract settlement.</w:t>
      </w:r>
    </w:p>
    <w:p>
      <w:pPr>
        <w:spacing w:after="0" w:line="106"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 The majority of depreciation relates to road property, including rail, ties, ballast, and other track material. Depreciation expense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3% for both the third quarter and year-to-date periods of 2025 compared to 2024 driven by a higher depreciable asset base.</w:t>
      </w:r>
    </w:p>
    <w:p>
      <w:pPr>
        <w:spacing w:after="0" w:line="11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i w:val="1"/>
          <w:iCs w:val="1"/>
          <w:color w:val="auto"/>
        </w:rPr>
        <w:t xml:space="preserve">Fuel </w:t>
      </w:r>
      <w:r>
        <w:rPr>
          <w:rFonts w:ascii="Arial" w:cs="Arial" w:eastAsia="Arial" w:hAnsi="Arial"/>
          <w:sz w:val="16"/>
          <w:szCs w:val="16"/>
          <w:color w:val="auto"/>
        </w:rPr>
        <w:t>– Fuel includes locomotive fuel and gasoline for highway and non-highway vehicles and heavy equipment. Fuel expense increased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2025 compared to the same period in 2024 driven by an increase in gross ton-miles, partially offset by a decrease in locomotive diesel fuel prices and an improvement in the fuel consumption rate (computed as gallons of fuel consumed divided by gross ton -miles in thousands). For the year-to-date period of 2025, fuel expense decreased compared to 2024 driven by lower fuel prices and an improvement in the fuel consumption rate, partially offset by increased gross ton-miles. Locomotive diesel fuel prices averaged $2.56 and $2.60 per gallon (including taxes and transportation costs) in the third quarter of 2025 and 2024, respectively. For the year-to-date period, locomotive diesel fuel prices averaged $2.49 per gallon in 2025 compared to $2.71 per gallon in 2024.</w:t>
      </w:r>
    </w:p>
    <w:p>
      <w:pPr>
        <w:spacing w:after="0" w:line="134" w:lineRule="exact"/>
        <w:rPr>
          <w:sz w:val="20"/>
          <w:szCs w:val="20"/>
          <w:color w:val="auto"/>
        </w:rPr>
      </w:pPr>
    </w:p>
    <w:p>
      <w:pPr>
        <w:jc w:val="both"/>
        <w:ind w:right="40"/>
        <w:spacing w:after="0" w:line="281" w:lineRule="auto"/>
        <w:rPr>
          <w:sz w:val="20"/>
          <w:szCs w:val="20"/>
          <w:color w:val="auto"/>
        </w:rPr>
      </w:pPr>
      <w:r>
        <w:rPr>
          <w:rFonts w:ascii="Arial" w:cs="Arial" w:eastAsia="Arial" w:hAnsi="Arial"/>
          <w:sz w:val="14"/>
          <w:szCs w:val="14"/>
          <w:i w:val="1"/>
          <w:iCs w:val="1"/>
          <w:color w:val="auto"/>
        </w:rPr>
        <w:t xml:space="preserve">Equipment and other rents </w:t>
      </w:r>
      <w:r>
        <w:rPr>
          <w:rFonts w:ascii="Arial" w:cs="Arial" w:eastAsia="Arial" w:hAnsi="Arial"/>
          <w:sz w:val="14"/>
          <w:szCs w:val="14"/>
          <w:color w:val="auto"/>
        </w:rPr>
        <w:t>– Equipment and other rents expense primarily includes rental expense that the Railroad pays for freight cars owned by other</w:t>
      </w:r>
      <w:r>
        <w:rPr>
          <w:rFonts w:ascii="Arial" w:cs="Arial" w:eastAsia="Arial" w:hAnsi="Arial"/>
          <w:sz w:val="14"/>
          <w:szCs w:val="14"/>
          <w:i w:val="1"/>
          <w:iCs w:val="1"/>
          <w:color w:val="auto"/>
        </w:rPr>
        <w:t xml:space="preserve"> </w:t>
      </w:r>
      <w:r>
        <w:rPr>
          <w:rFonts w:ascii="Arial" w:cs="Arial" w:eastAsia="Arial" w:hAnsi="Arial"/>
          <w:sz w:val="14"/>
          <w:szCs w:val="14"/>
          <w:color w:val="auto"/>
        </w:rPr>
        <w:t>railroads or private companies; freight car, intermodal, and locomotive leases; and office and other rent expense, offset by equity income from certain equity method investments. Equipment and other rents expense decreased 11% in the third quarter of 2025 driven by favorable contract settlements, improved cycle times, and lower car hire related to the year-over-year decline in international intermodal demand, partially offset by lower equity income. The year-to -date period of 2025 compared to 2024 increased 2% driven by increased car hire for autoracks, higher demand for business utilizing freight cars owned by others (mainly intermodal), inflation, and lower equity income, partially offset by lower operating equipment lease expense.</w:t>
      </w:r>
    </w:p>
    <w:p>
      <w:pPr>
        <w:spacing w:after="0" w:line="105"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i w:val="1"/>
          <w:iCs w:val="1"/>
          <w:color w:val="auto"/>
        </w:rPr>
        <w:t xml:space="preserve">Other </w:t>
      </w:r>
      <w:r>
        <w:rPr>
          <w:rFonts w:ascii="Arial" w:cs="Arial" w:eastAsia="Arial" w:hAnsi="Arial"/>
          <w:sz w:val="14"/>
          <w:szCs w:val="14"/>
          <w:color w:val="auto"/>
        </w:rPr>
        <w:t>– Other expense includes state and local taxes; freight, equipment, and property damage; utilities; insurance; personal injury; environmental</w:t>
      </w:r>
      <w:r>
        <w:rPr>
          <w:rFonts w:ascii="Arial" w:cs="Arial" w:eastAsia="Arial" w:hAnsi="Arial"/>
          <w:sz w:val="14"/>
          <w:szCs w:val="14"/>
          <w:i w:val="1"/>
          <w:iCs w:val="1"/>
          <w:color w:val="auto"/>
        </w:rPr>
        <w:t xml:space="preserve"> </w:t>
      </w:r>
      <w:r>
        <w:rPr>
          <w:rFonts w:ascii="Arial" w:cs="Arial" w:eastAsia="Arial" w:hAnsi="Arial"/>
          <w:sz w:val="14"/>
          <w:szCs w:val="14"/>
          <w:color w:val="auto"/>
        </w:rPr>
        <w:t>remediation; employee travel; telephone and cellular; computer software; bad debt; and other general expenses. Other expense decreased 1% in the third quarter and year-to-date periods of 2025 compared to 2024 driven by lower environmental remediation and freight loss and damage costs, partially offset by higher state and local taxes. The year-to-date period was also negatively impacted by the 2024 gain on the sale of intermodal equipment.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Non operating items</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3"/>
        </w:trPr>
        <w:tc>
          <w:tcPr>
            <w:tcW w:w="2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gridSpan w:val="3"/>
          </w:tcPr>
          <w:p>
            <w:pPr>
              <w:jc w:val="right"/>
              <w:ind w:right="2"/>
              <w:spacing w:after="0" w:line="183" w:lineRule="exact"/>
              <w:rPr>
                <w:sz w:val="20"/>
                <w:szCs w:val="20"/>
                <w:color w:val="auto"/>
              </w:rPr>
            </w:pPr>
            <w:r>
              <w:rPr>
                <w:rFonts w:ascii="Arial" w:cs="Arial" w:eastAsia="Arial" w:hAnsi="Arial"/>
                <w:sz w:val="16"/>
                <w:szCs w:val="16"/>
                <w:i w:val="1"/>
                <w:iCs w:val="1"/>
                <w:color w:val="auto"/>
              </w:rPr>
              <w:t>Three months ended</w:t>
            </w:r>
          </w:p>
        </w:tc>
        <w:tc>
          <w:tcPr>
            <w:tcW w:w="1160" w:type="dxa"/>
            <w:vAlign w:val="bottom"/>
          </w:tcPr>
          <w:p>
            <w:pPr>
              <w:spacing w:after="0"/>
              <w:rPr>
                <w:sz w:val="15"/>
                <w:szCs w:val="15"/>
                <w:color w:val="auto"/>
              </w:rPr>
            </w:pPr>
          </w:p>
        </w:tc>
        <w:tc>
          <w:tcPr>
            <w:tcW w:w="2000" w:type="dxa"/>
            <w:vAlign w:val="bottom"/>
            <w:gridSpan w:val="3"/>
          </w:tcPr>
          <w:p>
            <w:pPr>
              <w:jc w:val="right"/>
              <w:ind w:right="22"/>
              <w:spacing w:after="0" w:line="183" w:lineRule="exact"/>
              <w:rPr>
                <w:sz w:val="20"/>
                <w:szCs w:val="20"/>
                <w:color w:val="auto"/>
              </w:rPr>
            </w:pPr>
            <w:r>
              <w:rPr>
                <w:rFonts w:ascii="Arial" w:cs="Arial" w:eastAsia="Arial" w:hAnsi="Arial"/>
                <w:sz w:val="16"/>
                <w:szCs w:val="16"/>
                <w:i w:val="1"/>
                <w:iCs w:val="1"/>
                <w:color w:val="auto"/>
              </w:rPr>
              <w:t>Nine months ended</w:t>
            </w:r>
          </w:p>
        </w:tc>
        <w:tc>
          <w:tcPr>
            <w:tcW w:w="940" w:type="dxa"/>
            <w:vAlign w:val="bottom"/>
          </w:tcPr>
          <w:p>
            <w:pPr>
              <w:spacing w:after="0"/>
              <w:rPr>
                <w:sz w:val="15"/>
                <w:szCs w:val="15"/>
                <w:color w:val="auto"/>
              </w:rPr>
            </w:pPr>
          </w:p>
        </w:tc>
      </w:tr>
      <w:tr>
        <w:trPr>
          <w:trHeight w:val="205"/>
        </w:trPr>
        <w:tc>
          <w:tcPr>
            <w:tcW w:w="2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gridSpan w:val="2"/>
          </w:tcPr>
          <w:p>
            <w:pPr>
              <w:jc w:val="right"/>
              <w:ind w:right="202"/>
              <w:spacing w:after="0"/>
              <w:rPr>
                <w:sz w:val="20"/>
                <w:szCs w:val="20"/>
                <w:color w:val="auto"/>
              </w:rPr>
            </w:pPr>
            <w:r>
              <w:rPr>
                <w:rFonts w:ascii="Arial" w:cs="Arial" w:eastAsia="Arial" w:hAnsi="Arial"/>
                <w:sz w:val="16"/>
                <w:szCs w:val="16"/>
                <w:i w:val="1"/>
                <w:iCs w:val="1"/>
                <w:color w:val="auto"/>
                <w:w w:val="99"/>
              </w:rPr>
              <w:t>September 30,</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182"/>
              <w:spacing w:after="0"/>
              <w:rPr>
                <w:sz w:val="20"/>
                <w:szCs w:val="20"/>
                <w:color w:val="auto"/>
              </w:rPr>
            </w:pPr>
            <w:r>
              <w:rPr>
                <w:rFonts w:ascii="Arial" w:cs="Arial" w:eastAsia="Arial" w:hAnsi="Arial"/>
                <w:sz w:val="16"/>
                <w:szCs w:val="16"/>
                <w:i w:val="1"/>
                <w:iCs w:val="1"/>
                <w:color w:val="auto"/>
              </w:rPr>
              <w:t>September 30,</w:t>
            </w:r>
          </w:p>
        </w:tc>
        <w:tc>
          <w:tcPr>
            <w:tcW w:w="940" w:type="dxa"/>
            <w:vAlign w:val="bottom"/>
          </w:tcPr>
          <w:p>
            <w:pPr>
              <w:spacing w:after="0"/>
              <w:rPr>
                <w:sz w:val="17"/>
                <w:szCs w:val="17"/>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00" w:type="dxa"/>
            <w:vAlign w:val="bottom"/>
          </w:tcPr>
          <w:p>
            <w:pPr>
              <w:spacing w:after="0"/>
              <w:rPr>
                <w:sz w:val="20"/>
                <w:szCs w:val="20"/>
                <w:color w:val="auto"/>
              </w:rPr>
            </w:pPr>
          </w:p>
        </w:tc>
        <w:tc>
          <w:tcPr>
            <w:tcW w:w="1040" w:type="dxa"/>
            <w:vAlign w:val="bottom"/>
          </w:tcPr>
          <w:p>
            <w:pPr>
              <w:jc w:val="right"/>
              <w:ind w:right="382"/>
              <w:spacing w:after="0"/>
              <w:rPr>
                <w:sz w:val="20"/>
                <w:szCs w:val="20"/>
                <w:color w:val="auto"/>
              </w:rPr>
            </w:pPr>
            <w:r>
              <w:rPr>
                <w:rFonts w:ascii="Arial" w:cs="Arial" w:eastAsia="Arial" w:hAnsi="Arial"/>
                <w:sz w:val="16"/>
                <w:szCs w:val="16"/>
                <w:i w:val="1"/>
                <w:iCs w:val="1"/>
                <w:color w:val="auto"/>
              </w:rPr>
              <w:t>2024</w:t>
            </w:r>
          </w:p>
        </w:tc>
        <w:tc>
          <w:tcPr>
            <w:tcW w:w="1160" w:type="dxa"/>
            <w:vAlign w:val="bottom"/>
          </w:tcPr>
          <w:p>
            <w:pPr>
              <w:jc w:val="right"/>
              <w:ind w:right="422"/>
              <w:spacing w:after="0"/>
              <w:rPr>
                <w:sz w:val="20"/>
                <w:szCs w:val="20"/>
                <w:color w:val="auto"/>
              </w:rPr>
            </w:pPr>
            <w:r>
              <w:rPr>
                <w:rFonts w:ascii="Arial" w:cs="Arial" w:eastAsia="Arial" w:hAnsi="Arial"/>
                <w:sz w:val="16"/>
                <w:szCs w:val="16"/>
                <w:b w:val="1"/>
                <w:bCs w:val="1"/>
                <w:i w:val="1"/>
                <w:iCs w:val="1"/>
                <w:color w:val="auto"/>
              </w:rPr>
              <w:t>Change</w:t>
            </w: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60" w:type="dxa"/>
            <w:vAlign w:val="bottom"/>
          </w:tcPr>
          <w:p>
            <w:pPr>
              <w:spacing w:after="0"/>
              <w:rPr>
                <w:sz w:val="20"/>
                <w:szCs w:val="20"/>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i w:val="1"/>
                <w:iCs w:val="1"/>
                <w:color w:val="auto"/>
              </w:rPr>
              <w:t>2024</w:t>
            </w:r>
          </w:p>
        </w:tc>
        <w:tc>
          <w:tcPr>
            <w:tcW w:w="94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rPr>
              <w:t>Change</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87</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10%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282</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w:t>
            </w: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300" w:type="dxa"/>
            <w:vAlign w:val="bottom"/>
          </w:tcPr>
          <w:p>
            <w:pPr>
              <w:spacing w:after="0"/>
              <w:rPr>
                <w:sz w:val="19"/>
                <w:szCs w:val="19"/>
                <w:color w:val="auto"/>
              </w:rPr>
            </w:pPr>
          </w:p>
        </w:tc>
        <w:tc>
          <w:tcPr>
            <w:tcW w:w="1040" w:type="dxa"/>
            <w:vAlign w:val="bottom"/>
          </w:tcPr>
          <w:p>
            <w:pPr>
              <w:jc w:val="right"/>
              <w:ind w:right="382"/>
              <w:spacing w:after="0"/>
              <w:rPr>
                <w:sz w:val="20"/>
                <w:szCs w:val="20"/>
                <w:color w:val="auto"/>
              </w:rPr>
            </w:pPr>
            <w:r>
              <w:rPr>
                <w:rFonts w:ascii="Arial" w:cs="Arial" w:eastAsia="Arial" w:hAnsi="Arial"/>
                <w:sz w:val="16"/>
                <w:szCs w:val="16"/>
                <w:color w:val="auto"/>
              </w:rPr>
              <w:t>(314)</w:t>
            </w:r>
          </w:p>
        </w:tc>
        <w:tc>
          <w:tcPr>
            <w:tcW w:w="1160" w:type="dxa"/>
            <w:vAlign w:val="bottom"/>
          </w:tcPr>
          <w:p>
            <w:pPr>
              <w:jc w:val="right"/>
              <w:ind w:right="542"/>
              <w:spacing w:after="0"/>
              <w:rPr>
                <w:sz w:val="20"/>
                <w:szCs w:val="20"/>
                <w:color w:val="auto"/>
              </w:rPr>
            </w:pPr>
            <w:r>
              <w:rPr>
                <w:rFonts w:ascii="Arial" w:cs="Arial" w:eastAsia="Arial" w:hAnsi="Arial"/>
                <w:sz w:val="16"/>
                <w:szCs w:val="16"/>
                <w:b w:val="1"/>
                <w:bCs w:val="1"/>
                <w:color w:val="auto"/>
              </w:rPr>
              <w:t>4</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(984)</w:t>
            </w:r>
          </w:p>
        </w:tc>
        <w:tc>
          <w:tcPr>
            <w:tcW w:w="260" w:type="dxa"/>
            <w:vAlign w:val="bottom"/>
          </w:tcPr>
          <w:p>
            <w:pPr>
              <w:spacing w:after="0"/>
              <w:rPr>
                <w:sz w:val="19"/>
                <w:szCs w:val="19"/>
                <w:color w:val="auto"/>
              </w:rPr>
            </w:pPr>
          </w:p>
        </w:tc>
        <w:tc>
          <w:tcPr>
            <w:tcW w:w="1080" w:type="dxa"/>
            <w:vAlign w:val="bottom"/>
          </w:tcPr>
          <w:p>
            <w:pPr>
              <w:jc w:val="right"/>
              <w:ind w:right="342"/>
              <w:spacing w:after="0"/>
              <w:rPr>
                <w:sz w:val="20"/>
                <w:szCs w:val="20"/>
                <w:color w:val="auto"/>
              </w:rPr>
            </w:pPr>
            <w:r>
              <w:rPr>
                <w:rFonts w:ascii="Arial" w:cs="Arial" w:eastAsia="Arial" w:hAnsi="Arial"/>
                <w:sz w:val="16"/>
                <w:szCs w:val="16"/>
                <w:color w:val="auto"/>
              </w:rPr>
              <w:t>(957)</w:t>
            </w:r>
          </w:p>
        </w:tc>
        <w:tc>
          <w:tcPr>
            <w:tcW w:w="940" w:type="dxa"/>
            <w:vAlign w:val="bottom"/>
          </w:tcPr>
          <w:p>
            <w:pPr>
              <w:jc w:val="right"/>
              <w:ind w:right="262"/>
              <w:spacing w:after="0"/>
              <w:rPr>
                <w:sz w:val="20"/>
                <w:szCs w:val="20"/>
                <w:color w:val="auto"/>
              </w:rPr>
            </w:pPr>
            <w:r>
              <w:rPr>
                <w:rFonts w:ascii="Arial" w:cs="Arial" w:eastAsia="Arial" w:hAnsi="Arial"/>
                <w:sz w:val="16"/>
                <w:szCs w:val="16"/>
                <w:b w:val="1"/>
                <w:bCs w:val="1"/>
                <w:color w:val="auto"/>
              </w:rPr>
              <w:t>3</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(518)</w:t>
            </w:r>
          </w:p>
        </w:tc>
        <w:tc>
          <w:tcPr>
            <w:tcW w:w="1160" w:type="dxa"/>
            <w:vAlign w:val="bottom"/>
            <w:shd w:val="clear" w:color="auto" w:fill="CCEEFF"/>
          </w:tcPr>
          <w:p>
            <w:pPr>
              <w:jc w:val="right"/>
              <w:ind w:right="542"/>
              <w:spacing w:after="0"/>
              <w:rPr>
                <w:sz w:val="20"/>
                <w:szCs w:val="20"/>
                <w:color w:val="auto"/>
              </w:rPr>
            </w:pPr>
            <w:r>
              <w:rPr>
                <w:rFonts w:ascii="Arial" w:cs="Arial" w:eastAsia="Arial" w:hAnsi="Arial"/>
                <w:sz w:val="16"/>
                <w:szCs w:val="16"/>
                <w:b w:val="1"/>
                <w:bCs w:val="1"/>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(1,468)</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(1,528)</w:t>
            </w:r>
          </w:p>
        </w:tc>
        <w:tc>
          <w:tcPr>
            <w:tcW w:w="94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(4)</w:t>
            </w:r>
          </w:p>
        </w:tc>
      </w:tr>
    </w:tbl>
    <w:p>
      <w:pPr>
        <w:spacing w:after="0" w:line="21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 Other income increased in the third quarter and year-to-date periods of 2025 compared to 2024 driven by higher real estate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to-date period of 2025 was also negatively impacted by the interest received in the second quarter of 2024 from the IRS on refund claims. See Note 6 to the Condensed Consolidated Financial Statements, Item 1, for additional detail.</w:t>
      </w:r>
    </w:p>
    <w:p>
      <w:pPr>
        <w:spacing w:after="0" w:line="126"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expense increased in the third quarter and year -to-date periods of 2025 compared to 2024 as a result of higher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rates and higher weighted -average debt levels. The effective interest rate for both 2025 periods was 4.1% compared to 4.0% for both periods in 2024. The weighted-average debt levels were $32.2 billion and $31.4 billion for third quarter of 2025 and 2024, respectively, and $32.2 billion and $31.8 billion for the year-to-date periods of 2025 and 2024, respectively.</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 Income tax expense increased 2% in the third quarter of 2025 compared to 2024 due to higher pre-tax income and decreased 4%</w:t>
      </w:r>
      <w:r>
        <w:rPr>
          <w:rFonts w:ascii="Arial" w:cs="Arial" w:eastAsia="Arial" w:hAnsi="Arial"/>
          <w:sz w:val="16"/>
          <w:szCs w:val="16"/>
          <w:i w:val="1"/>
          <w:iCs w:val="1"/>
          <w:color w:val="auto"/>
        </w:rPr>
        <w:t xml:space="preserve"> </w:t>
      </w:r>
      <w:r>
        <w:rPr>
          <w:rFonts w:ascii="Arial" w:cs="Arial" w:eastAsia="Arial" w:hAnsi="Arial"/>
          <w:sz w:val="16"/>
          <w:szCs w:val="16"/>
          <w:color w:val="auto"/>
        </w:rPr>
        <w:t>in the year-to-date period compared to 2024. In the second quarter of 2025, the state of Kansas enacted legislation modifying the corporate income tax apportionment formula for future years resulting in a $115 million reduction of our deferred tax expense. In the second quarter of 2024, the state of Arkansas enacted legislation to reduce its corporate income tax rate for future years resulting in an $8 million reduction of our deferred tax expense. Our effective tax rates were 22.9% and 23.7% for the third quarter of 2025 and 2024, respectively, and 21.7% and 23.5% for the year-to-date periods of 2025 and 2024,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OPERATING/PERFORMANCE AND FINANCIAL STATISTICS</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report a number of key performance measures weekly to the STB. We provide these on our website at https://investor.unionpacific.com/key-performance-metrics.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Operating/performance statistics</w:t>
      </w:r>
    </w:p>
    <w:p>
      <w:pPr>
        <w:spacing w:after="0" w:line="15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Management continuously monitors these key operating metrics to evaluate our operational efficiency in striving to deliver the service product we sold to our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20"/>
                <w:szCs w:val="20"/>
                <w:color w:val="auto"/>
              </w:rPr>
            </w:pPr>
            <w:r>
              <w:rPr>
                <w:rFonts w:ascii="Arial" w:cs="Arial" w:eastAsia="Arial" w:hAnsi="Arial"/>
                <w:sz w:val="16"/>
                <w:szCs w:val="16"/>
                <w:color w:val="auto"/>
              </w:rPr>
              <w:t>Railroad performance measures are included in the table below:</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9"/>
        </w:trPr>
        <w:tc>
          <w:tcPr>
            <w:tcW w:w="4560" w:type="dxa"/>
            <w:vAlign w:val="bottom"/>
          </w:tcPr>
          <w:p>
            <w:pPr>
              <w:spacing w:after="0"/>
              <w:rPr>
                <w:sz w:val="24"/>
                <w:szCs w:val="24"/>
                <w:color w:val="auto"/>
              </w:rPr>
            </w:pPr>
          </w:p>
        </w:tc>
        <w:tc>
          <w:tcPr>
            <w:tcW w:w="1960" w:type="dxa"/>
            <w:vAlign w:val="bottom"/>
            <w:gridSpan w:val="2"/>
          </w:tcPr>
          <w:p>
            <w:pPr>
              <w:jc w:val="right"/>
              <w:ind w:right="22"/>
              <w:spacing w:after="0"/>
              <w:rPr>
                <w:sz w:val="20"/>
                <w:szCs w:val="20"/>
                <w:color w:val="auto"/>
              </w:rPr>
            </w:pPr>
            <w:r>
              <w:rPr>
                <w:rFonts w:ascii="Arial" w:cs="Arial" w:eastAsia="Arial" w:hAnsi="Arial"/>
                <w:sz w:val="16"/>
                <w:szCs w:val="16"/>
                <w:i w:val="1"/>
                <w:iCs w:val="1"/>
                <w:color w:val="auto"/>
              </w:rPr>
              <w:t>Three months ended</w:t>
            </w:r>
          </w:p>
        </w:tc>
        <w:tc>
          <w:tcPr>
            <w:tcW w:w="1040" w:type="dxa"/>
            <w:vAlign w:val="bottom"/>
          </w:tcPr>
          <w:p>
            <w:pPr>
              <w:spacing w:after="0"/>
              <w:rPr>
                <w:sz w:val="24"/>
                <w:szCs w:val="24"/>
                <w:color w:val="auto"/>
              </w:rPr>
            </w:pPr>
          </w:p>
        </w:tc>
        <w:tc>
          <w:tcPr>
            <w:tcW w:w="2100" w:type="dxa"/>
            <w:vAlign w:val="bottom"/>
            <w:gridSpan w:val="2"/>
          </w:tcPr>
          <w:p>
            <w:pPr>
              <w:jc w:val="right"/>
              <w:ind w:right="42"/>
              <w:spacing w:after="0"/>
              <w:rPr>
                <w:sz w:val="20"/>
                <w:szCs w:val="20"/>
                <w:color w:val="auto"/>
              </w:rPr>
            </w:pPr>
            <w:r>
              <w:rPr>
                <w:rFonts w:ascii="Arial" w:cs="Arial" w:eastAsia="Arial" w:hAnsi="Arial"/>
                <w:sz w:val="16"/>
                <w:szCs w:val="16"/>
                <w:i w:val="1"/>
                <w:iCs w:val="1"/>
                <w:color w:val="auto"/>
              </w:rPr>
              <w:t>Nine months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jc w:val="right"/>
              <w:ind w:right="222"/>
              <w:spacing w:after="0"/>
              <w:rPr>
                <w:sz w:val="20"/>
                <w:szCs w:val="20"/>
                <w:color w:val="auto"/>
              </w:rPr>
            </w:pPr>
            <w:r>
              <w:rPr>
                <w:rFonts w:ascii="Arial" w:cs="Arial" w:eastAsia="Arial" w:hAnsi="Arial"/>
                <w:sz w:val="16"/>
                <w:szCs w:val="16"/>
                <w:i w:val="1"/>
                <w:iCs w:val="1"/>
                <w:color w:val="auto"/>
                <w:w w:val="97"/>
              </w:rPr>
              <w:t>September 30,</w:t>
            </w:r>
          </w:p>
        </w:tc>
        <w:tc>
          <w:tcPr>
            <w:tcW w:w="1040" w:type="dxa"/>
            <w:vAlign w:val="bottom"/>
          </w:tcPr>
          <w:p>
            <w:pPr>
              <w:spacing w:after="0"/>
              <w:rPr>
                <w:sz w:val="17"/>
                <w:szCs w:val="17"/>
                <w:color w:val="auto"/>
              </w:rPr>
            </w:pPr>
          </w:p>
        </w:tc>
        <w:tc>
          <w:tcPr>
            <w:tcW w:w="2100" w:type="dxa"/>
            <w:vAlign w:val="bottom"/>
            <w:gridSpan w:val="2"/>
          </w:tcPr>
          <w:p>
            <w:pPr>
              <w:jc w:val="right"/>
              <w:ind w:right="202"/>
              <w:spacing w:after="0"/>
              <w:rPr>
                <w:sz w:val="20"/>
                <w:szCs w:val="20"/>
                <w:color w:val="auto"/>
              </w:rPr>
            </w:pPr>
            <w:r>
              <w:rPr>
                <w:rFonts w:ascii="Arial" w:cs="Arial" w:eastAsia="Arial" w:hAnsi="Arial"/>
                <w:sz w:val="16"/>
                <w:szCs w:val="16"/>
                <w:i w:val="1"/>
                <w:iCs w:val="1"/>
                <w:color w:val="auto"/>
              </w:rPr>
              <w:t>September 30,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1340" w:type="dxa"/>
            <w:vAlign w:val="bottom"/>
          </w:tcPr>
          <w:p>
            <w:pPr>
              <w:jc w:val="right"/>
              <w:ind w:right="322"/>
              <w:spacing w:after="0"/>
              <w:rPr>
                <w:sz w:val="20"/>
                <w:szCs w:val="20"/>
                <w:color w:val="auto"/>
              </w:rPr>
            </w:pPr>
            <w:r>
              <w:rPr>
                <w:rFonts w:ascii="Arial" w:cs="Arial" w:eastAsia="Arial" w:hAnsi="Arial"/>
                <w:sz w:val="16"/>
                <w:szCs w:val="16"/>
                <w:i w:val="1"/>
                <w:iCs w:val="1"/>
                <w:color w:val="auto"/>
              </w:rPr>
              <w:t>2024</w:t>
            </w:r>
          </w:p>
        </w:tc>
        <w:tc>
          <w:tcPr>
            <w:tcW w:w="1040" w:type="dxa"/>
            <w:vAlign w:val="bottom"/>
          </w:tcPr>
          <w:p>
            <w:pPr>
              <w:jc w:val="right"/>
              <w:ind w:right="302"/>
              <w:spacing w:after="0"/>
              <w:rPr>
                <w:sz w:val="20"/>
                <w:szCs w:val="20"/>
                <w:color w:val="auto"/>
              </w:rPr>
            </w:pPr>
            <w:r>
              <w:rPr>
                <w:rFonts w:ascii="Arial" w:cs="Arial" w:eastAsia="Arial" w:hAnsi="Arial"/>
                <w:sz w:val="16"/>
                <w:szCs w:val="16"/>
                <w:b w:val="1"/>
                <w:bCs w:val="1"/>
                <w:i w:val="1"/>
                <w:iCs w:val="1"/>
                <w:color w:val="auto"/>
              </w:rPr>
              <w:t>Change</w:t>
            </w:r>
          </w:p>
        </w:tc>
        <w:tc>
          <w:tcPr>
            <w:tcW w:w="1240" w:type="dxa"/>
            <w:vAlign w:val="bottom"/>
          </w:tcPr>
          <w:p>
            <w:pPr>
              <w:jc w:val="right"/>
              <w:ind w:right="382"/>
              <w:spacing w:after="0"/>
              <w:rPr>
                <w:sz w:val="20"/>
                <w:szCs w:val="20"/>
                <w:color w:val="auto"/>
              </w:rPr>
            </w:pPr>
            <w:r>
              <w:rPr>
                <w:rFonts w:ascii="Arial" w:cs="Arial" w:eastAsia="Arial" w:hAnsi="Arial"/>
                <w:sz w:val="16"/>
                <w:szCs w:val="16"/>
                <w:b w:val="1"/>
                <w:bCs w:val="1"/>
                <w:i w:val="1"/>
                <w:iCs w:val="1"/>
                <w:color w:val="auto"/>
              </w:rPr>
              <w:t>2025</w:t>
            </w:r>
          </w:p>
        </w:tc>
        <w:tc>
          <w:tcPr>
            <w:tcW w:w="860" w:type="dxa"/>
            <w:vAlign w:val="bottom"/>
          </w:tcPr>
          <w:p>
            <w:pPr>
              <w:jc w:val="right"/>
              <w:ind w:right="282"/>
              <w:spacing w:after="0"/>
              <w:rPr>
                <w:sz w:val="20"/>
                <w:szCs w:val="20"/>
                <w:color w:val="auto"/>
              </w:rPr>
            </w:pPr>
            <w:r>
              <w:rPr>
                <w:rFonts w:ascii="Arial" w:cs="Arial" w:eastAsia="Arial" w:hAnsi="Arial"/>
                <w:sz w:val="16"/>
                <w:szCs w:val="16"/>
                <w:i w:val="1"/>
                <w:iCs w:val="1"/>
                <w:color w:val="auto"/>
              </w:rPr>
              <w:t>2024</w:t>
            </w: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rPr>
              <w:t>Change</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ton-miles (GTMs) (billions)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223.0</w:t>
            </w:r>
          </w:p>
        </w:tc>
        <w:tc>
          <w:tcPr>
            <w:tcW w:w="13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216.0</w:t>
            </w:r>
          </w:p>
        </w:tc>
        <w:tc>
          <w:tcPr>
            <w:tcW w:w="104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656.1</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628.8</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9"/>
                <w:szCs w:val="19"/>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Revenue ton-miles (billions)</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104.0</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5</w:t>
            </w:r>
          </w:p>
        </w:tc>
        <w:tc>
          <w:tcPr>
            <w:tcW w:w="1240" w:type="dxa"/>
            <w:vAlign w:val="bottom"/>
          </w:tcPr>
          <w:p>
            <w:pPr>
              <w:jc w:val="right"/>
              <w:ind w:right="382"/>
              <w:spacing w:after="0"/>
              <w:rPr>
                <w:sz w:val="20"/>
                <w:szCs w:val="20"/>
                <w:color w:val="auto"/>
              </w:rPr>
            </w:pPr>
            <w:r>
              <w:rPr>
                <w:rFonts w:ascii="Arial" w:cs="Arial" w:eastAsia="Arial" w:hAnsi="Arial"/>
                <w:sz w:val="16"/>
                <w:szCs w:val="16"/>
                <w:b w:val="1"/>
                <w:bCs w:val="1"/>
                <w:color w:val="auto"/>
              </w:rPr>
              <w:t>320.4</w:t>
            </w:r>
          </w:p>
        </w:tc>
        <w:tc>
          <w:tcPr>
            <w:tcW w:w="860" w:type="dxa"/>
            <w:vAlign w:val="bottom"/>
          </w:tcPr>
          <w:p>
            <w:pPr>
              <w:jc w:val="right"/>
              <w:ind w:right="282"/>
              <w:spacing w:after="0"/>
              <w:rPr>
                <w:sz w:val="20"/>
                <w:szCs w:val="20"/>
                <w:color w:val="auto"/>
              </w:rPr>
            </w:pPr>
            <w:r>
              <w:rPr>
                <w:rFonts w:ascii="Arial" w:cs="Arial" w:eastAsia="Arial" w:hAnsi="Arial"/>
                <w:sz w:val="16"/>
                <w:szCs w:val="16"/>
                <w:color w:val="auto"/>
              </w:rPr>
              <w:t>305.3</w:t>
            </w:r>
          </w:p>
        </w:tc>
        <w:tc>
          <w:tcPr>
            <w:tcW w:w="900" w:type="dxa"/>
            <w:vAlign w:val="bottom"/>
          </w:tcPr>
          <w:p>
            <w:pPr>
              <w:jc w:val="center"/>
              <w:ind w:left="82"/>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car velocity (daily miles per car)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34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8</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220</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205</w:t>
            </w:r>
          </w:p>
        </w:tc>
        <w:tc>
          <w:tcPr>
            <w:tcW w:w="900" w:type="dxa"/>
            <w:vAlign w:val="bottom"/>
            <w:shd w:val="clear" w:color="auto" w:fill="CCEEFF"/>
          </w:tcPr>
          <w:p>
            <w:pPr>
              <w:jc w:val="center"/>
              <w:ind w:left="82"/>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9"/>
                <w:szCs w:val="19"/>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Average train speed (miles per hour) [a]</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23.3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1240" w:type="dxa"/>
            <w:vAlign w:val="bottom"/>
          </w:tcPr>
          <w:p>
            <w:pPr>
              <w:jc w:val="right"/>
              <w:ind w:right="382"/>
              <w:spacing w:after="0"/>
              <w:rPr>
                <w:sz w:val="20"/>
                <w:szCs w:val="20"/>
                <w:color w:val="auto"/>
              </w:rPr>
            </w:pPr>
            <w:r>
              <w:rPr>
                <w:rFonts w:ascii="Arial" w:cs="Arial" w:eastAsia="Arial" w:hAnsi="Arial"/>
                <w:sz w:val="16"/>
                <w:szCs w:val="16"/>
                <w:b w:val="1"/>
                <w:bCs w:val="1"/>
                <w:color w:val="auto"/>
              </w:rPr>
              <w:t>23.9</w:t>
            </w:r>
          </w:p>
        </w:tc>
        <w:tc>
          <w:tcPr>
            <w:tcW w:w="860" w:type="dxa"/>
            <w:vAlign w:val="bottom"/>
          </w:tcPr>
          <w:p>
            <w:pPr>
              <w:jc w:val="right"/>
              <w:ind w:right="282"/>
              <w:spacing w:after="0"/>
              <w:rPr>
                <w:sz w:val="20"/>
                <w:szCs w:val="20"/>
                <w:color w:val="auto"/>
              </w:rPr>
            </w:pPr>
            <w:r>
              <w:rPr>
                <w:rFonts w:ascii="Arial" w:cs="Arial" w:eastAsia="Arial" w:hAnsi="Arial"/>
                <w:sz w:val="16"/>
                <w:szCs w:val="16"/>
                <w:color w:val="auto"/>
              </w:rPr>
              <w:t>23.5</w:t>
            </w:r>
          </w:p>
        </w:tc>
        <w:tc>
          <w:tcPr>
            <w:tcW w:w="900" w:type="dxa"/>
            <w:vAlign w:val="bottom"/>
          </w:tcPr>
          <w:p>
            <w:pPr>
              <w:jc w:val="center"/>
              <w:ind w:left="82"/>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terminal dwell time (hours) [a]</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w:t>
            </w:r>
          </w:p>
        </w:tc>
        <w:tc>
          <w:tcPr>
            <w:tcW w:w="13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22.4</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(9)</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21.3</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22.8</w:t>
            </w:r>
          </w:p>
        </w:tc>
        <w:tc>
          <w:tcPr>
            <w:tcW w:w="90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9"/>
                <w:szCs w:val="19"/>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Locomotive productivity (GTMs per horsepower day)</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340" w:type="dxa"/>
            <w:vAlign w:val="bottom"/>
          </w:tcPr>
          <w:p>
            <w:pPr>
              <w:jc w:val="right"/>
              <w:ind w:right="322"/>
              <w:spacing w:after="0"/>
              <w:rPr>
                <w:sz w:val="20"/>
                <w:szCs w:val="20"/>
                <w:color w:val="auto"/>
              </w:rPr>
            </w:pPr>
            <w:r>
              <w:rPr>
                <w:rFonts w:ascii="Arial" w:cs="Arial" w:eastAsia="Arial" w:hAnsi="Arial"/>
                <w:sz w:val="16"/>
                <w:szCs w:val="16"/>
                <w:color w:val="auto"/>
              </w:rPr>
              <w:t>135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1240" w:type="dxa"/>
            <w:vAlign w:val="bottom"/>
          </w:tcPr>
          <w:p>
            <w:pPr>
              <w:jc w:val="right"/>
              <w:ind w:right="382"/>
              <w:spacing w:after="0"/>
              <w:rPr>
                <w:sz w:val="20"/>
                <w:szCs w:val="20"/>
                <w:color w:val="auto"/>
              </w:rPr>
            </w:pPr>
            <w:r>
              <w:rPr>
                <w:rFonts w:ascii="Arial" w:cs="Arial" w:eastAsia="Arial" w:hAnsi="Arial"/>
                <w:sz w:val="16"/>
                <w:szCs w:val="16"/>
                <w:b w:val="1"/>
                <w:bCs w:val="1"/>
                <w:color w:val="auto"/>
              </w:rPr>
              <w:t>139</w:t>
            </w:r>
          </w:p>
        </w:tc>
        <w:tc>
          <w:tcPr>
            <w:tcW w:w="860" w:type="dxa"/>
            <w:vAlign w:val="bottom"/>
          </w:tcPr>
          <w:p>
            <w:pPr>
              <w:jc w:val="right"/>
              <w:ind w:right="282"/>
              <w:spacing w:after="0"/>
              <w:rPr>
                <w:sz w:val="20"/>
                <w:szCs w:val="20"/>
                <w:color w:val="auto"/>
              </w:rPr>
            </w:pPr>
            <w:r>
              <w:rPr>
                <w:rFonts w:ascii="Arial" w:cs="Arial" w:eastAsia="Arial" w:hAnsi="Arial"/>
                <w:sz w:val="16"/>
                <w:szCs w:val="16"/>
                <w:color w:val="auto"/>
              </w:rPr>
              <w:t>135</w:t>
            </w:r>
          </w:p>
        </w:tc>
        <w:tc>
          <w:tcPr>
            <w:tcW w:w="900" w:type="dxa"/>
            <w:vAlign w:val="bottom"/>
          </w:tcPr>
          <w:p>
            <w:pPr>
              <w:jc w:val="center"/>
              <w:ind w:left="82"/>
              <w:spacing w:after="0"/>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Train length (feet)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9,801</w:t>
            </w:r>
          </w:p>
        </w:tc>
        <w:tc>
          <w:tcPr>
            <w:tcW w:w="134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9,580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9,661</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9,472</w:t>
            </w:r>
          </w:p>
        </w:tc>
        <w:tc>
          <w:tcPr>
            <w:tcW w:w="900" w:type="dxa"/>
            <w:vAlign w:val="bottom"/>
            <w:shd w:val="clear" w:color="auto" w:fill="CCEEFF"/>
          </w:tcPr>
          <w:p>
            <w:pPr>
              <w:jc w:val="center"/>
              <w:ind w:left="82"/>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9"/>
                <w:szCs w:val="19"/>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Intermodal service performance index (%)</w:t>
            </w: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98</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86</w:t>
            </w:r>
          </w:p>
        </w:tc>
        <w:tc>
          <w:tcPr>
            <w:tcW w:w="1040" w:type="dxa"/>
            <w:vAlign w:val="bottom"/>
          </w:tcPr>
          <w:p>
            <w:pPr>
              <w:jc w:val="right"/>
              <w:ind w:right="202"/>
              <w:spacing w:after="0"/>
              <w:rPr>
                <w:sz w:val="20"/>
                <w:szCs w:val="20"/>
                <w:color w:val="auto"/>
              </w:rPr>
            </w:pPr>
            <w:r>
              <w:rPr>
                <w:rFonts w:ascii="Arial" w:cs="Arial" w:eastAsia="Arial" w:hAnsi="Arial"/>
                <w:sz w:val="16"/>
                <w:szCs w:val="16"/>
                <w:b w:val="1"/>
                <w:bCs w:val="1"/>
                <w:color w:val="auto"/>
              </w:rPr>
              <w:t>12 pts</w:t>
            </w:r>
          </w:p>
        </w:tc>
        <w:tc>
          <w:tcPr>
            <w:tcW w:w="1240" w:type="dxa"/>
            <w:vAlign w:val="bottom"/>
          </w:tcPr>
          <w:p>
            <w:pPr>
              <w:jc w:val="right"/>
              <w:ind w:right="462"/>
              <w:spacing w:after="0"/>
              <w:rPr>
                <w:sz w:val="20"/>
                <w:szCs w:val="20"/>
                <w:color w:val="auto"/>
              </w:rPr>
            </w:pPr>
            <w:r>
              <w:rPr>
                <w:rFonts w:ascii="Arial" w:cs="Arial" w:eastAsia="Arial" w:hAnsi="Arial"/>
                <w:sz w:val="16"/>
                <w:szCs w:val="16"/>
                <w:b w:val="1"/>
                <w:bCs w:val="1"/>
                <w:color w:val="auto"/>
              </w:rPr>
              <w:t>97</w:t>
            </w:r>
          </w:p>
        </w:tc>
        <w:tc>
          <w:tcPr>
            <w:tcW w:w="860" w:type="dxa"/>
            <w:vAlign w:val="bottom"/>
          </w:tcPr>
          <w:p>
            <w:pPr>
              <w:jc w:val="right"/>
              <w:ind w:right="362"/>
              <w:spacing w:after="0"/>
              <w:rPr>
                <w:sz w:val="20"/>
                <w:szCs w:val="20"/>
                <w:color w:val="auto"/>
              </w:rPr>
            </w:pPr>
            <w:r>
              <w:rPr>
                <w:rFonts w:ascii="Arial" w:cs="Arial" w:eastAsia="Arial" w:hAnsi="Arial"/>
                <w:sz w:val="16"/>
                <w:szCs w:val="16"/>
                <w:color w:val="auto"/>
              </w:rPr>
              <w:t>90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 pts</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Manifest service performance index (%)</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100</w:t>
            </w:r>
          </w:p>
        </w:tc>
        <w:tc>
          <w:tcPr>
            <w:tcW w:w="13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89</w:t>
            </w:r>
          </w:p>
        </w:tc>
        <w:tc>
          <w:tcPr>
            <w:tcW w:w="104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11 pts</w:t>
            </w:r>
          </w:p>
        </w:tc>
        <w:tc>
          <w:tcPr>
            <w:tcW w:w="1240" w:type="dxa"/>
            <w:vAlign w:val="bottom"/>
            <w:shd w:val="clear" w:color="auto" w:fill="CCEEFF"/>
          </w:tcPr>
          <w:p>
            <w:pPr>
              <w:jc w:val="right"/>
              <w:ind w:right="462"/>
              <w:spacing w:after="0"/>
              <w:rPr>
                <w:sz w:val="20"/>
                <w:szCs w:val="20"/>
                <w:color w:val="auto"/>
              </w:rPr>
            </w:pPr>
            <w:r>
              <w:rPr>
                <w:rFonts w:ascii="Arial" w:cs="Arial" w:eastAsia="Arial" w:hAnsi="Arial"/>
                <w:sz w:val="16"/>
                <w:szCs w:val="16"/>
                <w:b w:val="1"/>
                <w:bCs w:val="1"/>
                <w:color w:val="auto"/>
              </w:rPr>
              <w:t>98</w:t>
            </w:r>
          </w:p>
        </w:tc>
        <w:tc>
          <w:tcPr>
            <w:tcW w:w="8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87</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11 pts</w:t>
            </w:r>
          </w:p>
        </w:tc>
        <w:tc>
          <w:tcPr>
            <w:tcW w:w="20" w:type="dxa"/>
            <w:vAlign w:val="bottom"/>
          </w:tcPr>
          <w:p>
            <w:pPr>
              <w:spacing w:after="0"/>
              <w:rPr>
                <w:sz w:val="19"/>
                <w:szCs w:val="19"/>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Workforce productivity (car miles per employee)</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1,165</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1,102</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1240" w:type="dxa"/>
            <w:vAlign w:val="bottom"/>
          </w:tcPr>
          <w:p>
            <w:pPr>
              <w:jc w:val="right"/>
              <w:ind w:right="382"/>
              <w:spacing w:after="0"/>
              <w:rPr>
                <w:sz w:val="20"/>
                <w:szCs w:val="20"/>
                <w:color w:val="auto"/>
              </w:rPr>
            </w:pPr>
            <w:r>
              <w:rPr>
                <w:rFonts w:ascii="Arial" w:cs="Arial" w:eastAsia="Arial" w:hAnsi="Arial"/>
                <w:sz w:val="16"/>
                <w:szCs w:val="16"/>
                <w:b w:val="1"/>
                <w:bCs w:val="1"/>
                <w:color w:val="auto"/>
              </w:rPr>
              <w:t>1,126</w:t>
            </w:r>
          </w:p>
        </w:tc>
        <w:tc>
          <w:tcPr>
            <w:tcW w:w="860" w:type="dxa"/>
            <w:vAlign w:val="bottom"/>
          </w:tcPr>
          <w:p>
            <w:pPr>
              <w:jc w:val="right"/>
              <w:ind w:right="282"/>
              <w:spacing w:after="0"/>
              <w:rPr>
                <w:sz w:val="20"/>
                <w:szCs w:val="20"/>
                <w:color w:val="auto"/>
              </w:rPr>
            </w:pPr>
            <w:r>
              <w:rPr>
                <w:rFonts w:ascii="Arial" w:cs="Arial" w:eastAsia="Arial" w:hAnsi="Arial"/>
                <w:sz w:val="16"/>
                <w:szCs w:val="16"/>
                <w:color w:val="auto"/>
              </w:rPr>
              <w:t>1,044</w:t>
            </w:r>
          </w:p>
        </w:tc>
        <w:tc>
          <w:tcPr>
            <w:tcW w:w="900" w:type="dxa"/>
            <w:vAlign w:val="bottom"/>
          </w:tcPr>
          <w:p>
            <w:pPr>
              <w:jc w:val="center"/>
              <w:ind w:left="82"/>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employees (average)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28,871</w:t>
            </w:r>
          </w:p>
        </w:tc>
        <w:tc>
          <w:tcPr>
            <w:tcW w:w="134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29,946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(4)</w:t>
            </w:r>
          </w:p>
        </w:tc>
        <w:tc>
          <w:tcPr>
            <w:tcW w:w="124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29,576</w:t>
            </w:r>
          </w:p>
        </w:tc>
        <w:tc>
          <w:tcPr>
            <w:tcW w:w="8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98"/>
              </w:rPr>
              <w:t>30,518</w:t>
            </w:r>
          </w:p>
        </w:tc>
        <w:tc>
          <w:tcPr>
            <w:tcW w:w="900" w:type="dxa"/>
            <w:vAlign w:val="bottom"/>
            <w:shd w:val="clear" w:color="auto" w:fill="CCEEFF"/>
          </w:tcPr>
          <w:p>
            <w:pPr>
              <w:jc w:val="center"/>
              <w:ind w:left="62"/>
              <w:spacing w:after="0"/>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9"/>
                <w:szCs w:val="19"/>
                <w:color w:val="auto"/>
              </w:rPr>
            </w:pPr>
          </w:p>
        </w:tc>
      </w:tr>
      <w:tr>
        <w:trPr>
          <w:trHeight w:val="226"/>
        </w:trPr>
        <w:tc>
          <w:tcPr>
            <w:tcW w:w="4560" w:type="dxa"/>
            <w:vAlign w:val="bottom"/>
          </w:tcPr>
          <w:p>
            <w:pPr>
              <w:ind w:left="20"/>
              <w:spacing w:after="0"/>
              <w:rPr>
                <w:sz w:val="20"/>
                <w:szCs w:val="20"/>
                <w:color w:val="auto"/>
              </w:rPr>
            </w:pPr>
            <w:r>
              <w:rPr>
                <w:rFonts w:ascii="Arial" w:cs="Arial" w:eastAsia="Arial" w:hAnsi="Arial"/>
                <w:sz w:val="16"/>
                <w:szCs w:val="16"/>
                <w:color w:val="auto"/>
              </w:rPr>
              <w:t>Operating ratio (%)</w:t>
            </w: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59.2</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60.3</w:t>
            </w:r>
          </w:p>
        </w:tc>
        <w:tc>
          <w:tcPr>
            <w:tcW w:w="1040" w:type="dxa"/>
            <w:vAlign w:val="bottom"/>
          </w:tcPr>
          <w:p>
            <w:pPr>
              <w:jc w:val="right"/>
              <w:ind w:right="202"/>
              <w:spacing w:after="0"/>
              <w:rPr>
                <w:sz w:val="20"/>
                <w:szCs w:val="20"/>
                <w:color w:val="auto"/>
              </w:rPr>
            </w:pPr>
            <w:r>
              <w:rPr>
                <w:rFonts w:ascii="Arial" w:cs="Arial" w:eastAsia="Arial" w:hAnsi="Arial"/>
                <w:sz w:val="16"/>
                <w:szCs w:val="16"/>
                <w:b w:val="1"/>
                <w:bCs w:val="1"/>
                <w:color w:val="auto"/>
              </w:rPr>
              <w:t>(1.1) pts</w:t>
            </w:r>
          </w:p>
        </w:tc>
        <w:tc>
          <w:tcPr>
            <w:tcW w:w="1240" w:type="dxa"/>
            <w:vAlign w:val="bottom"/>
          </w:tcPr>
          <w:p>
            <w:pPr>
              <w:jc w:val="right"/>
              <w:ind w:right="462"/>
              <w:spacing w:after="0"/>
              <w:rPr>
                <w:sz w:val="20"/>
                <w:szCs w:val="20"/>
                <w:color w:val="auto"/>
              </w:rPr>
            </w:pPr>
            <w:r>
              <w:rPr>
                <w:rFonts w:ascii="Arial" w:cs="Arial" w:eastAsia="Arial" w:hAnsi="Arial"/>
                <w:sz w:val="16"/>
                <w:szCs w:val="16"/>
                <w:b w:val="1"/>
                <w:bCs w:val="1"/>
                <w:color w:val="auto"/>
              </w:rPr>
              <w:t>59.6</w:t>
            </w:r>
          </w:p>
        </w:tc>
        <w:tc>
          <w:tcPr>
            <w:tcW w:w="860" w:type="dxa"/>
            <w:vAlign w:val="bottom"/>
          </w:tcPr>
          <w:p>
            <w:pPr>
              <w:jc w:val="right"/>
              <w:ind w:right="362"/>
              <w:spacing w:after="0"/>
              <w:rPr>
                <w:sz w:val="20"/>
                <w:szCs w:val="20"/>
                <w:color w:val="auto"/>
              </w:rPr>
            </w:pPr>
            <w:r>
              <w:rPr>
                <w:rFonts w:ascii="Arial" w:cs="Arial" w:eastAsia="Arial" w:hAnsi="Arial"/>
                <w:sz w:val="16"/>
                <w:szCs w:val="16"/>
                <w:color w:val="auto"/>
              </w:rPr>
              <w:t>60.4</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(0.8) pts</w:t>
            </w:r>
          </w:p>
        </w:tc>
      </w:tr>
      <w:tr>
        <w:trPr>
          <w:trHeight w:val="348"/>
        </w:trPr>
        <w:tc>
          <w:tcPr>
            <w:tcW w:w="4560" w:type="dxa"/>
            <w:vAlign w:val="bottom"/>
          </w:tcPr>
          <w:p>
            <w:pPr>
              <w:spacing w:after="0"/>
              <w:rPr>
                <w:sz w:val="20"/>
                <w:szCs w:val="20"/>
                <w:color w:val="auto"/>
              </w:rPr>
            </w:pPr>
            <w:r>
              <w:rPr>
                <w:rFonts w:ascii="Arial" w:cs="Arial" w:eastAsia="Arial" w:hAnsi="Arial"/>
                <w:sz w:val="14"/>
                <w:szCs w:val="14"/>
                <w:i w:val="1"/>
                <w:iCs w:val="1"/>
                <w:color w:val="auto"/>
              </w:rPr>
              <w:t>[a]  As reported to the STB.</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8800" w:type="dxa"/>
            <w:vAlign w:val="bottom"/>
            <w:gridSpan w:val="5"/>
          </w:tcPr>
          <w:p>
            <w:pPr>
              <w:spacing w:after="0"/>
              <w:rPr>
                <w:sz w:val="20"/>
                <w:szCs w:val="20"/>
                <w:color w:val="auto"/>
              </w:rPr>
            </w:pPr>
            <w:r>
              <w:rPr>
                <w:rFonts w:ascii="Arial" w:cs="Arial" w:eastAsia="Arial" w:hAnsi="Arial"/>
                <w:sz w:val="16"/>
                <w:szCs w:val="16"/>
                <w:i w:val="1"/>
                <w:iCs w:val="1"/>
                <w:color w:val="auto"/>
                <w:w w:val="97"/>
              </w:rPr>
              <w:t xml:space="preserve">Gross and revenue ton-miles </w:t>
            </w:r>
            <w:r>
              <w:rPr>
                <w:rFonts w:ascii="Arial" w:cs="Arial" w:eastAsia="Arial" w:hAnsi="Arial"/>
                <w:sz w:val="16"/>
                <w:szCs w:val="16"/>
                <w:color w:val="auto"/>
                <w:w w:val="97"/>
              </w:rPr>
              <w:t>– Gross ton-miles are calculated by multiplying the weight of loaded and empty freight cars by the</w:t>
            </w:r>
          </w:p>
        </w:tc>
        <w:tc>
          <w:tcPr>
            <w:tcW w:w="1780" w:type="dxa"/>
            <w:vAlign w:val="bottom"/>
            <w:gridSpan w:val="3"/>
          </w:tcPr>
          <w:p>
            <w:pPr>
              <w:ind w:left="120"/>
              <w:spacing w:after="0"/>
              <w:rPr>
                <w:sz w:val="20"/>
                <w:szCs w:val="20"/>
                <w:color w:val="auto"/>
              </w:rPr>
            </w:pPr>
            <w:r>
              <w:rPr>
                <w:rFonts w:ascii="Arial" w:cs="Arial" w:eastAsia="Arial" w:hAnsi="Arial"/>
                <w:sz w:val="16"/>
                <w:szCs w:val="16"/>
                <w:color w:val="auto"/>
                <w:w w:val="96"/>
              </w:rPr>
              <w:t>number of miles hauled.</w:t>
            </w:r>
          </w:p>
        </w:tc>
      </w:tr>
    </w:tbl>
    <w:p>
      <w:pPr>
        <w:jc w:val="both"/>
        <w:spacing w:after="0" w:line="238" w:lineRule="auto"/>
        <w:rPr>
          <w:sz w:val="20"/>
          <w:szCs w:val="20"/>
          <w:color w:val="auto"/>
        </w:rPr>
      </w:pPr>
      <w:r>
        <w:rPr>
          <w:rFonts w:ascii="Arial" w:cs="Arial" w:eastAsia="Arial" w:hAnsi="Arial"/>
          <w:sz w:val="16"/>
          <w:szCs w:val="16"/>
          <w:color w:val="auto"/>
        </w:rPr>
        <w:t>Revenue ton-miles are calculated by multiplying the weight of freight by the number of rate miles. Gross ton-miles and revenue ton-miles increased 3% and 5%, respectively, in the third quarter of 2025 compared to 2024, while corresponding carloads were flat. For the year-to-date period, gross ton-miles, revenue ton-miles, and carloads increased 4%, 5%, and 3%, respectively, compared to 2024. Changes in business mix drove the variances between gross ton-miles, revenue ton-miles, and carloads due to higher coal shipments that are generally heavier.</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i w:val="1"/>
          <w:iCs w:val="1"/>
          <w:color w:val="auto"/>
        </w:rPr>
        <w:t xml:space="preserve">Freight car velocity </w:t>
      </w:r>
      <w:r>
        <w:rPr>
          <w:rFonts w:ascii="Arial" w:cs="Arial" w:eastAsia="Arial" w:hAnsi="Arial"/>
          <w:sz w:val="16"/>
          <w:szCs w:val="16"/>
          <w:color w:val="auto"/>
        </w:rPr>
        <w:t>– Freight car velocity measures the average daily miles per car on our network. The two key drivers of this metric are the speed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train between terminals (average train speed) and the time a rail car spends at the terminals (average terminal dwell time) . Freight car velocity increased 8% and 7%, respectively, in the third quarter and year-to-date periods of 2025 compared to 2024 driven by improvements in terminal dwell and train speed.</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 xml:space="preserve">Locomotive productivity </w:t>
      </w:r>
      <w:r>
        <w:rPr>
          <w:rFonts w:ascii="Arial" w:cs="Arial" w:eastAsia="Arial" w:hAnsi="Arial"/>
          <w:sz w:val="16"/>
          <w:szCs w:val="16"/>
          <w:color w:val="auto"/>
        </w:rPr>
        <w:t>– Locomotive productivity is gross ton-miles per average daily locomotive horsepower available. Locomotive productivity</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4% and 3% in the third quarter and year-to-date periods of 2025, respectively, driven by improved network fluidity and asset utilization.</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 xml:space="preserve">Train length </w:t>
      </w:r>
      <w:r>
        <w:rPr>
          <w:rFonts w:ascii="Arial" w:cs="Arial" w:eastAsia="Arial" w:hAnsi="Arial"/>
          <w:sz w:val="16"/>
          <w:szCs w:val="16"/>
          <w:color w:val="auto"/>
        </w:rPr>
        <w:t>– Train length is the average maximum train length on a route measured in feet. Our train length increased 2% in both the third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year-to- date periods of 2025 compared to 2024 due to train length improvement initiatives, specifically driven by increased coal and grain train volume moving on longer trains.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right="20"/>
        <w:spacing w:after="0"/>
        <w:rPr>
          <w:sz w:val="20"/>
          <w:szCs w:val="20"/>
          <w:color w:val="auto"/>
        </w:rPr>
      </w:pPr>
      <w:r>
        <w:rPr>
          <w:rFonts w:ascii="Arial" w:cs="Arial" w:eastAsia="Arial" w:hAnsi="Arial"/>
          <w:sz w:val="16"/>
          <w:szCs w:val="16"/>
          <w:i w:val="1"/>
          <w:iCs w:val="1"/>
          <w:color w:val="auto"/>
        </w:rPr>
        <w:t xml:space="preserve">Service performance index (SPI) </w:t>
      </w:r>
      <w:r>
        <w:rPr>
          <w:rFonts w:ascii="Arial" w:cs="Arial" w:eastAsia="Arial" w:hAnsi="Arial"/>
          <w:sz w:val="16"/>
          <w:szCs w:val="16"/>
          <w:color w:val="auto"/>
        </w:rPr>
        <w:t>– SPI is a ratio of the service customers are currently receiving relative to the best monthly performance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Measuring our performance relative to a historical benchmark demonstrates our focus on continuously improving service for our customers. Our SPI is calculated for intermodal and manifest products. Intermodal SPI improved 12 and 7 points, respectively, in the third quarter and year- to-date periods of 2025 compared to 2024, while we adjusted to changing intermodal demand levels as volumes were down 5% during the third quarter and up 4% for the year-to -date period. Manifest SPI improved 11 points in both the third quarter and year-to-date periods of 2025 compared to 2024 driven by improved network fluidity, while we handled higher volume.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 xml:space="preserve">Workforce productivity </w:t>
      </w:r>
      <w:r>
        <w:rPr>
          <w:rFonts w:ascii="Arial" w:cs="Arial" w:eastAsia="Arial" w:hAnsi="Arial"/>
          <w:sz w:val="16"/>
          <w:szCs w:val="16"/>
          <w:color w:val="auto"/>
        </w:rPr>
        <w:t>– Workforce productivity is average daily car miles per employee. Workforce productivity improved 6% in the third quarter and 8%</w:t>
      </w:r>
      <w:r>
        <w:rPr>
          <w:rFonts w:ascii="Arial" w:cs="Arial" w:eastAsia="Arial" w:hAnsi="Arial"/>
          <w:sz w:val="16"/>
          <w:szCs w:val="16"/>
          <w:i w:val="1"/>
          <w:iCs w:val="1"/>
          <w:color w:val="auto"/>
        </w:rPr>
        <w:t xml:space="preserve"> </w:t>
      </w:r>
      <w:r>
        <w:rPr>
          <w:rFonts w:ascii="Arial" w:cs="Arial" w:eastAsia="Arial" w:hAnsi="Arial"/>
          <w:sz w:val="16"/>
          <w:szCs w:val="16"/>
          <w:color w:val="auto"/>
        </w:rPr>
        <w:t>in the year -to- date periods of 2025 compared to 2024, respectively, as average daily car miles increased 2% and 5%, respectively, while employees decreased 4% and 3%, respectively, compared to 2024. We continually align our active train, engine, and yard (TE&amp;Y) workforce to meet customer needs in a dynamic demand environment, while maintaining operational fluidity. As a result, our active TE&amp;Y decreased 4% during the third quarter of 2025 on slightly negative volume levels compared to the same period in 2024. For the year-to-date period of 2025, we were able to handle 3% more volume with 2% fewer active TE&amp;Y employees over the same period.</w:t>
      </w:r>
    </w:p>
    <w:p>
      <w:pPr>
        <w:spacing w:after="0" w:line="132"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i w:val="1"/>
          <w:iCs w:val="1"/>
          <w:color w:val="auto"/>
        </w:rPr>
        <w:t xml:space="preserve">Operating ratio </w:t>
      </w:r>
      <w:r>
        <w:rPr>
          <w:rFonts w:ascii="Arial" w:cs="Arial" w:eastAsia="Arial" w:hAnsi="Arial"/>
          <w:sz w:val="14"/>
          <w:szCs w:val="14"/>
          <w:color w:val="auto"/>
        </w:rPr>
        <w:t>– Operating ratio is our operating expe nses reflected as a percentage of operating revenues. For the third quarter of 2025, our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ratio of 59.2% improved 1.1 points driven by productivity initiatives and core pricing gains, partially offset by inflation, and acquisition-related expenses. For the year-to- date period of 2025 compared to 2024, our operating ratio improved 0.8 points to 59.6% as a result of core pricing gains, productivity, and volume growth which more than offset the impact of unfavorable business mix, inflation, the year-over-year impact of changes in fuel price, a crew staffing agreement ratification charge in the second quarter of 2025, and acquisition-related expenses. In addition, the year-to-date period was negatively impacted by a gain on the sale of intermodal equipment in the second quarter of 2024 and contract settlements in the first quarter of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Debt / net income</w:t>
            </w: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5"/>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Millions, except ratios</w:t>
            </w:r>
          </w:p>
        </w:tc>
        <w:tc>
          <w:tcPr>
            <w:tcW w:w="3080" w:type="dxa"/>
            <w:vAlign w:val="bottom"/>
          </w:tcPr>
          <w:p>
            <w:pPr>
              <w:spacing w:after="0"/>
              <w:rPr>
                <w:sz w:val="16"/>
                <w:szCs w:val="16"/>
                <w:color w:val="auto"/>
              </w:rPr>
            </w:pPr>
          </w:p>
        </w:tc>
        <w:tc>
          <w:tcPr>
            <w:tcW w:w="780" w:type="dxa"/>
            <w:vAlign w:val="bottom"/>
          </w:tcPr>
          <w:p>
            <w:pPr>
              <w:jc w:val="center"/>
              <w:ind w:left="62"/>
              <w:spacing w:after="0"/>
              <w:rPr>
                <w:sz w:val="20"/>
                <w:szCs w:val="20"/>
                <w:color w:val="auto"/>
              </w:rPr>
            </w:pPr>
            <w:r>
              <w:rPr>
                <w:rFonts w:ascii="Arial" w:cs="Arial" w:eastAsia="Arial" w:hAnsi="Arial"/>
                <w:sz w:val="16"/>
                <w:szCs w:val="16"/>
                <w:b w:val="1"/>
                <w:bCs w:val="1"/>
                <w:i w:val="1"/>
                <w:iCs w:val="1"/>
                <w:color w:val="auto"/>
                <w:w w:val="99"/>
              </w:rPr>
              <w:t>Sep. 30,</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for the trailing twelve months ended [1]</w:t>
            </w:r>
          </w:p>
        </w:tc>
        <w:tc>
          <w:tcPr>
            <w:tcW w:w="3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308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6"/>
                <w:szCs w:val="16"/>
                <w:b w:val="1"/>
                <w:bCs w:val="1"/>
                <w:color w:val="auto"/>
                <w:w w:val="93"/>
              </w:rPr>
              <w:t>31,807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31,192</w:t>
            </w:r>
          </w:p>
        </w:tc>
      </w:tr>
      <w:tr>
        <w:trPr>
          <w:trHeight w:val="227"/>
        </w:trPr>
        <w:tc>
          <w:tcPr>
            <w:tcW w:w="5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7,052</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6,747</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 net income</w:t>
            </w:r>
          </w:p>
        </w:tc>
        <w:tc>
          <w:tcPr>
            <w:tcW w:w="30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382"/>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Adjusted debt / adjusted EBITDA</w:t>
            </w:r>
          </w:p>
        </w:tc>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5"/>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Millions, except ratios</w:t>
            </w:r>
          </w:p>
        </w:tc>
        <w:tc>
          <w:tcPr>
            <w:tcW w:w="3080" w:type="dxa"/>
            <w:vAlign w:val="bottom"/>
          </w:tcPr>
          <w:p>
            <w:pPr>
              <w:spacing w:after="0"/>
              <w:rPr>
                <w:sz w:val="16"/>
                <w:szCs w:val="16"/>
                <w:color w:val="auto"/>
              </w:rPr>
            </w:pPr>
          </w:p>
        </w:tc>
        <w:tc>
          <w:tcPr>
            <w:tcW w:w="780" w:type="dxa"/>
            <w:vAlign w:val="bottom"/>
          </w:tcPr>
          <w:p>
            <w:pPr>
              <w:jc w:val="center"/>
              <w:ind w:left="82"/>
              <w:spacing w:after="0"/>
              <w:rPr>
                <w:sz w:val="20"/>
                <w:szCs w:val="20"/>
                <w:color w:val="auto"/>
              </w:rPr>
            </w:pPr>
            <w:r>
              <w:rPr>
                <w:rFonts w:ascii="Arial" w:cs="Arial" w:eastAsia="Arial" w:hAnsi="Arial"/>
                <w:sz w:val="16"/>
                <w:szCs w:val="16"/>
                <w:b w:val="1"/>
                <w:bCs w:val="1"/>
                <w:i w:val="1"/>
                <w:iCs w:val="1"/>
                <w:color w:val="auto"/>
                <w:w w:val="95"/>
              </w:rPr>
              <w:t>Sep. 30,</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for the trailing twelve months ended [1]</w:t>
            </w:r>
          </w:p>
        </w:tc>
        <w:tc>
          <w:tcPr>
            <w:tcW w:w="3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7,052</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6,747</w:t>
            </w: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Add:</w:t>
            </w:r>
          </w:p>
        </w:tc>
        <w:tc>
          <w:tcPr>
            <w:tcW w:w="3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30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1,987</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r>
      <w:tr>
        <w:trPr>
          <w:trHeight w:val="227"/>
        </w:trPr>
        <w:tc>
          <w:tcPr>
            <w:tcW w:w="568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3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2,447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229"/>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30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1,296</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r>
      <w:tr>
        <w:trPr>
          <w:trHeight w:val="227"/>
        </w:trPr>
        <w:tc>
          <w:tcPr>
            <w:tcW w:w="5680" w:type="dxa"/>
            <w:vAlign w:val="bottom"/>
          </w:tcPr>
          <w:p>
            <w:pPr>
              <w:ind w:left="20"/>
              <w:spacing w:after="0"/>
              <w:rPr>
                <w:sz w:val="20"/>
                <w:szCs w:val="20"/>
                <w:color w:val="auto"/>
              </w:rPr>
            </w:pPr>
            <w:r>
              <w:rPr>
                <w:rFonts w:ascii="Arial" w:cs="Arial" w:eastAsia="Arial" w:hAnsi="Arial"/>
                <w:sz w:val="16"/>
                <w:szCs w:val="16"/>
                <w:color w:val="auto"/>
              </w:rPr>
              <w:t>EBITDA</w:t>
            </w:r>
          </w:p>
        </w:tc>
        <w:tc>
          <w:tcPr>
            <w:tcW w:w="30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12,782</w:t>
            </w: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12,461</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5680" w:type="dxa"/>
            <w:vAlign w:val="bottom"/>
          </w:tcPr>
          <w:p>
            <w:pPr>
              <w:ind w:left="160"/>
              <w:spacing w:after="0"/>
              <w:rPr>
                <w:sz w:val="20"/>
                <w:szCs w:val="20"/>
                <w:color w:val="auto"/>
              </w:rPr>
            </w:pPr>
            <w:r>
              <w:rPr>
                <w:rFonts w:ascii="Arial" w:cs="Arial" w:eastAsia="Arial" w:hAnsi="Arial"/>
                <w:sz w:val="16"/>
                <w:szCs w:val="16"/>
                <w:color w:val="auto"/>
              </w:rPr>
              <w:t>Other income, net</w:t>
            </w:r>
          </w:p>
        </w:tc>
        <w:tc>
          <w:tcPr>
            <w:tcW w:w="3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29"/>
        </w:trPr>
        <w:tc>
          <w:tcPr>
            <w:tcW w:w="5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on operating lease liabilities [2]</w:t>
            </w:r>
          </w:p>
        </w:tc>
        <w:tc>
          <w:tcPr>
            <w:tcW w:w="3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w:t>
            </w:r>
          </w:p>
        </w:tc>
      </w:tr>
      <w:tr>
        <w:trPr>
          <w:trHeight w:val="227"/>
        </w:trPr>
        <w:tc>
          <w:tcPr>
            <w:tcW w:w="5680" w:type="dxa"/>
            <w:vAlign w:val="bottom"/>
          </w:tcPr>
          <w:p>
            <w:pPr>
              <w:ind w:left="20"/>
              <w:spacing w:after="0"/>
              <w:rPr>
                <w:sz w:val="20"/>
                <w:szCs w:val="20"/>
                <w:color w:val="auto"/>
              </w:rPr>
            </w:pPr>
            <w:r>
              <w:rPr>
                <w:rFonts w:ascii="Arial" w:cs="Arial" w:eastAsia="Arial" w:hAnsi="Arial"/>
                <w:sz w:val="16"/>
                <w:szCs w:val="16"/>
                <w:color w:val="auto"/>
              </w:rPr>
              <w:t>Adjusted EBITDA (a)</w:t>
            </w:r>
          </w:p>
        </w:tc>
        <w:tc>
          <w:tcPr>
            <w:tcW w:w="30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12,459</w:t>
            </w: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12,159</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30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31,807</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31,192</w:t>
            </w:r>
          </w:p>
        </w:tc>
      </w:tr>
      <w:tr>
        <w:trPr>
          <w:trHeight w:val="227"/>
        </w:trPr>
        <w:tc>
          <w:tcPr>
            <w:tcW w:w="56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1,041</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debt (b)</w:t>
            </w:r>
          </w:p>
        </w:tc>
        <w:tc>
          <w:tcPr>
            <w:tcW w:w="308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32,848</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32,463</w:t>
            </w:r>
          </w:p>
        </w:tc>
      </w:tr>
      <w:tr>
        <w:trPr>
          <w:trHeight w:val="226"/>
        </w:trPr>
        <w:tc>
          <w:tcPr>
            <w:tcW w:w="5680" w:type="dxa"/>
            <w:vAlign w:val="bottom"/>
          </w:tcPr>
          <w:p>
            <w:pPr>
              <w:ind w:left="20"/>
              <w:spacing w:after="0"/>
              <w:rPr>
                <w:sz w:val="20"/>
                <w:szCs w:val="20"/>
                <w:color w:val="auto"/>
              </w:rPr>
            </w:pPr>
            <w:r>
              <w:rPr>
                <w:rFonts w:ascii="Arial" w:cs="Arial" w:eastAsia="Arial" w:hAnsi="Arial"/>
                <w:sz w:val="16"/>
                <w:szCs w:val="16"/>
                <w:color w:val="auto"/>
              </w:rPr>
              <w:t>Adjusted debt / adjusted EBITDA (b/a)</w:t>
            </w:r>
          </w:p>
        </w:tc>
        <w:tc>
          <w:tcPr>
            <w:tcW w:w="3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160" w:lineRule="exact"/>
        <w:rPr>
          <w:sz w:val="20"/>
          <w:szCs w:val="20"/>
          <w:color w:val="auto"/>
        </w:rPr>
      </w:pPr>
    </w:p>
    <w:p>
      <w:pPr>
        <w:ind w:left="300" w:right="40" w:hanging="294"/>
        <w:spacing w:after="0" w:line="259" w:lineRule="auto"/>
        <w:tabs>
          <w:tab w:leader="none" w:pos="288"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trailing twelve months income statement information ended September 30, 2025, is recalculated by taking the twelve months ended December 31, 2024, subtracting the nine months ended September 30, 2024, and adding the nine months ended September 30, 2025.</w:t>
      </w:r>
    </w:p>
    <w:p>
      <w:pPr>
        <w:ind w:left="300" w:right="20" w:hanging="294"/>
        <w:spacing w:after="0" w:line="273" w:lineRule="auto"/>
        <w:tabs>
          <w:tab w:leader="none" w:pos="288"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hypothetical interest expense we would incur (using the incremental borrowing rate) if the property under our operating leases were owned or accounted for as finance leases.</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September 30, 2025, and December 31, 2024, the incremental borrowing rate on operating leases was 4.0% </w:t>
      </w:r>
      <w:r>
        <w:rPr>
          <w:rFonts w:ascii="Arial" w:cs="Arial" w:eastAsia="Arial" w:hAnsi="Arial"/>
          <w:sz w:val="14"/>
          <w:szCs w:val="14"/>
          <w:color w:val="auto"/>
        </w:rPr>
        <w:t>and</w:t>
      </w:r>
      <w:r>
        <w:rPr>
          <w:rFonts w:ascii="Arial" w:cs="Arial" w:eastAsia="Arial" w:hAnsi="Arial"/>
          <w:sz w:val="16"/>
          <w:szCs w:val="16"/>
          <w:color w:val="auto"/>
        </w:rPr>
        <w:t xml:space="preserve"> 3.8%, respectively. Pension and OPEB were funded at September 30,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LIQUIDITY AND CAPITAL RESOURCES</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72"/>
        </w:trPr>
        <w:tc>
          <w:tcPr>
            <w:tcW w:w="6260" w:type="dxa"/>
            <w:vAlign w:val="bottom"/>
          </w:tcPr>
          <w:p>
            <w:pPr>
              <w:spacing w:after="0"/>
              <w:rPr>
                <w:sz w:val="20"/>
                <w:szCs w:val="20"/>
                <w:color w:val="auto"/>
              </w:rPr>
            </w:pPr>
            <w:r>
              <w:rPr>
                <w:rFonts w:ascii="Arial" w:cs="Arial" w:eastAsia="Arial" w:hAnsi="Arial"/>
                <w:sz w:val="16"/>
                <w:szCs w:val="16"/>
                <w:b w:val="1"/>
                <w:bCs w:val="1"/>
                <w:color w:val="auto"/>
              </w:rPr>
              <w:t>Financial condition</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0"/>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Cash flows</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2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5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7,065</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r>
      <w:tr>
        <w:trPr>
          <w:trHeight w:val="227"/>
        </w:trPr>
        <w:tc>
          <w:tcPr>
            <w:tcW w:w="62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(2,791)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(2,426)</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2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(4,472)</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r>
      <w:tr>
        <w:trPr>
          <w:trHeight w:val="226"/>
        </w:trPr>
        <w:tc>
          <w:tcPr>
            <w:tcW w:w="626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5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provided by operating activities increased in the first nine months of 2025 compared to the same period of 2024 driven by higher net income and lower income taxes paid.</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4, 2025, H.R.1 was enacted that makes key elements of the 2017 Tax Cuts and Jobs Act permanent, including provisions for 100% bonus depreciation on qualified property and fully expensing internally developed software, which has favorable impacts to our current and future cash provided by operating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Cash used in investing activities increased in the first nine months of 2025 compared to the same period of 2024 driven by the timing of capital investments, including an increase in early lease buyouts, and lower proceeds from a 2024 sale of intermodal equipment.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20" w:type="dxa"/>
            <w:vAlign w:val="bottom"/>
          </w:tcPr>
          <w:p>
            <w:pPr>
              <w:spacing w:after="0"/>
              <w:rPr>
                <w:sz w:val="20"/>
                <w:szCs w:val="20"/>
                <w:color w:val="auto"/>
              </w:rPr>
            </w:pPr>
            <w:r>
              <w:rPr>
                <w:rFonts w:ascii="Arial" w:cs="Arial" w:eastAsia="Arial" w:hAnsi="Arial"/>
                <w:sz w:val="16"/>
                <w:szCs w:val="16"/>
                <w:color w:val="auto"/>
              </w:rPr>
              <w:t>The table below details cash capital investments:</w:t>
            </w:r>
          </w:p>
        </w:tc>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93"/>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2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2025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2024</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Rail and other track material</w:t>
            </w:r>
          </w:p>
        </w:tc>
        <w:tc>
          <w:tcPr>
            <w:tcW w:w="28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395</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Ties</w:t>
            </w:r>
          </w:p>
        </w:tc>
        <w:tc>
          <w:tcPr>
            <w:tcW w:w="28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447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Ballast</w:t>
            </w:r>
          </w:p>
        </w:tc>
        <w:tc>
          <w:tcPr>
            <w:tcW w:w="2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158</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Other [a]</w:t>
            </w:r>
          </w:p>
        </w:tc>
        <w:tc>
          <w:tcPr>
            <w:tcW w:w="28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474</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road infrastructure replacements</w:t>
            </w:r>
          </w:p>
        </w:tc>
        <w:tc>
          <w:tcPr>
            <w:tcW w:w="2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1,474</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Line expansion and other capacity projects</w:t>
            </w:r>
          </w:p>
        </w:tc>
        <w:tc>
          <w:tcPr>
            <w:tcW w:w="28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184</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facilities</w:t>
            </w:r>
          </w:p>
        </w:tc>
        <w:tc>
          <w:tcPr>
            <w:tcW w:w="2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251</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Total capacity and commercial facilities</w:t>
            </w:r>
          </w:p>
        </w:tc>
        <w:tc>
          <w:tcPr>
            <w:tcW w:w="28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435</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Locomotives and freight cars [b]</w:t>
            </w:r>
          </w:p>
        </w:tc>
        <w:tc>
          <w:tcPr>
            <w:tcW w:w="28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642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27"/>
        </w:trPr>
        <w:tc>
          <w:tcPr>
            <w:tcW w:w="6020" w:type="dxa"/>
            <w:vAlign w:val="bottom"/>
          </w:tcPr>
          <w:p>
            <w:pPr>
              <w:ind w:left="20"/>
              <w:spacing w:after="0"/>
              <w:rPr>
                <w:sz w:val="20"/>
                <w:szCs w:val="20"/>
                <w:color w:val="auto"/>
              </w:rPr>
            </w:pPr>
            <w:r>
              <w:rPr>
                <w:rFonts w:ascii="Arial" w:cs="Arial" w:eastAsia="Arial" w:hAnsi="Arial"/>
                <w:sz w:val="16"/>
                <w:szCs w:val="16"/>
                <w:color w:val="auto"/>
              </w:rPr>
              <w:t>Technology and other</w:t>
            </w:r>
          </w:p>
        </w:tc>
        <w:tc>
          <w:tcPr>
            <w:tcW w:w="28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241</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capital investments [c]</w:t>
            </w:r>
          </w:p>
        </w:tc>
        <w:tc>
          <w:tcPr>
            <w:tcW w:w="28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2,792</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r>
    </w:tbl>
    <w:p>
      <w:pPr>
        <w:spacing w:after="0" w:line="158"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bridges and tunnels, signals, other road assets, and road work equipment.</w:t>
      </w:r>
    </w:p>
    <w:p>
      <w:pPr>
        <w:spacing w:after="0" w:line="19" w:lineRule="exact"/>
        <w:rPr>
          <w:rFonts w:ascii="Arial" w:cs="Arial" w:eastAsia="Arial" w:hAnsi="Arial"/>
          <w:sz w:val="14"/>
          <w:szCs w:val="14"/>
          <w:i w:val="1"/>
          <w:iCs w:val="1"/>
          <w:color w:val="auto"/>
        </w:rPr>
      </w:pPr>
    </w:p>
    <w:p>
      <w:pPr>
        <w:ind w:left="280" w:hanging="274"/>
        <w:spacing w:after="0"/>
        <w:tabs>
          <w:tab w:leader="none" w:pos="2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Locomotives and freight cars include early lease buyouts of $311 million in 2025 and $96 million in 2024.</w:t>
      </w:r>
    </w:p>
    <w:p>
      <w:pPr>
        <w:spacing w:after="0" w:line="7" w:lineRule="exact"/>
        <w:rPr>
          <w:rFonts w:ascii="Arial" w:cs="Arial" w:eastAsia="Arial" w:hAnsi="Arial"/>
          <w:sz w:val="14"/>
          <w:szCs w:val="14"/>
          <w:i w:val="1"/>
          <w:iCs w:val="1"/>
          <w:color w:val="auto"/>
        </w:rPr>
      </w:pPr>
    </w:p>
    <w:p>
      <w:pPr>
        <w:ind w:left="300" w:hanging="294"/>
        <w:spacing w:after="0"/>
        <w:tabs>
          <w:tab w:leader="none" w:pos="3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Weather-related damages for the nine months ended September 30, 2025 and 2024, are immaterial.</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See Note 18 of the Condensed Consolidated Financial Statements, Item 1, for the pending acquisition of Norfolk Southern.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plan</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2025, we expect our capital plan to be approximately $3.4 billion, consistent with 2024.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This includes siding construction and extension projects, terminal investments supporting our manifest network, and investments in certain ramps to efficiently handle volume from new and existing intermodal customers. The capital plan may be revised if business conditions warrant or if laws or regulations affect our ability to generate sufficient returns on these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Cash used in financing activities increased in the first nine months of 2025 compared to the same period of 2024 driven by more share repurchases, including the 2025 accelerated share repurchase programs, partially offset by an increase of debt issued and less debt repaid.</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See Note 14 of the Condensed Consolidated Financial Statements, Item 1, for a description of all our outstanding financing arrangements and significant new borrowings, Note 16 of the Condensed Consolidated Financial Statements, Item 1, for a description of our share repurchase programs, and Note 18 of the Condensed Consolidated Financial Statements, Item 1, for the pending acquisition of Norfolk Southern.</w:t>
      </w:r>
    </w:p>
    <w:p>
      <w:pPr>
        <w:spacing w:after="0" w:line="12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 Free cash flow is defined as cash provided by operating activities less cash used in investing activities and dividends paid.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rate is defined as cash provided by operating activities less cash used for capital investments as a ratio of net income.</w:t>
      </w:r>
    </w:p>
    <w:p>
      <w:pPr>
        <w:spacing w:after="0" w:line="112"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Free cash flow and cash flow conversion rate are considered non -GAAP financial measures by SEC Regulation G and Item 10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cash provided by operating activities (GAAP measure) to free cash flow (non-GAAP measure):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80" w:type="dxa"/>
            <w:vAlign w:val="bottom"/>
          </w:tcPr>
          <w:p>
            <w:pPr>
              <w:ind w:left="20"/>
              <w:spacing w:after="0"/>
              <w:rPr>
                <w:sz w:val="20"/>
                <w:szCs w:val="20"/>
                <w:color w:val="auto"/>
              </w:rPr>
            </w:pPr>
            <w:r>
              <w:rPr>
                <w:rFonts w:ascii="Arial" w:cs="Arial" w:eastAsia="Arial" w:hAnsi="Arial"/>
                <w:sz w:val="16"/>
                <w:szCs w:val="16"/>
                <w:i w:val="1"/>
                <w:iCs w:val="1"/>
                <w:color w:val="auto"/>
              </w:rPr>
              <w:t>Millions, for the nine months ended September 30,</w:t>
            </w:r>
          </w:p>
        </w:tc>
        <w:tc>
          <w:tcPr>
            <w:tcW w:w="2560" w:type="dxa"/>
            <w:vAlign w:val="bottom"/>
          </w:tcPr>
          <w:p>
            <w:pPr>
              <w:spacing w:after="0"/>
              <w:rPr>
                <w:sz w:val="18"/>
                <w:szCs w:val="18"/>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b w:val="1"/>
                <w:bCs w:val="1"/>
                <w:i w:val="1"/>
                <w:iCs w:val="1"/>
                <w:color w:val="auto"/>
              </w:rPr>
              <w:t>2025</w:t>
            </w:r>
          </w:p>
        </w:tc>
        <w:tc>
          <w:tcPr>
            <w:tcW w:w="420" w:type="dxa"/>
            <w:vAlign w:val="bottom"/>
          </w:tcPr>
          <w:p>
            <w:pPr>
              <w:spacing w:after="0"/>
              <w:rPr>
                <w:sz w:val="18"/>
                <w:szCs w:val="18"/>
                <w:color w:val="auto"/>
              </w:rPr>
            </w:pPr>
          </w:p>
        </w:tc>
        <w:tc>
          <w:tcPr>
            <w:tcW w:w="960" w:type="dxa"/>
            <w:vAlign w:val="bottom"/>
          </w:tcPr>
          <w:p>
            <w:pPr>
              <w:jc w:val="right"/>
              <w:ind w:right="182"/>
              <w:spacing w:after="0"/>
              <w:rPr>
                <w:sz w:val="20"/>
                <w:szCs w:val="20"/>
                <w:color w:val="auto"/>
              </w:rPr>
            </w:pPr>
            <w:r>
              <w:rPr>
                <w:rFonts w:ascii="Arial" w:cs="Arial" w:eastAsia="Arial" w:hAnsi="Arial"/>
                <w:sz w:val="16"/>
                <w:szCs w:val="16"/>
                <w:i w:val="1"/>
                <w:iCs w:val="1"/>
                <w:color w:val="auto"/>
              </w:rPr>
              <w:t>2024</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25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7,065</w:t>
            </w:r>
          </w:p>
        </w:tc>
        <w:tc>
          <w:tcPr>
            <w:tcW w:w="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6,684</w:t>
            </w:r>
          </w:p>
        </w:tc>
      </w:tr>
      <w:tr>
        <w:trPr>
          <w:trHeight w:val="227"/>
        </w:trPr>
        <w:tc>
          <w:tcPr>
            <w:tcW w:w="57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25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(2,791)</w:t>
            </w:r>
          </w:p>
        </w:tc>
        <w:tc>
          <w:tcPr>
            <w:tcW w:w="4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(2,426)</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(2,418)</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(2,403)</w:t>
            </w:r>
          </w:p>
        </w:tc>
      </w:tr>
      <w:tr>
        <w:trPr>
          <w:trHeight w:val="226"/>
        </w:trPr>
        <w:tc>
          <w:tcPr>
            <w:tcW w:w="578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5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1,856</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1,855</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cash provided by operating activities (GAAP measure) to cash flow conversion rate (non-GAAP measure):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tcPr>
          <w:p>
            <w:pPr>
              <w:ind w:left="20"/>
              <w:spacing w:after="0"/>
              <w:rPr>
                <w:sz w:val="20"/>
                <w:szCs w:val="20"/>
                <w:color w:val="auto"/>
              </w:rPr>
            </w:pPr>
            <w:r>
              <w:rPr>
                <w:rFonts w:ascii="Arial" w:cs="Arial" w:eastAsia="Arial" w:hAnsi="Arial"/>
                <w:sz w:val="16"/>
                <w:szCs w:val="16"/>
                <w:i w:val="1"/>
                <w:iCs w:val="1"/>
                <w:color w:val="auto"/>
              </w:rPr>
              <w:t>Millions, except percentages, for the nine months ended September 30,</w:t>
            </w:r>
          </w:p>
        </w:tc>
        <w:tc>
          <w:tcPr>
            <w:tcW w:w="184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2025</w:t>
            </w:r>
          </w:p>
        </w:tc>
        <w:tc>
          <w:tcPr>
            <w:tcW w:w="360" w:type="dxa"/>
            <w:vAlign w:val="bottom"/>
          </w:tcPr>
          <w:p>
            <w:pPr>
              <w:spacing w:after="0"/>
              <w:rPr>
                <w:sz w:val="18"/>
                <w:szCs w:val="18"/>
                <w:color w:val="auto"/>
              </w:rPr>
            </w:pPr>
          </w:p>
        </w:tc>
        <w:tc>
          <w:tcPr>
            <w:tcW w:w="960" w:type="dxa"/>
            <w:vAlign w:val="bottom"/>
          </w:tcPr>
          <w:p>
            <w:pPr>
              <w:jc w:val="right"/>
              <w:ind w:right="182"/>
              <w:spacing w:after="0"/>
              <w:rPr>
                <w:sz w:val="20"/>
                <w:szCs w:val="20"/>
                <w:color w:val="auto"/>
              </w:rPr>
            </w:pPr>
            <w:r>
              <w:rPr>
                <w:rFonts w:ascii="Arial" w:cs="Arial" w:eastAsia="Arial" w:hAnsi="Arial"/>
                <w:sz w:val="16"/>
                <w:szCs w:val="16"/>
                <w:i w:val="1"/>
                <w:iCs w:val="1"/>
                <w:color w:val="auto"/>
              </w:rPr>
              <w:t>2024</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8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7,065</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6,684</w:t>
            </w:r>
          </w:p>
        </w:tc>
      </w:tr>
      <w:tr>
        <w:trPr>
          <w:trHeight w:val="227"/>
        </w:trPr>
        <w:tc>
          <w:tcPr>
            <w:tcW w:w="6500" w:type="dxa"/>
            <w:vAlign w:val="bottom"/>
          </w:tcPr>
          <w:p>
            <w:pPr>
              <w:ind w:left="20"/>
              <w:spacing w:after="0"/>
              <w:rPr>
                <w:sz w:val="20"/>
                <w:szCs w:val="20"/>
                <w:color w:val="auto"/>
              </w:rPr>
            </w:pPr>
            <w:r>
              <w:rPr>
                <w:rFonts w:ascii="Arial" w:cs="Arial" w:eastAsia="Arial" w:hAnsi="Arial"/>
                <w:sz w:val="16"/>
                <w:szCs w:val="16"/>
                <w:color w:val="auto"/>
              </w:rPr>
              <w:t>Cash used in capital investments</w:t>
            </w:r>
          </w:p>
        </w:tc>
        <w:tc>
          <w:tcPr>
            <w:tcW w:w="18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(2,792)</w:t>
            </w:r>
          </w:p>
        </w:tc>
        <w:tc>
          <w:tcPr>
            <w:tcW w:w="3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(2,530)</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w:t>
            </w:r>
          </w:p>
        </w:tc>
        <w:tc>
          <w:tcPr>
            <w:tcW w:w="18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4,273</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4,154</w:t>
            </w:r>
          </w:p>
        </w:tc>
      </w:tr>
      <w:tr>
        <w:trPr>
          <w:trHeight w:val="227"/>
        </w:trPr>
        <w:tc>
          <w:tcPr>
            <w:tcW w:w="6500" w:type="dxa"/>
            <w:vAlign w:val="bottom"/>
          </w:tcPr>
          <w:p>
            <w:pPr>
              <w:ind w:left="20"/>
              <w:spacing w:after="0"/>
              <w:rPr>
                <w:sz w:val="20"/>
                <w:szCs w:val="20"/>
                <w:color w:val="auto"/>
              </w:rPr>
            </w:pPr>
            <w:r>
              <w:rPr>
                <w:rFonts w:ascii="Arial" w:cs="Arial" w:eastAsia="Arial" w:hAnsi="Arial"/>
                <w:sz w:val="16"/>
                <w:szCs w:val="16"/>
                <w:color w:val="auto"/>
              </w:rPr>
              <w:t>Net income (b)</w:t>
            </w:r>
          </w:p>
        </w:tc>
        <w:tc>
          <w:tcPr>
            <w:tcW w:w="184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5,290</w:t>
            </w:r>
          </w:p>
        </w:tc>
        <w:tc>
          <w:tcPr>
            <w:tcW w:w="3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4,985</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conversion rate (a/b)</w:t>
            </w: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liquidity status</w:t>
      </w:r>
    </w:p>
    <w:p>
      <w:pPr>
        <w:spacing w:after="0" w:line="190"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During the third quarter of 2025, we generated $2.5 billion of cash provided by operating activities and paid our quarterly dividend. Also within the third quarter of 2025, we announced the pending acquisition of Norfolk Southern described in Note 18 of the Condensed Consolidated Financial Statements, Item 1, and paused our share repurchase program. On September 30, 2025, we had $808 million of cash and cash equivalents, $2.0 billion of credit available under our revolving credit facility, and up to $600 million undrawn on the Receivables Facility. We have been, and we expect to continue to be, in compliance with our debt covenants.</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identifies material contractual obligations as of September 30,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Oct. 1,</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vMerge w:val="restart"/>
          </w:tcPr>
          <w:p>
            <w:pPr>
              <w:jc w:val="right"/>
              <w:ind w:right="282"/>
              <w:spacing w:after="0"/>
              <w:rPr>
                <w:sz w:val="20"/>
                <w:szCs w:val="20"/>
                <w:color w:val="auto"/>
              </w:rPr>
            </w:pPr>
            <w:r>
              <w:rPr>
                <w:rFonts w:ascii="Arial" w:cs="Arial" w:eastAsia="Arial" w:hAnsi="Arial"/>
                <w:sz w:val="16"/>
                <w:szCs w:val="16"/>
                <w:i w:val="1"/>
                <w:iCs w:val="1"/>
                <w:color w:val="auto"/>
              </w:rPr>
              <w:t>Payments Due by Dec.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line="180" w:lineRule="exact"/>
              <w:rPr>
                <w:sz w:val="20"/>
                <w:szCs w:val="20"/>
                <w:color w:val="auto"/>
              </w:rPr>
            </w:pPr>
            <w:r>
              <w:rPr>
                <w:rFonts w:ascii="Arial" w:cs="Arial" w:eastAsia="Arial" w:hAnsi="Arial"/>
                <w:sz w:val="16"/>
                <w:szCs w:val="16"/>
                <w:i w:val="1"/>
                <w:iCs w:val="1"/>
                <w:color w:val="auto"/>
              </w:rPr>
              <w:t>through</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i w:val="1"/>
                <w:iCs w:val="1"/>
                <w:color w:val="auto"/>
              </w:rPr>
              <w:t>Dec. 31,</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Millions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Total</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2025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2026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2027</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2028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2029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w w:val="94"/>
              </w:rPr>
              <w:t>After 2029</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[a]</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59,635</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212</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49,483</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Purchase obligations [b]</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1,582</w:t>
            </w:r>
          </w:p>
        </w:tc>
        <w:tc>
          <w:tcPr>
            <w:tcW w:w="20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w:t>
            </w:r>
          </w:p>
        </w:tc>
        <w:tc>
          <w:tcPr>
            <w:tcW w:w="2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[c]</w:t>
            </w: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Other post-retirement benefits [d]</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349</w:t>
            </w:r>
          </w:p>
        </w:tc>
        <w:tc>
          <w:tcPr>
            <w:tcW w:w="20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[e]</w:t>
            </w: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6"/>
                <w:szCs w:val="16"/>
                <w:color w:val="auto"/>
              </w:rPr>
              <w:t>Total contractual obligations</w:t>
            </w: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62,849</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480</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3,882</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3,023</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2,828</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2,666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49,970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00" w:right="40" w:hanging="294"/>
        <w:spacing w:after="0" w:line="259" w:lineRule="auto"/>
        <w:tabs>
          <w:tab w:leader="none" w:pos="288"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finance lease obligations of $108 million as well as unamortized discount and deferred issuance costs of ($1,688) million. Includes an interest component of $26,248 million.</w:t>
      </w:r>
    </w:p>
    <w:p>
      <w:pPr>
        <w:ind w:left="300" w:right="40" w:hanging="294"/>
        <w:spacing w:after="0" w:line="250" w:lineRule="auto"/>
        <w:tabs>
          <w:tab w:leader="none" w:pos="288"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Purchase obligations include locomotive maintenance contracts; purchase commitments for ties, ballast, and rail; and agreements to purchase other goods and services.</w:t>
      </w:r>
    </w:p>
    <w:p>
      <w:pPr>
        <w:ind w:left="300" w:hanging="294"/>
        <w:spacing w:after="0"/>
        <w:tabs>
          <w:tab w:leader="none" w:pos="30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leases for locomotives, freight cars, other equipment, and real estate. Includes an interest component of $125 million.</w:t>
      </w:r>
    </w:p>
    <w:p>
      <w:pPr>
        <w:spacing w:after="0" w:line="7" w:lineRule="exact"/>
        <w:rPr>
          <w:rFonts w:ascii="Arial" w:cs="Arial" w:eastAsia="Arial" w:hAnsi="Arial"/>
          <w:sz w:val="14"/>
          <w:szCs w:val="14"/>
          <w:i w:val="1"/>
          <w:iCs w:val="1"/>
          <w:color w:val="auto"/>
        </w:rPr>
      </w:pPr>
    </w:p>
    <w:p>
      <w:pPr>
        <w:ind w:left="280" w:hanging="274"/>
        <w:spacing w:after="0"/>
        <w:tabs>
          <w:tab w:leader="none" w:pos="28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estimated other post-retirement, medical, and life insurance payments and payments made under the unfunded pension plan for the next ten years.</w:t>
      </w:r>
    </w:p>
    <w:p>
      <w:pPr>
        <w:spacing w:after="0" w:line="7" w:lineRule="exact"/>
        <w:rPr>
          <w:rFonts w:ascii="Arial" w:cs="Arial" w:eastAsia="Arial" w:hAnsi="Arial"/>
          <w:sz w:val="14"/>
          <w:szCs w:val="14"/>
          <w:i w:val="1"/>
          <w:iCs w:val="1"/>
          <w:color w:val="auto"/>
        </w:rPr>
      </w:pPr>
    </w:p>
    <w:p>
      <w:pPr>
        <w:ind w:left="280" w:hanging="274"/>
        <w:spacing w:after="0"/>
        <w:tabs>
          <w:tab w:leader="none" w:pos="28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total obligations, including interest component of $9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Asserted and unasserted claims </w:t>
      </w:r>
      <w:r>
        <w:rPr>
          <w:rFonts w:ascii="Arial" w:cs="Arial" w:eastAsia="Arial" w:hAnsi="Arial"/>
          <w:sz w:val="16"/>
          <w:szCs w:val="16"/>
          <w:color w:val="auto"/>
        </w:rPr>
        <w:t>– See Note 15 to the Condensed Consolidated Financial Statements, Item 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 See Note 15 to the Condensed Consolidated Financial Statements, Item 1.</w:t>
      </w:r>
    </w:p>
    <w:p>
      <w:pPr>
        <w:spacing w:after="0" w:line="15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Pending Acquisition </w:t>
      </w:r>
      <w:r>
        <w:rPr>
          <w:rFonts w:ascii="Arial" w:cs="Arial" w:eastAsia="Arial" w:hAnsi="Arial"/>
          <w:sz w:val="16"/>
          <w:szCs w:val="16"/>
          <w:color w:val="auto"/>
        </w:rPr>
        <w:t>– See Note 18 to the Condensed Consolidated Financial Statements, Item 1, and the Agreement and Plan of Merger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July 28, 2025, by and among UPC, Ruby Merger Sub 1 Corporation, Ruby Merger Sub 2 LLC, and Norfolk Southern, which is incorporated herein by reference to Exhibit 2.1 to the Corporation’s Current Report on Form 8-K dated July 29, 2025.</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INFORMATION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the merger agreement and the transactions contemplated therein (described in Note 18 to the Condensed Consolidated Financial Statements, Item 1), potential impacts of public health crises, including pandemics, epidemics, and the outbreak of other contagious disease, such as the coronavirus and its variant strains (COVID); the Russia-Ukraine and Israel-Hamas wars and other geopolitical tensions in the Middle East,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potential impacts of H.R.1, which was enacted on July 4, 2025;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200" w:lineRule="exact"/>
        <w:rPr>
          <w:sz w:val="20"/>
          <w:szCs w:val="20"/>
          <w:color w:val="auto"/>
        </w:rPr>
      </w:pP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29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Risk Factors in Item 1A of our 2024 Annual Report on Form 10-K, filed February 7, 2025, as well as the risk factors disclosed in the "Risk Factors" section of the joint proxy statement/prospectus contained in our registration statement on Form S-4 (File No. 333-290282), as amended by our definitive proxy statement filed with the SEC on October 1, 2025,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32"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3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There were no material changes to the Quantitative and Qualitative Disclosures About Market Risk previously disclosed in our 2024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w:t>
      </w:r>
    </w:p>
    <w:p>
      <w:pPr>
        <w:spacing w:after="0" w:line="1" w:lineRule="exact"/>
        <w:rPr>
          <w:sz w:val="20"/>
          <w:szCs w:val="20"/>
          <w:color w:val="auto"/>
        </w:rPr>
      </w:pPr>
    </w:p>
    <w:p>
      <w:pPr>
        <w:jc w:val="both"/>
        <w:ind w:firstLine="6"/>
        <w:spacing w:after="0" w:line="237"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3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15 to the Condensed Consolidated Financial Statements, Item 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2024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a discussion of our potential risks and uncertainties, see the risk factors disclosed in our Form 10-K for the year ended December 31, 2024, as well as the risk factors disclosed in the "Risk Factors" section of the joint proxy statement/prospectus contained in our registration statement on Form S-4 (File No. 333-290282), as amended by our definitive proxy statement filed with the SEC on October 1, 2025, for which the "Risk Factors" section of such definitive proxy statement is incorporated by reference herein.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Purchases of equity securities </w:t>
      </w:r>
      <w:r>
        <w:rPr>
          <w:rFonts w:ascii="Arial" w:cs="Arial" w:eastAsia="Arial" w:hAnsi="Arial"/>
          <w:sz w:val="16"/>
          <w:szCs w:val="16"/>
          <w:color w:val="auto"/>
        </w:rPr>
        <w:t>– The following table presents common stock repurchases during each month for the third quarter of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20" w:type="dxa"/>
            <w:vAlign w:val="bottom"/>
          </w:tcPr>
          <w:p>
            <w:pPr>
              <w:jc w:val="right"/>
              <w:ind w:right="162"/>
              <w:spacing w:after="0"/>
              <w:rPr>
                <w:sz w:val="20"/>
                <w:szCs w:val="20"/>
                <w:color w:val="auto"/>
              </w:rPr>
            </w:pPr>
            <w:r>
              <w:rPr>
                <w:rFonts w:ascii="Arial" w:cs="Arial" w:eastAsia="Arial" w:hAnsi="Arial"/>
                <w:sz w:val="16"/>
                <w:szCs w:val="16"/>
                <w:i w:val="1"/>
                <w:iCs w:val="1"/>
                <w:color w:val="auto"/>
              </w:rPr>
              <w:t>Total number of shares</w:t>
            </w:r>
          </w:p>
        </w:tc>
        <w:tc>
          <w:tcPr>
            <w:tcW w:w="2320" w:type="dxa"/>
            <w:vAlign w:val="bottom"/>
          </w:tcPr>
          <w:p>
            <w:pPr>
              <w:jc w:val="right"/>
              <w:ind w:right="2"/>
              <w:spacing w:after="0"/>
              <w:rPr>
                <w:sz w:val="20"/>
                <w:szCs w:val="20"/>
                <w:color w:val="auto"/>
              </w:rPr>
            </w:pPr>
            <w:r>
              <w:rPr>
                <w:rFonts w:ascii="Arial" w:cs="Arial" w:eastAsia="Arial" w:hAnsi="Arial"/>
                <w:sz w:val="16"/>
                <w:szCs w:val="16"/>
                <w:i w:val="1"/>
                <w:iCs w:val="1"/>
                <w:color w:val="auto"/>
              </w:rPr>
              <w:t>Maximum number of shares</w:t>
            </w:r>
          </w:p>
        </w:tc>
      </w:tr>
      <w:tr>
        <w:trPr>
          <w:trHeight w:val="180"/>
        </w:trPr>
        <w:tc>
          <w:tcPr>
            <w:tcW w:w="2080" w:type="dxa"/>
            <w:vAlign w:val="bottom"/>
          </w:tcPr>
          <w:p>
            <w:pPr>
              <w:spacing w:after="0"/>
              <w:rPr>
                <w:sz w:val="15"/>
                <w:szCs w:val="15"/>
                <w:color w:val="auto"/>
              </w:rPr>
            </w:pPr>
          </w:p>
        </w:tc>
        <w:tc>
          <w:tcPr>
            <w:tcW w:w="1940" w:type="dxa"/>
            <w:vAlign w:val="bottom"/>
          </w:tcPr>
          <w:p>
            <w:pPr>
              <w:jc w:val="right"/>
              <w:spacing w:after="0" w:line="180" w:lineRule="exact"/>
              <w:rPr>
                <w:sz w:val="20"/>
                <w:szCs w:val="20"/>
                <w:color w:val="auto"/>
              </w:rPr>
            </w:pPr>
            <w:r>
              <w:rPr>
                <w:rFonts w:ascii="Arial" w:cs="Arial" w:eastAsia="Arial" w:hAnsi="Arial"/>
                <w:sz w:val="16"/>
                <w:szCs w:val="16"/>
                <w:i w:val="1"/>
                <w:iCs w:val="1"/>
                <w:color w:val="auto"/>
              </w:rPr>
              <w:t>Total number of</w:t>
            </w:r>
          </w:p>
        </w:tc>
        <w:tc>
          <w:tcPr>
            <w:tcW w:w="220" w:type="dxa"/>
            <w:vAlign w:val="bottom"/>
          </w:tcPr>
          <w:p>
            <w:pPr>
              <w:spacing w:after="0"/>
              <w:rPr>
                <w:sz w:val="15"/>
                <w:szCs w:val="15"/>
                <w:color w:val="auto"/>
              </w:rPr>
            </w:pPr>
          </w:p>
        </w:tc>
        <w:tc>
          <w:tcPr>
            <w:tcW w:w="1380" w:type="dxa"/>
            <w:vAlign w:val="bottom"/>
          </w:tcPr>
          <w:p>
            <w:pPr>
              <w:jc w:val="right"/>
              <w:ind w:right="202"/>
              <w:spacing w:after="0" w:line="180" w:lineRule="exact"/>
              <w:rPr>
                <w:sz w:val="20"/>
                <w:szCs w:val="20"/>
                <w:color w:val="auto"/>
              </w:rPr>
            </w:pPr>
            <w:r>
              <w:rPr>
                <w:rFonts w:ascii="Arial" w:cs="Arial" w:eastAsia="Arial" w:hAnsi="Arial"/>
                <w:sz w:val="16"/>
                <w:szCs w:val="16"/>
                <w:i w:val="1"/>
                <w:iCs w:val="1"/>
                <w:color w:val="auto"/>
              </w:rPr>
              <w:t>Average price</w:t>
            </w:r>
          </w:p>
        </w:tc>
        <w:tc>
          <w:tcPr>
            <w:tcW w:w="2620" w:type="dxa"/>
            <w:vAlign w:val="bottom"/>
          </w:tcPr>
          <w:p>
            <w:pPr>
              <w:jc w:val="right"/>
              <w:ind w:right="182"/>
              <w:spacing w:after="0" w:line="180" w:lineRule="exact"/>
              <w:rPr>
                <w:sz w:val="20"/>
                <w:szCs w:val="20"/>
                <w:color w:val="auto"/>
              </w:rPr>
            </w:pPr>
            <w:r>
              <w:rPr>
                <w:rFonts w:ascii="Arial" w:cs="Arial" w:eastAsia="Arial" w:hAnsi="Arial"/>
                <w:sz w:val="16"/>
                <w:szCs w:val="16"/>
                <w:i w:val="1"/>
                <w:iCs w:val="1"/>
                <w:color w:val="auto"/>
              </w:rPr>
              <w:t>purchased as part of a publicly</w:t>
            </w:r>
          </w:p>
        </w:tc>
        <w:tc>
          <w:tcPr>
            <w:tcW w:w="2320" w:type="dxa"/>
            <w:vAlign w:val="bottom"/>
          </w:tcPr>
          <w:p>
            <w:pPr>
              <w:jc w:val="right"/>
              <w:ind w:right="2"/>
              <w:spacing w:after="0" w:line="180" w:lineRule="exact"/>
              <w:rPr>
                <w:sz w:val="20"/>
                <w:szCs w:val="20"/>
                <w:color w:val="auto"/>
              </w:rPr>
            </w:pPr>
            <w:r>
              <w:rPr>
                <w:rFonts w:ascii="Arial" w:cs="Arial" w:eastAsia="Arial" w:hAnsi="Arial"/>
                <w:sz w:val="16"/>
                <w:szCs w:val="16"/>
                <w:i w:val="1"/>
                <w:iCs w:val="1"/>
                <w:color w:val="auto"/>
              </w:rPr>
              <w:t>that may be purchased under</w:t>
            </w:r>
          </w:p>
        </w:tc>
      </w:tr>
      <w:tr>
        <w:trPr>
          <w:trHeight w:val="210"/>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Period</w:t>
            </w:r>
          </w:p>
        </w:tc>
        <w:tc>
          <w:tcPr>
            <w:tcW w:w="1940" w:type="dxa"/>
            <w:vAlign w:val="bottom"/>
          </w:tcPr>
          <w:p>
            <w:pPr>
              <w:jc w:val="right"/>
              <w:spacing w:after="0"/>
              <w:rPr>
                <w:sz w:val="20"/>
                <w:szCs w:val="20"/>
                <w:color w:val="auto"/>
              </w:rPr>
            </w:pPr>
            <w:r>
              <w:rPr>
                <w:rFonts w:ascii="Arial" w:cs="Arial" w:eastAsia="Arial" w:hAnsi="Arial"/>
                <w:sz w:val="16"/>
                <w:szCs w:val="16"/>
                <w:i w:val="1"/>
                <w:iCs w:val="1"/>
                <w:color w:val="auto"/>
              </w:rPr>
              <w:t>shares purchased [a]</w:t>
            </w:r>
          </w:p>
        </w:tc>
        <w:tc>
          <w:tcPr>
            <w:tcW w:w="220" w:type="dxa"/>
            <w:vAlign w:val="bottom"/>
          </w:tcPr>
          <w:p>
            <w:pPr>
              <w:spacing w:after="0"/>
              <w:rPr>
                <w:sz w:val="18"/>
                <w:szCs w:val="18"/>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i w:val="1"/>
                <w:iCs w:val="1"/>
                <w:color w:val="auto"/>
              </w:rPr>
              <w:t>paid per share</w:t>
            </w:r>
          </w:p>
        </w:tc>
        <w:tc>
          <w:tcPr>
            <w:tcW w:w="2620" w:type="dxa"/>
            <w:vAlign w:val="bottom"/>
          </w:tcPr>
          <w:p>
            <w:pPr>
              <w:jc w:val="right"/>
              <w:ind w:right="162"/>
              <w:spacing w:after="0"/>
              <w:rPr>
                <w:sz w:val="20"/>
                <w:szCs w:val="20"/>
                <w:color w:val="auto"/>
              </w:rPr>
            </w:pPr>
            <w:r>
              <w:rPr>
                <w:rFonts w:ascii="Arial" w:cs="Arial" w:eastAsia="Arial" w:hAnsi="Arial"/>
                <w:sz w:val="16"/>
                <w:szCs w:val="16"/>
                <w:i w:val="1"/>
                <w:iCs w:val="1"/>
                <w:color w:val="auto"/>
              </w:rPr>
              <w:t>announced plan or program [b]</w:t>
            </w:r>
          </w:p>
        </w:tc>
        <w:tc>
          <w:tcPr>
            <w:tcW w:w="2320" w:type="dxa"/>
            <w:vAlign w:val="bottom"/>
          </w:tcPr>
          <w:p>
            <w:pPr>
              <w:jc w:val="right"/>
              <w:spacing w:after="0"/>
              <w:rPr>
                <w:sz w:val="20"/>
                <w:szCs w:val="20"/>
                <w:color w:val="auto"/>
              </w:rPr>
            </w:pPr>
            <w:r>
              <w:rPr>
                <w:rFonts w:ascii="Arial" w:cs="Arial" w:eastAsia="Arial" w:hAnsi="Arial"/>
                <w:sz w:val="16"/>
                <w:szCs w:val="16"/>
                <w:i w:val="1"/>
                <w:iCs w:val="1"/>
                <w:color w:val="auto"/>
              </w:rPr>
              <w:t>current authority [c]</w:t>
            </w:r>
          </w:p>
        </w:tc>
      </w:tr>
      <w:tr>
        <w:trPr>
          <w:trHeight w:val="23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 1 through Jul. 31</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231.79</w:t>
            </w:r>
          </w:p>
        </w:tc>
        <w:tc>
          <w:tcPr>
            <w:tcW w:w="2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93,888,442</w:t>
            </w:r>
          </w:p>
        </w:tc>
      </w:tr>
      <w:tr>
        <w:trPr>
          <w:trHeight w:val="223"/>
        </w:trPr>
        <w:tc>
          <w:tcPr>
            <w:tcW w:w="2080" w:type="dxa"/>
            <w:vAlign w:val="bottom"/>
          </w:tcPr>
          <w:p>
            <w:pPr>
              <w:ind w:left="20"/>
              <w:spacing w:after="0"/>
              <w:rPr>
                <w:sz w:val="20"/>
                <w:szCs w:val="20"/>
                <w:color w:val="auto"/>
              </w:rPr>
            </w:pPr>
            <w:r>
              <w:rPr>
                <w:rFonts w:ascii="Arial" w:cs="Arial" w:eastAsia="Arial" w:hAnsi="Arial"/>
                <w:sz w:val="16"/>
                <w:szCs w:val="16"/>
                <w:color w:val="auto"/>
              </w:rPr>
              <w:t>Aug. 1 through Aug. 31</w:t>
            </w:r>
          </w:p>
        </w:tc>
        <w:tc>
          <w:tcPr>
            <w:tcW w:w="1940" w:type="dxa"/>
            <w:vAlign w:val="bottom"/>
          </w:tcPr>
          <w:p>
            <w:pPr>
              <w:jc w:val="right"/>
              <w:spacing w:after="0"/>
              <w:rPr>
                <w:sz w:val="20"/>
                <w:szCs w:val="20"/>
                <w:color w:val="auto"/>
              </w:rPr>
            </w:pPr>
            <w:r>
              <w:rPr>
                <w:rFonts w:ascii="Arial" w:cs="Arial" w:eastAsia="Arial" w:hAnsi="Arial"/>
                <w:sz w:val="16"/>
                <w:szCs w:val="16"/>
                <w:color w:val="auto"/>
              </w:rPr>
              <w:t>1,864</w:t>
            </w:r>
          </w:p>
        </w:tc>
        <w:tc>
          <w:tcPr>
            <w:tcW w:w="220" w:type="dxa"/>
            <w:vAlign w:val="bottom"/>
          </w:tcPr>
          <w:p>
            <w:pPr>
              <w:spacing w:after="0"/>
              <w:rPr>
                <w:sz w:val="19"/>
                <w:szCs w:val="19"/>
                <w:color w:val="auto"/>
              </w:rPr>
            </w:pP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220.93</w:t>
            </w:r>
          </w:p>
        </w:tc>
        <w:tc>
          <w:tcPr>
            <w:tcW w:w="26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93,888,442</w:t>
            </w:r>
          </w:p>
        </w:tc>
      </w:tr>
      <w:tr>
        <w:trPr>
          <w:trHeight w:val="23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 1 through Sep. 30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220.68</w:t>
            </w:r>
          </w:p>
        </w:tc>
        <w:tc>
          <w:tcPr>
            <w:tcW w:w="2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93,888,442</w:t>
            </w:r>
          </w:p>
        </w:tc>
      </w:tr>
      <w:tr>
        <w:trPr>
          <w:trHeight w:val="218"/>
        </w:trPr>
        <w:tc>
          <w:tcPr>
            <w:tcW w:w="20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222.59</w:t>
            </w:r>
          </w:p>
        </w:tc>
        <w:tc>
          <w:tcPr>
            <w:tcW w:w="26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28" w:lineRule="exact"/>
        <w:rPr>
          <w:sz w:val="20"/>
          <w:szCs w:val="20"/>
          <w:color w:val="auto"/>
        </w:rPr>
      </w:pPr>
    </w:p>
    <w:p>
      <w:pPr>
        <w:ind w:left="300" w:right="20" w:hanging="294"/>
        <w:spacing w:after="0" w:line="259" w:lineRule="auto"/>
        <w:tabs>
          <w:tab w:leader="none" w:pos="28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Total number of shares purchased during the quarter includes 2,259 shares delivered or attested to UPC by employees to pay stock option exercise prices and satisfy tax withholding obligations for stock option exercises or vesting of retention units or retention shares.</w:t>
      </w:r>
    </w:p>
    <w:p>
      <w:pPr>
        <w:ind w:left="300" w:right="20" w:hanging="294"/>
        <w:spacing w:after="0" w:line="250" w:lineRule="auto"/>
        <w:tabs>
          <w:tab w:leader="none" w:pos="28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As part of the pending acquisition of Norfolk Southern described in Note 18 to the Condensed Consolidated Financial Statements, Item 1, we paused our share repurchase program.</w:t>
      </w:r>
    </w:p>
    <w:p>
      <w:pPr>
        <w:ind w:left="300" w:hanging="294"/>
        <w:spacing w:after="0"/>
        <w:tabs>
          <w:tab w:leader="none" w:pos="30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April 1, 2025, our Board of Directors authorized the repurchase of up to 100 million shares of our common stock by March 31, 2028.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175895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gridSpan w:val="3"/>
          </w:tcPr>
          <w:p>
            <w:pPr>
              <w:spacing w:after="0"/>
              <w:rPr>
                <w:sz w:val="20"/>
                <w:szCs w:val="20"/>
                <w:color w:val="auto"/>
              </w:rPr>
            </w:pPr>
            <w:r>
              <w:rPr>
                <w:rFonts w:ascii="Arial" w:cs="Arial" w:eastAsia="Arial" w:hAnsi="Arial"/>
                <w:sz w:val="16"/>
                <w:szCs w:val="16"/>
                <w:color w:val="auto"/>
              </w:rPr>
              <w:t>None.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60" w:type="dxa"/>
            <w:vAlign w:val="bottom"/>
          </w:tcPr>
          <w:p>
            <w:pPr>
              <w:spacing w:after="0"/>
              <w:rPr>
                <w:sz w:val="17"/>
                <w:szCs w:val="17"/>
                <w:color w:val="auto"/>
              </w:rPr>
            </w:pPr>
          </w:p>
        </w:tc>
      </w:tr>
      <w:tr>
        <w:trPr>
          <w:trHeight w:val="380"/>
        </w:trPr>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Item 6. Exhibits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Exhibit No.</w:t>
            </w:r>
          </w:p>
        </w:tc>
        <w:tc>
          <w:tcPr>
            <w:tcW w:w="520" w:type="dxa"/>
            <w:vAlign w:val="bottom"/>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Description</w:t>
            </w:r>
          </w:p>
        </w:tc>
        <w:tc>
          <w:tcPr>
            <w:tcW w:w="8460" w:type="dxa"/>
            <w:vAlign w:val="bottom"/>
            <w:gridSpan w:val="3"/>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Filed with this Statement</w:t>
            </w:r>
          </w:p>
        </w:tc>
        <w:tc>
          <w:tcPr>
            <w:tcW w:w="8820" w:type="dxa"/>
            <w:vAlign w:val="bottom"/>
            <w:gridSpan w:val="4"/>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31(a)</w:t>
            </w:r>
          </w:p>
        </w:tc>
        <w:tc>
          <w:tcPr>
            <w:tcW w:w="9240" w:type="dxa"/>
            <w:vAlign w:val="bottom"/>
            <w:tcBorders>
              <w:bottom w:val="single" w:sz="8" w:color="0000FF"/>
            </w:tcBorders>
            <w:gridSpan w:val="5"/>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Certifications Pursuant to Rule 13a-14(a), of the Exchange Act, as Adopted pursuant to Section 302 of the Sarbanes-Oxley Act of</w:t>
              </w:r>
            </w:hyperlink>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tcBorders>
              <w:bottom w:val="single" w:sz="8" w:color="0000FF"/>
            </w:tcBorders>
            <w:gridSpan w:val="3"/>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2002 - V. James Vena.</w:t>
              </w:r>
            </w:hyperlink>
          </w:p>
        </w:tc>
        <w:tc>
          <w:tcPr>
            <w:tcW w:w="7660" w:type="dxa"/>
            <w:vAlign w:val="bottom"/>
            <w:gridSpan w:val="2"/>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31(b)</w:t>
            </w:r>
          </w:p>
        </w:tc>
        <w:tc>
          <w:tcPr>
            <w:tcW w:w="9240" w:type="dxa"/>
            <w:vAlign w:val="bottom"/>
            <w:tcBorders>
              <w:bottom w:val="single" w:sz="8" w:color="0000FF"/>
            </w:tcBorders>
            <w:gridSpan w:val="5"/>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Certifications Pursuant to Rule 13a-14(a), of the Exchange Act, as Adopted pursuant to Section 302 of the Sarbanes-Oxley Act of</w:t>
              </w:r>
            </w:hyperlink>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Borders>
              <w:bottom w:val="single" w:sz="8" w:color="0000FF"/>
            </w:tcBorders>
            <w:gridSpan w:val="4"/>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2002 - Jennifer L. Hamann.</w:t>
              </w:r>
            </w:hyperlink>
          </w:p>
        </w:tc>
        <w:tc>
          <w:tcPr>
            <w:tcW w:w="7360" w:type="dxa"/>
            <w:vAlign w:val="bottom"/>
          </w:tcPr>
          <w:p>
            <w:pPr>
              <w:spacing w:after="0"/>
              <w:rPr>
                <w:sz w:val="13"/>
                <w:szCs w:val="13"/>
                <w:color w:val="auto"/>
              </w:rPr>
            </w:pPr>
          </w:p>
        </w:tc>
      </w:tr>
    </w:tbl>
    <w:p>
      <w:pPr>
        <w:spacing w:after="0" w:line="145" w:lineRule="exact"/>
        <w:rPr>
          <w:sz w:val="20"/>
          <w:szCs w:val="20"/>
          <w:color w:val="auto"/>
        </w:rPr>
      </w:pPr>
    </w:p>
    <w:p>
      <w:pPr>
        <w:ind w:left="1300" w:right="60" w:hanging="1282"/>
        <w:spacing w:after="0" w:line="262" w:lineRule="auto"/>
        <w:tabs>
          <w:tab w:leader="none" w:pos="1300" w:val="left"/>
        </w:tabs>
        <w:numPr>
          <w:ilvl w:val="0"/>
          <w:numId w:val="15"/>
        </w:numPr>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Certifications Pursuant to 18 U.S.C. Section 1350, as Adopted pursuant to Section 906 of the Sarbanes-Oxley Act of 2002 - V. James</w:t>
        </w:r>
      </w:hyperlink>
      <w:r>
        <w:rPr>
          <w:rFonts w:ascii="Arial" w:cs="Arial" w:eastAsia="Arial" w:hAnsi="Arial"/>
          <w:sz w:val="16"/>
          <w:szCs w:val="16"/>
          <w:u w:val="single" w:color="auto"/>
          <w:color w:val="0000FF"/>
        </w:rPr>
        <w:t xml:space="preserve"> </w:t>
      </w:r>
      <w:hyperlink w:anchor="page1">
        <w:r>
          <w:rPr>
            <w:rFonts w:ascii="Arial" w:cs="Arial" w:eastAsia="Arial" w:hAnsi="Arial"/>
            <w:sz w:val="16"/>
            <w:szCs w:val="16"/>
            <w:u w:val="single" w:color="auto"/>
            <w:color w:val="0000FF"/>
          </w:rPr>
          <w:t>Vena and Jennifer L. Hamann.</w:t>
        </w:r>
      </w:hyperlink>
    </w:p>
    <w:p>
      <w:pPr>
        <w:spacing w:after="0" w:line="102" w:lineRule="exact"/>
        <w:rPr>
          <w:rFonts w:ascii="Arial" w:cs="Arial" w:eastAsia="Arial" w:hAnsi="Arial"/>
          <w:sz w:val="16"/>
          <w:szCs w:val="16"/>
          <w:color w:val="auto"/>
        </w:rPr>
      </w:pPr>
    </w:p>
    <w:p>
      <w:pPr>
        <w:jc w:val="both"/>
        <w:ind w:left="1300" w:right="20" w:hanging="1282"/>
        <w:spacing w:after="0" w:line="238"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and related information from Union Pacific Corporation’s Quarterly Report on Form 10-Q for the period ended September 30, 2025 (filed with the SEC on October 23, 2025), formatted in Inline Extensible Business Reporting Language (iXBRL) includes (i) Condensed Consolidated Statements of Income for the periods ended September 30, 2025 and 2024, (ii) Condensed Consolidated Statements of Comprehensive Income for the periods ended September 30, 2025 and 2024, (iii) Condensed Consolidated Statements of Financial Position at September 30, 2025, and December 31, 2024, (iv) Condensed Consolidated Statements of Cash Flows for the periods ended September 30, 2025 and 2024, (v) Condensed Consolidated Statements of Changes in Common Shareholders’ Equity for the periods ended September 30, 2025 and 2024, and (vi) the Notes to the Condensed Consolidated Financial Statements.</w:t>
      </w:r>
    </w:p>
    <w:p>
      <w:pPr>
        <w:spacing w:after="0" w:line="125" w:lineRule="exact"/>
        <w:rPr>
          <w:rFonts w:ascii="Arial" w:cs="Arial" w:eastAsia="Arial" w:hAnsi="Arial"/>
          <w:sz w:val="16"/>
          <w:szCs w:val="16"/>
          <w:color w:val="auto"/>
        </w:rPr>
      </w:pPr>
    </w:p>
    <w:p>
      <w:pPr>
        <w:ind w:left="20" w:right="3400" w:hanging="2"/>
        <w:spacing w:after="0" w:line="422" w:lineRule="auto"/>
        <w:tabs>
          <w:tab w:leader="none" w:pos="129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Cover Page Interactive Data File, formatted in Inline XBRL (contained in Exhibit 101). </w:t>
      </w:r>
      <w:r>
        <w:rPr>
          <w:rFonts w:ascii="Arial" w:cs="Arial" w:eastAsia="Arial" w:hAnsi="Arial"/>
          <w:sz w:val="16"/>
          <w:szCs w:val="16"/>
          <w:u w:val="single" w:color="auto"/>
          <w:color w:val="auto"/>
        </w:rPr>
        <w:t>Incorporated by Reference</w:t>
      </w:r>
    </w:p>
    <w:tbl>
      <w:tblPr>
        <w:tblLayout w:type="fixed"/>
        <w:tblInd w:w="0" w:type="dxa"/>
        <w:tblCellMar>
          <w:top w:w="0" w:type="dxa"/>
          <w:left w:w="0" w:type="dxa"/>
          <w:bottom w:w="0" w:type="dxa"/>
          <w:right w:w="0" w:type="dxa"/>
        </w:tblCellMar>
      </w:tblPr>
      <w:tr>
        <w:trPr>
          <w:trHeight w:val="168"/>
        </w:trPr>
        <w:tc>
          <w:tcPr>
            <w:tcW w:w="1300" w:type="dxa"/>
            <w:vAlign w:val="bottom"/>
          </w:tcPr>
          <w:p>
            <w:pPr>
              <w:ind w:left="20"/>
              <w:spacing w:after="0" w:line="168" w:lineRule="exact"/>
              <w:rPr>
                <w:sz w:val="20"/>
                <w:szCs w:val="20"/>
                <w:color w:val="auto"/>
              </w:rPr>
            </w:pPr>
            <w:r>
              <w:rPr>
                <w:rFonts w:ascii="Arial" w:cs="Arial" w:eastAsia="Arial" w:hAnsi="Arial"/>
                <w:sz w:val="16"/>
                <w:szCs w:val="16"/>
                <w:color w:val="auto"/>
              </w:rPr>
              <w:t>2</w:t>
            </w:r>
          </w:p>
        </w:tc>
        <w:tc>
          <w:tcPr>
            <w:tcW w:w="9260" w:type="dxa"/>
            <w:vAlign w:val="bottom"/>
            <w:gridSpan w:val="5"/>
          </w:tcPr>
          <w:p>
            <w:pPr>
              <w:spacing w:after="0" w:line="168" w:lineRule="exact"/>
              <w:rPr>
                <w:rFonts w:ascii="Arial" w:cs="Arial" w:eastAsia="Arial" w:hAnsi="Arial"/>
                <w:sz w:val="16"/>
                <w:szCs w:val="16"/>
                <w:color w:val="0000FF"/>
                <w:w w:val="98"/>
              </w:rPr>
            </w:pPr>
            <w:hyperlink r:id="rId49">
              <w:r>
                <w:rPr>
                  <w:rFonts w:ascii="Arial" w:cs="Arial" w:eastAsia="Arial" w:hAnsi="Arial"/>
                  <w:sz w:val="16"/>
                  <w:szCs w:val="16"/>
                  <w:color w:val="0000FF"/>
                  <w:w w:val="98"/>
                </w:rPr>
                <w:t>Agreement and Plan of Merger dated as of July 28, 2025, by and among UPC, Ruby Merger Sub 1 Corporation, Ruby Merger Sub 2</w:t>
              </w:r>
            </w:hyperlink>
          </w:p>
        </w:tc>
      </w:tr>
      <w:tr>
        <w:trPr>
          <w:trHeight w:val="20"/>
        </w:trPr>
        <w:tc>
          <w:tcPr>
            <w:tcW w:w="1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tcPr>
          <w:p>
            <w:pPr>
              <w:spacing w:after="0"/>
              <w:rPr>
                <w:sz w:val="13"/>
                <w:szCs w:val="13"/>
                <w:color w:val="auto"/>
              </w:rPr>
            </w:pPr>
          </w:p>
        </w:tc>
        <w:tc>
          <w:tcPr>
            <w:tcW w:w="9260" w:type="dxa"/>
            <w:vAlign w:val="bottom"/>
            <w:gridSpan w:val="5"/>
          </w:tcPr>
          <w:p>
            <w:pPr>
              <w:spacing w:after="0" w:line="160" w:lineRule="exact"/>
              <w:rPr>
                <w:rFonts w:ascii="Arial" w:cs="Arial" w:eastAsia="Arial" w:hAnsi="Arial"/>
                <w:sz w:val="16"/>
                <w:szCs w:val="16"/>
                <w:color w:val="0000FF"/>
                <w:w w:val="98"/>
              </w:rPr>
            </w:pPr>
            <w:hyperlink r:id="rId49">
              <w:r>
                <w:rPr>
                  <w:rFonts w:ascii="Arial" w:cs="Arial" w:eastAsia="Arial" w:hAnsi="Arial"/>
                  <w:sz w:val="16"/>
                  <w:szCs w:val="16"/>
                  <w:color w:val="0000FF"/>
                  <w:w w:val="98"/>
                </w:rPr>
                <w:t>LLC and Norfolk Southern Corporation is incorporated herein by reference to Exhibit 2.1 to the Corporation's Current Report on Form</w:t>
              </w:r>
            </w:hyperlink>
          </w:p>
        </w:tc>
      </w:tr>
      <w:tr>
        <w:trPr>
          <w:trHeight w:val="160"/>
        </w:trPr>
        <w:tc>
          <w:tcPr>
            <w:tcW w:w="130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60" w:lineRule="exact"/>
              <w:rPr>
                <w:rFonts w:ascii="Arial" w:cs="Arial" w:eastAsia="Arial" w:hAnsi="Arial"/>
                <w:sz w:val="16"/>
                <w:szCs w:val="16"/>
                <w:color w:val="0000FF"/>
                <w:w w:val="95"/>
              </w:rPr>
            </w:pPr>
            <w:hyperlink r:id="rId49">
              <w:r>
                <w:rPr>
                  <w:rFonts w:ascii="Arial" w:cs="Arial" w:eastAsia="Arial" w:hAnsi="Arial"/>
                  <w:sz w:val="16"/>
                  <w:szCs w:val="16"/>
                  <w:color w:val="0000FF"/>
                  <w:w w:val="95"/>
                </w:rPr>
                <w:t>8-K dated July 29, 2025</w:t>
              </w:r>
            </w:hyperlink>
          </w:p>
        </w:tc>
        <w:tc>
          <w:tcPr>
            <w:tcW w:w="76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300" w:type="dxa"/>
            <w:vAlign w:val="bottom"/>
          </w:tcPr>
          <w:p>
            <w:pPr>
              <w:ind w:left="20"/>
              <w:spacing w:after="0"/>
              <w:rPr>
                <w:sz w:val="20"/>
                <w:szCs w:val="20"/>
                <w:color w:val="auto"/>
              </w:rPr>
            </w:pPr>
            <w:r>
              <w:rPr>
                <w:rFonts w:ascii="Arial" w:cs="Arial" w:eastAsia="Arial" w:hAnsi="Arial"/>
                <w:sz w:val="16"/>
                <w:szCs w:val="16"/>
                <w:color w:val="auto"/>
              </w:rPr>
              <w:t>3(a)</w:t>
            </w:r>
          </w:p>
        </w:tc>
        <w:tc>
          <w:tcPr>
            <w:tcW w:w="9240" w:type="dxa"/>
            <w:vAlign w:val="bottom"/>
            <w:tcBorders>
              <w:bottom w:val="single" w:sz="8" w:color="0000FF"/>
            </w:tcBorders>
            <w:gridSpan w:val="4"/>
          </w:tcPr>
          <w:p>
            <w:pPr>
              <w:spacing w:after="0"/>
              <w:rPr>
                <w:rFonts w:ascii="Arial" w:cs="Arial" w:eastAsia="Arial" w:hAnsi="Arial"/>
                <w:sz w:val="16"/>
                <w:szCs w:val="16"/>
                <w:color w:val="0000FF"/>
                <w:w w:val="98"/>
              </w:rPr>
            </w:pPr>
            <w:hyperlink r:id="rId50">
              <w:r>
                <w:rPr>
                  <w:rFonts w:ascii="Arial" w:cs="Arial" w:eastAsia="Arial" w:hAnsi="Arial"/>
                  <w:sz w:val="16"/>
                  <w:szCs w:val="16"/>
                  <w:color w:val="0000FF"/>
                  <w:w w:val="98"/>
                </w:rPr>
                <w:t>Restated Articles of Incorporation of UPC, as amended and restated through June 27, 2011, and as further amended May 15, 2014,</w:t>
              </w:r>
            </w:hyperlink>
          </w:p>
        </w:tc>
        <w:tc>
          <w:tcPr>
            <w:tcW w:w="20" w:type="dxa"/>
            <w:vAlign w:val="bottom"/>
          </w:tcPr>
          <w:p>
            <w:pPr>
              <w:spacing w:after="0"/>
              <w:rPr>
                <w:sz w:val="24"/>
                <w:szCs w:val="24"/>
                <w:color w:val="auto"/>
              </w:rPr>
            </w:pPr>
          </w:p>
        </w:tc>
      </w:tr>
      <w:tr>
        <w:trPr>
          <w:trHeight w:val="160"/>
        </w:trPr>
        <w:tc>
          <w:tcPr>
            <w:tcW w:w="1300" w:type="dxa"/>
            <w:vAlign w:val="bottom"/>
          </w:tcPr>
          <w:p>
            <w:pPr>
              <w:spacing w:after="0"/>
              <w:rPr>
                <w:sz w:val="13"/>
                <w:szCs w:val="13"/>
                <w:color w:val="auto"/>
              </w:rPr>
            </w:pPr>
          </w:p>
        </w:tc>
        <w:tc>
          <w:tcPr>
            <w:tcW w:w="9260" w:type="dxa"/>
            <w:vAlign w:val="bottom"/>
            <w:gridSpan w:val="5"/>
          </w:tcPr>
          <w:p>
            <w:pPr>
              <w:spacing w:after="0" w:line="160" w:lineRule="exact"/>
              <w:rPr>
                <w:rFonts w:ascii="Arial" w:cs="Arial" w:eastAsia="Arial" w:hAnsi="Arial"/>
                <w:sz w:val="16"/>
                <w:szCs w:val="16"/>
                <w:color w:val="0000FF"/>
                <w:w w:val="99"/>
              </w:rPr>
            </w:pPr>
            <w:hyperlink r:id="rId50">
              <w:r>
                <w:rPr>
                  <w:rFonts w:ascii="Arial" w:cs="Arial" w:eastAsia="Arial" w:hAnsi="Arial"/>
                  <w:sz w:val="16"/>
                  <w:szCs w:val="16"/>
                  <w:color w:val="0000FF"/>
                  <w:w w:val="99"/>
                </w:rPr>
                <w:t>are incorporated herein by reference to Exhibit 3(a) to the Corporation’s Quarterly Report on Form 10-Q for the quarter ended June</w:t>
              </w:r>
            </w:hyperlink>
          </w:p>
        </w:tc>
      </w:tr>
      <w:tr>
        <w:trPr>
          <w:trHeight w:val="160"/>
        </w:trPr>
        <w:tc>
          <w:tcPr>
            <w:tcW w:w="130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60"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30, 2014.</w:t>
              </w:r>
            </w:hyperlink>
          </w:p>
        </w:tc>
        <w:tc>
          <w:tcPr>
            <w:tcW w:w="100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5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300" w:type="dxa"/>
            <w:vAlign w:val="bottom"/>
          </w:tcPr>
          <w:p>
            <w:pPr>
              <w:ind w:left="20"/>
              <w:spacing w:after="0"/>
              <w:rPr>
                <w:sz w:val="20"/>
                <w:szCs w:val="20"/>
                <w:color w:val="auto"/>
              </w:rPr>
            </w:pPr>
            <w:r>
              <w:rPr>
                <w:rFonts w:ascii="Arial" w:cs="Arial" w:eastAsia="Arial" w:hAnsi="Arial"/>
                <w:sz w:val="16"/>
                <w:szCs w:val="16"/>
                <w:color w:val="auto"/>
              </w:rPr>
              <w:t>3(b)</w:t>
            </w:r>
          </w:p>
        </w:tc>
        <w:tc>
          <w:tcPr>
            <w:tcW w:w="9260" w:type="dxa"/>
            <w:vAlign w:val="bottom"/>
            <w:gridSpan w:val="5"/>
          </w:tcPr>
          <w:p>
            <w:pPr>
              <w:spacing w:after="0"/>
              <w:rPr>
                <w:rFonts w:ascii="Arial" w:cs="Arial" w:eastAsia="Arial" w:hAnsi="Arial"/>
                <w:sz w:val="16"/>
                <w:szCs w:val="16"/>
                <w:color w:val="0000FF"/>
                <w:w w:val="98"/>
              </w:rPr>
            </w:pPr>
            <w:hyperlink r:id="rId51">
              <w:r>
                <w:rPr>
                  <w:rFonts w:ascii="Arial" w:cs="Arial" w:eastAsia="Arial" w:hAnsi="Arial"/>
                  <w:sz w:val="16"/>
                  <w:szCs w:val="16"/>
                  <w:color w:val="0000FF"/>
                  <w:w w:val="98"/>
                </w:rPr>
                <w:t>By-Laws of UPC, as amended, effective November 19, 2015, are incorporated herein by reference to Exhibit 3.2 to the Corporation’s</w:t>
              </w:r>
            </w:hyperlink>
          </w:p>
        </w:tc>
      </w:tr>
      <w:tr>
        <w:trPr>
          <w:trHeight w:val="160"/>
        </w:trPr>
        <w:tc>
          <w:tcPr>
            <w:tcW w:w="130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3"/>
          </w:tcPr>
          <w:p>
            <w:pPr>
              <w:spacing w:after="0" w:line="160" w:lineRule="exact"/>
              <w:rPr>
                <w:rFonts w:ascii="Arial" w:cs="Arial" w:eastAsia="Arial" w:hAnsi="Arial"/>
                <w:sz w:val="16"/>
                <w:szCs w:val="16"/>
                <w:color w:val="0000FF"/>
                <w:w w:val="96"/>
              </w:rPr>
            </w:pPr>
            <w:hyperlink r:id="rId51">
              <w:r>
                <w:rPr>
                  <w:rFonts w:ascii="Arial" w:cs="Arial" w:eastAsia="Arial" w:hAnsi="Arial"/>
                  <w:sz w:val="16"/>
                  <w:szCs w:val="16"/>
                  <w:color w:val="0000FF"/>
                  <w:w w:val="96"/>
                </w:rPr>
                <w:t>Current Report on Form 8-K dated November 19, 2015.</w:t>
              </w:r>
            </w:hyperlink>
          </w:p>
        </w:tc>
        <w:tc>
          <w:tcPr>
            <w:tcW w:w="5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74"/>
        </w:trPr>
        <w:tc>
          <w:tcPr>
            <w:tcW w:w="1300" w:type="dxa"/>
            <w:vAlign w:val="bottom"/>
          </w:tcPr>
          <w:p>
            <w:pPr>
              <w:spacing w:after="0"/>
              <w:rPr>
                <w:sz w:val="24"/>
                <w:szCs w:val="24"/>
                <w:color w:val="auto"/>
              </w:rPr>
            </w:pPr>
          </w:p>
        </w:tc>
        <w:tc>
          <w:tcPr>
            <w:tcW w:w="9240" w:type="dxa"/>
            <w:vAlign w:val="bottom"/>
            <w:gridSpan w:val="4"/>
          </w:tcPr>
          <w:p>
            <w:pPr>
              <w:ind w:left="3900"/>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24"/>
                <w:szCs w:val="24"/>
                <w:color w:val="auto"/>
              </w:rPr>
            </w:pPr>
          </w:p>
        </w:tc>
      </w:tr>
      <w:tr>
        <w:trPr>
          <w:trHeight w:val="290"/>
        </w:trPr>
        <w:tc>
          <w:tcPr>
            <w:tcW w:w="13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c>
          <w:tcPr>
            <w:tcW w:w="54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Dated: October 23, 2025</w:t>
      </w:r>
    </w:p>
    <w:p>
      <w:pPr>
        <w:spacing w:after="0" w:line="200"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UNION PACIFIC CORPORATION (Registrant)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0" w:type="dxa"/>
            <w:vAlign w:val="bottom"/>
          </w:tcPr>
          <w:p>
            <w:pPr>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Jennifer L. Hamann</w:t>
            </w:r>
          </w:p>
        </w:tc>
      </w:tr>
      <w:tr>
        <w:trPr>
          <w:trHeight w:val="215"/>
        </w:trPr>
        <w:tc>
          <w:tcPr>
            <w:tcW w:w="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Jennifer L. Hamann</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Executive Vice President and</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377"/>
        </w:trPr>
        <w:tc>
          <w:tcPr>
            <w:tcW w:w="340" w:type="dxa"/>
            <w:vAlign w:val="bottom"/>
          </w:tcPr>
          <w:p>
            <w:pPr>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Carrie J. Powers</w:t>
            </w:r>
          </w:p>
        </w:tc>
      </w:tr>
      <w:tr>
        <w:trPr>
          <w:trHeight w:val="215"/>
        </w:trPr>
        <w:tc>
          <w:tcPr>
            <w:tcW w:w="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Carrie J. Powers</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Vice President, Controller, and</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Chief Accounting Officer</w:t>
            </w:r>
          </w:p>
        </w:tc>
      </w:tr>
      <w:tr>
        <w:trPr>
          <w:trHeight w:val="228"/>
        </w:trPr>
        <w:tc>
          <w:tcPr>
            <w:tcW w:w="3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(Principal Accounting Officer)</w:t>
            </w: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10560"/>
          </w:cols>
          <w:pgMar w:left="660" w:top="557" w:right="680" w:bottom="1440" w:gutter="0" w:footer="0" w:header="0"/>
        </w:sectPr>
      </w:pPr>
    </w:p>
    <w:bookmarkStart w:id="35" w:name="page36"/>
    <w:bookmarkEnd w:id="35"/>
    <w:p>
      <w:pPr>
        <w:ind w:left="9640"/>
        <w:spacing w:after="0"/>
        <w:rPr>
          <w:sz w:val="20"/>
          <w:szCs w:val="20"/>
          <w:color w:val="auto"/>
        </w:rPr>
      </w:pPr>
      <w:r>
        <w:rPr>
          <w:rFonts w:ascii="Arial" w:cs="Arial" w:eastAsia="Arial" w:hAnsi="Arial"/>
          <w:sz w:val="14"/>
          <w:szCs w:val="14"/>
          <w:b w:val="1"/>
          <w:bCs w:val="1"/>
          <w:color w:val="auto"/>
        </w:rPr>
        <w:t>Exhibit 31(a)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V. James Vena, certify that:</w:t>
      </w:r>
    </w:p>
    <w:p>
      <w:pPr>
        <w:spacing w:after="0" w:line="188"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Union Pacific Corporation;</w:t>
      </w:r>
    </w:p>
    <w:p>
      <w:pPr>
        <w:spacing w:after="0" w:line="188" w:lineRule="exact"/>
        <w:rPr>
          <w:rFonts w:ascii="Arial" w:cs="Arial" w:eastAsia="Arial" w:hAnsi="Arial"/>
          <w:sz w:val="16"/>
          <w:szCs w:val="16"/>
          <w:color w:val="auto"/>
        </w:rPr>
      </w:pPr>
    </w:p>
    <w:p>
      <w:pPr>
        <w:jc w:val="both"/>
        <w:ind w:left="180" w:hanging="174"/>
        <w:spacing w:after="0" w:line="248"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180" w:hanging="174"/>
        <w:spacing w:after="0" w:line="26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80" w:right="20" w:hanging="174"/>
        <w:spacing w:after="0" w:line="248"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580" w:hanging="286"/>
        <w:spacing w:after="0" w:line="262"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180" w:hanging="174"/>
        <w:spacing w:after="0" w:line="26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580" w:right="20" w:hanging="286"/>
        <w:spacing w:after="0" w:line="262"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580" w:right="20" w:hanging="286"/>
        <w:spacing w:after="0" w:line="262" w:lineRule="auto"/>
        <w:tabs>
          <w:tab w:leader="none" w:pos="5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October 23, 2025</w:t>
      </w:r>
    </w:p>
    <w:p>
      <w:pPr>
        <w:spacing w:after="0" w:line="23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19685</wp:posOffset>
            </wp:positionV>
            <wp:extent cx="18370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837055" cy="7620"/>
                    </a:xfrm>
                    <a:prstGeom prst="rect">
                      <a:avLst/>
                    </a:prstGeom>
                    <a:noFill/>
                  </pic:spPr>
                </pic:pic>
              </a:graphicData>
            </a:graphic>
          </wp:anchor>
        </w:drawing>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V. James Vena</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ectPr>
          <w:pgSz w:w="11900" w:h="16840" w:orient="portrait"/>
          <w:cols w:equalWidth="0" w:num="1">
            <w:col w:w="10580"/>
          </w:cols>
          <w:pgMar w:left="660" w:top="1373" w:right="660" w:bottom="1440" w:gutter="0" w:footer="0" w:header="0"/>
        </w:sectPr>
      </w:pPr>
    </w:p>
    <w:bookmarkStart w:id="36" w:name="page37"/>
    <w:bookmarkEnd w:id="36"/>
    <w:p>
      <w:pPr>
        <w:ind w:left="9640"/>
        <w:spacing w:after="0"/>
        <w:rPr>
          <w:sz w:val="20"/>
          <w:szCs w:val="20"/>
          <w:color w:val="auto"/>
        </w:rPr>
      </w:pPr>
      <w:r>
        <w:rPr>
          <w:rFonts w:ascii="Arial" w:cs="Arial" w:eastAsia="Arial" w:hAnsi="Arial"/>
          <w:sz w:val="14"/>
          <w:szCs w:val="14"/>
          <w:b w:val="1"/>
          <w:bCs w:val="1"/>
          <w:color w:val="auto"/>
        </w:rPr>
        <w:t>Exhibit 31(b)</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 Jennifer L. Hamann, certify that:</w:t>
      </w:r>
    </w:p>
    <w:p>
      <w:pPr>
        <w:spacing w:after="0" w:line="188" w:lineRule="exact"/>
        <w:rPr>
          <w:sz w:val="20"/>
          <w:szCs w:val="20"/>
          <w:color w:val="auto"/>
        </w:rPr>
      </w:pPr>
    </w:p>
    <w:p>
      <w:pPr>
        <w:ind w:left="180" w:hanging="174"/>
        <w:spacing w:after="0"/>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Union Pacific Corporation;</w:t>
      </w:r>
    </w:p>
    <w:p>
      <w:pPr>
        <w:spacing w:after="0" w:line="188" w:lineRule="exact"/>
        <w:rPr>
          <w:rFonts w:ascii="Arial" w:cs="Arial" w:eastAsia="Arial" w:hAnsi="Arial"/>
          <w:sz w:val="16"/>
          <w:szCs w:val="16"/>
          <w:color w:val="auto"/>
        </w:rPr>
      </w:pPr>
    </w:p>
    <w:p>
      <w:pPr>
        <w:jc w:val="both"/>
        <w:ind w:left="180" w:hanging="174"/>
        <w:spacing w:after="0" w:line="248"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180" w:hanging="174"/>
        <w:spacing w:after="0" w:line="26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80" w:right="20" w:hanging="174"/>
        <w:spacing w:after="0" w:line="248"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580" w:hanging="286"/>
        <w:spacing w:after="0" w:line="262"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580" w:hanging="286"/>
        <w:spacing w:after="0" w:line="248"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180" w:hanging="174"/>
        <w:spacing w:after="0" w:line="26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580" w:right="20" w:hanging="286"/>
        <w:spacing w:after="0" w:line="262"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580" w:right="20" w:hanging="286"/>
        <w:spacing w:after="0" w:line="262" w:lineRule="auto"/>
        <w:tabs>
          <w:tab w:leader="none" w:pos="5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October 23, 2025</w:t>
      </w:r>
    </w:p>
    <w:p>
      <w:pPr>
        <w:spacing w:after="0" w:line="23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19685</wp:posOffset>
            </wp:positionV>
            <wp:extent cx="20275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027555" cy="7620"/>
                    </a:xfrm>
                    <a:prstGeom prst="rect">
                      <a:avLst/>
                    </a:prstGeom>
                    <a:noFill/>
                  </pic:spPr>
                </pic:pic>
              </a:graphicData>
            </a:graphic>
          </wp:anchor>
        </w:drawing>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Jennifer L. Hamann</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Executive Vice President and</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ectPr>
          <w:pgSz w:w="11900" w:h="16840" w:orient="portrait"/>
          <w:cols w:equalWidth="0" w:num="1">
            <w:col w:w="10580"/>
          </w:cols>
          <w:pgMar w:left="660" w:top="1373" w:right="660" w:bottom="1440" w:gutter="0" w:footer="0" w:header="0"/>
        </w:sectPr>
      </w:pPr>
    </w:p>
    <w:bookmarkStart w:id="37" w:name="page38"/>
    <w:bookmarkEnd w:id="37"/>
    <w:p>
      <w:pPr>
        <w:ind w:left="9840"/>
        <w:spacing w:after="0"/>
        <w:rPr>
          <w:sz w:val="20"/>
          <w:szCs w:val="20"/>
          <w:color w:val="auto"/>
        </w:rPr>
      </w:pPr>
      <w:r>
        <w:rPr>
          <w:rFonts w:ascii="Arial" w:cs="Arial" w:eastAsia="Arial" w:hAnsi="Arial"/>
          <w:sz w:val="14"/>
          <w:szCs w:val="14"/>
          <w:b w:val="1"/>
          <w:bCs w:val="1"/>
          <w:color w:val="auto"/>
        </w:rPr>
        <w:t>Exhibit 32</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18 U.S.C. SECTION 1350,</w:t>
      </w:r>
    </w:p>
    <w:p>
      <w:pPr>
        <w:jc w:val="center"/>
        <w:ind w:right="20"/>
        <w:spacing w:after="0" w:line="234"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accompanying quarterly report of Union Pacific Corporation (the Corporation) on Form 10- Q for the period ending September 30, 2025,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26" w:lineRule="exact"/>
        <w:rPr>
          <w:sz w:val="20"/>
          <w:szCs w:val="20"/>
          <w:color w:val="auto"/>
        </w:rPr>
      </w:pPr>
    </w:p>
    <w:p>
      <w:pPr>
        <w:ind w:left="580" w:hanging="28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2" w:lineRule="exact"/>
        <w:rPr>
          <w:rFonts w:ascii="Arial" w:cs="Arial" w:eastAsia="Arial" w:hAnsi="Arial"/>
          <w:sz w:val="16"/>
          <w:szCs w:val="16"/>
          <w:color w:val="auto"/>
        </w:rPr>
      </w:pPr>
    </w:p>
    <w:p>
      <w:pPr>
        <w:ind w:left="580" w:right="20" w:hanging="286"/>
        <w:spacing w:after="0" w:line="262" w:lineRule="auto"/>
        <w:tabs>
          <w:tab w:leader="none" w:pos="5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12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19685</wp:posOffset>
            </wp:positionV>
            <wp:extent cx="16998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699895" cy="762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James Vena</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Union Pacific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October 23, 2025</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18 U.S.C. SECTION 1350,</w:t>
      </w:r>
    </w:p>
    <w:p>
      <w:pPr>
        <w:jc w:val="center"/>
        <w:ind w:right="20"/>
        <w:spacing w:after="0" w:line="234"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the accompanying quarterly report of Union Pacific Corporation (the Corporation) on Form 10-Q for the period ending September 30, 2025,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28" w:lineRule="exact"/>
        <w:rPr>
          <w:sz w:val="20"/>
          <w:szCs w:val="20"/>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2" w:lineRule="exact"/>
        <w:rPr>
          <w:rFonts w:ascii="Arial" w:cs="Arial" w:eastAsia="Arial" w:hAnsi="Arial"/>
          <w:sz w:val="16"/>
          <w:szCs w:val="16"/>
          <w:color w:val="auto"/>
        </w:rPr>
      </w:pPr>
    </w:p>
    <w:p>
      <w:pPr>
        <w:ind w:left="580" w:right="20" w:hanging="286"/>
        <w:spacing w:after="0" w:line="262" w:lineRule="auto"/>
        <w:tabs>
          <w:tab w:leader="none" w:pos="5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12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19685</wp:posOffset>
            </wp:positionV>
            <wp:extent cx="17075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707515" cy="762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Jennifer L. Hamann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Union Pacific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October 23, 2025</w:t>
      </w:r>
    </w:p>
    <w:p>
      <w:pPr>
        <w:spacing w:after="0" w:line="15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 signed original of this written statement required by Section 906 has been provided to the Corporation and will be retained by the Corporation and furnished to the Securities and Exchange Commission or its staff upon request.</w:t>
      </w:r>
    </w:p>
    <w:p>
      <w:pPr>
        <w:sectPr>
          <w:pgSz w:w="11900" w:h="16840" w:orient="portrait"/>
          <w:cols w:equalWidth="0" w:num="1">
            <w:col w:w="10580"/>
          </w:cols>
          <w:pgMar w:left="660" w:top="1373" w:right="660" w:bottom="1440" w:gutter="0" w:footer="0" w:header="0"/>
        </w:sectPr>
      </w:pPr>
    </w:p>
    <w:bookmarkStart w:id="38" w:name="page39"/>
    <w:bookmarkEnd w:id="3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15"/>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32"/>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9" Type="http://schemas.openxmlformats.org/officeDocument/2006/relationships/hyperlink" Target="https://www.sec.gov/Archives/edgar/data/100885/000119312525168150/d51641dex21.htm" TargetMode="External"/><Relationship Id="rId50" Type="http://schemas.openxmlformats.org/officeDocument/2006/relationships/hyperlink" Target="https://www.sec.gov/Archives/edgar/data/100885/000119312514280047/d761509dex3a.htm" TargetMode="External"/><Relationship Id="rId51" Type="http://schemas.openxmlformats.org/officeDocument/2006/relationships/hyperlink" Target="https://www.sec.gov/Archives/edgar/data/100885/000010088515000208/unp-20151119ex32a605ee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2025-10-23T14:49:19Z</dcterms:created>
  <dcterms:modified xsi:type="dcterms:W3CDTF">2025-10-23T14:49:19Z</dcterms:modified>
</cp:coreProperties>
</file>