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Jalali Rahul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DOUGLAS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OMAHA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UNION PACIFIC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INFORMATION OFFICE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829"/>
        <w:gridCol w:w="440"/>
        <w:gridCol w:w="836"/>
        <w:gridCol w:w="1351"/>
        <w:gridCol w:w="980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5.123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285.78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33,136.081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Purchase pursuant to the 2021 Employee Stock Purchase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Trevor L. Kingston, Attorney-in-Fact For: Rahul Jalali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0217" TargetMode="External"/><Relationship Id="rId5" Type="http://schemas.openxmlformats.org/officeDocument/2006/relationships/hyperlink" Target="http://www.sec.gov/cgi-bin/browse-edgar?action=getcompany&amp;CIK=0000100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577</Words>
  <Characters>3145</Characters>
  <CharactersWithSpaces>3655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