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34"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(Mark One)</w:t>
      </w:r>
    </w:p>
    <w:p>
      <w:pPr>
        <w:ind w:left="1280" w:hanging="201"/>
        <w:spacing w:after="0"/>
        <w:tabs>
          <w:tab w:leader="none" w:pos="1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jc w:val="center"/>
        <w:spacing w:after="0" w:line="237" w:lineRule="auto"/>
        <w:rPr>
          <w:sz w:val="20"/>
          <w:szCs w:val="20"/>
          <w:color w:val="auto"/>
        </w:rPr>
      </w:pPr>
      <w:r>
        <w:rPr>
          <w:rFonts w:ascii="Arial" w:cs="Arial" w:eastAsia="Arial" w:hAnsi="Arial"/>
          <w:sz w:val="18"/>
          <w:szCs w:val="18"/>
          <w:color w:val="auto"/>
        </w:rPr>
        <w:t>For the fiscal year ended December 31, 2023</w:t>
      </w:r>
    </w:p>
    <w:p>
      <w:pPr>
        <w:jc w:val="center"/>
        <w:spacing w:after="0" w:line="238" w:lineRule="auto"/>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jc w:val="center"/>
        <w:ind w:left="3220" w:right="900" w:hanging="2314"/>
        <w:spacing w:after="0" w:line="255" w:lineRule="auto"/>
        <w:tabs>
          <w:tab w:leader="none" w:pos="1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____________</w:t>
      </w:r>
    </w:p>
    <w:p>
      <w:pPr>
        <w:spacing w:after="0" w:line="75" w:lineRule="exact"/>
        <w:rPr>
          <w:sz w:val="24"/>
          <w:szCs w:val="24"/>
          <w:color w:val="auto"/>
        </w:rPr>
      </w:pPr>
    </w:p>
    <w:p>
      <w:pPr>
        <w:ind w:left="4240"/>
        <w:spacing w:after="0"/>
        <w:rPr>
          <w:sz w:val="20"/>
          <w:szCs w:val="20"/>
          <w:color w:val="auto"/>
        </w:rPr>
      </w:pPr>
      <w:r>
        <w:rPr>
          <w:rFonts w:ascii="Arial" w:cs="Arial" w:eastAsia="Arial" w:hAnsi="Arial"/>
          <w:sz w:val="18"/>
          <w:szCs w:val="18"/>
          <w:b w:val="1"/>
          <w:bCs w:val="1"/>
          <w:i w:val="1"/>
          <w:iCs w:val="1"/>
          <w:color w:val="auto"/>
        </w:rPr>
        <w:t>Commission File Number 1-6075</w:t>
      </w:r>
    </w:p>
    <w:p>
      <w:pPr>
        <w:spacing w:after="0" w:line="11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UNION PACIFIC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3360" w:type="dxa"/>
            <w:vAlign w:val="bottom"/>
            <w:gridSpan w:val="2"/>
          </w:tcPr>
          <w:p>
            <w:pPr>
              <w:jc w:val="center"/>
              <w:ind w:right="1240"/>
              <w:spacing w:after="0" w:line="192" w:lineRule="exact"/>
              <w:rPr>
                <w:sz w:val="20"/>
                <w:szCs w:val="20"/>
                <w:color w:val="auto"/>
              </w:rPr>
            </w:pPr>
            <w:r>
              <w:rPr>
                <w:rFonts w:ascii="Arial" w:cs="Arial" w:eastAsia="Arial" w:hAnsi="Arial"/>
                <w:sz w:val="18"/>
                <w:szCs w:val="18"/>
                <w:b w:val="1"/>
                <w:bCs w:val="1"/>
                <w:color w:val="auto"/>
                <w:w w:val="99"/>
              </w:rPr>
              <w:t>Utah</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20" w:type="dxa"/>
            <w:vAlign w:val="bottom"/>
          </w:tcPr>
          <w:p>
            <w:pPr>
              <w:jc w:val="right"/>
              <w:ind w:right="1435"/>
              <w:spacing w:after="0" w:line="192" w:lineRule="exact"/>
              <w:rPr>
                <w:sz w:val="20"/>
                <w:szCs w:val="20"/>
                <w:color w:val="auto"/>
              </w:rPr>
            </w:pPr>
            <w:r>
              <w:rPr>
                <w:rFonts w:ascii="Arial" w:cs="Arial" w:eastAsia="Arial" w:hAnsi="Arial"/>
                <w:sz w:val="18"/>
                <w:szCs w:val="18"/>
                <w:b w:val="1"/>
                <w:bCs w:val="1"/>
                <w:color w:val="auto"/>
              </w:rPr>
              <w:t>13-2626465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gridSpan w:val="3"/>
          </w:tcPr>
          <w:p>
            <w:pPr>
              <w:jc w:val="center"/>
              <w:ind w:left="152"/>
              <w:spacing w:after="0"/>
              <w:rPr>
                <w:sz w:val="20"/>
                <w:szCs w:val="20"/>
                <w:color w:val="auto"/>
              </w:rPr>
            </w:pPr>
            <w:r>
              <w:rPr>
                <w:rFonts w:ascii="Arial" w:cs="Arial" w:eastAsia="Arial" w:hAnsi="Arial"/>
                <w:sz w:val="16"/>
                <w:szCs w:val="16"/>
                <w:color w:val="auto"/>
              </w:rPr>
              <w:t>(State or other jurisdiction of incorporation or organization)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jc w:val="center"/>
              <w:ind w:right="515"/>
              <w:spacing w:after="0"/>
              <w:rPr>
                <w:sz w:val="20"/>
                <w:szCs w:val="20"/>
                <w:color w:val="auto"/>
              </w:rPr>
            </w:pPr>
            <w:r>
              <w:rPr>
                <w:rFonts w:ascii="Arial" w:cs="Arial" w:eastAsia="Arial" w:hAnsi="Arial"/>
                <w:sz w:val="16"/>
                <w:szCs w:val="16"/>
                <w:color w:val="auto"/>
              </w:rPr>
              <w:t>(I.R.S. Employer Identification No.)</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1400 Douglas Street, Omaha, Nebraska</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68179</w:t>
            </w:r>
          </w:p>
        </w:tc>
        <w:tc>
          <w:tcPr>
            <w:tcW w:w="0" w:type="dxa"/>
            <w:vAlign w:val="bottom"/>
          </w:tcPr>
          <w:p>
            <w:pPr>
              <w:spacing w:after="0"/>
              <w:rPr>
                <w:sz w:val="1"/>
                <w:szCs w:val="1"/>
                <w:color w:val="auto"/>
              </w:rPr>
            </w:pPr>
          </w:p>
        </w:tc>
      </w:tr>
      <w:tr>
        <w:trPr>
          <w:trHeight w:val="215"/>
        </w:trPr>
        <w:tc>
          <w:tcPr>
            <w:tcW w:w="4840" w:type="dxa"/>
            <w:vAlign w:val="bottom"/>
            <w:gridSpan w:val="3"/>
          </w:tcPr>
          <w:p>
            <w:pPr>
              <w:spacing w:after="0"/>
              <w:rPr>
                <w:sz w:val="20"/>
                <w:szCs w:val="20"/>
                <w:color w:val="auto"/>
              </w:rPr>
            </w:pPr>
            <w:r>
              <w:rPr>
                <w:rFonts w:ascii="Arial" w:cs="Arial" w:eastAsia="Arial" w:hAnsi="Arial"/>
                <w:sz w:val="16"/>
                <w:szCs w:val="16"/>
                <w:color w:val="auto"/>
              </w:rPr>
              <w:t>(Address of principal executive offices)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40" w:type="dxa"/>
            <w:vAlign w:val="bottom"/>
            <w:gridSpan w:val="3"/>
          </w:tcPr>
          <w:p>
            <w:pPr>
              <w:jc w:val="right"/>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338"/>
        </w:trPr>
        <w:tc>
          <w:tcPr>
            <w:tcW w:w="7300" w:type="dxa"/>
            <w:vAlign w:val="bottom"/>
            <w:gridSpan w:val="6"/>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(402) 544-5000</w:t>
            </w: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99"/>
              </w:rPr>
              <w:t>Title of each Class</w:t>
            </w:r>
          </w:p>
        </w:tc>
        <w:tc>
          <w:tcPr>
            <w:tcW w:w="1880" w:type="dxa"/>
            <w:vAlign w:val="bottom"/>
          </w:tcPr>
          <w:p>
            <w:pPr>
              <w:spacing w:after="0"/>
              <w:rPr>
                <w:sz w:val="16"/>
                <w:szCs w:val="16"/>
                <w:color w:val="auto"/>
              </w:rPr>
            </w:pPr>
          </w:p>
        </w:tc>
        <w:tc>
          <w:tcPr>
            <w:tcW w:w="2460" w:type="dxa"/>
            <w:vAlign w:val="bottom"/>
            <w:gridSpan w:val="3"/>
          </w:tcPr>
          <w:p>
            <w:pPr>
              <w:jc w:val="center"/>
              <w:ind w:right="800"/>
              <w:spacing w:after="0" w:line="195" w:lineRule="exact"/>
              <w:rPr>
                <w:sz w:val="20"/>
                <w:szCs w:val="20"/>
                <w:color w:val="auto"/>
              </w:rPr>
            </w:pPr>
            <w:r>
              <w:rPr>
                <w:rFonts w:ascii="Arial" w:cs="Arial" w:eastAsia="Arial" w:hAnsi="Arial"/>
                <w:sz w:val="18"/>
                <w:szCs w:val="18"/>
                <w:color w:val="auto"/>
                <w:w w:val="99"/>
              </w:rPr>
              <w:t>Trading Symbol</w:t>
            </w:r>
          </w:p>
        </w:tc>
        <w:tc>
          <w:tcPr>
            <w:tcW w:w="3940" w:type="dxa"/>
            <w:vAlign w:val="bottom"/>
            <w:gridSpan w:val="3"/>
          </w:tcPr>
          <w:p>
            <w:pPr>
              <w:jc w:val="center"/>
              <w:ind w:right="380"/>
              <w:spacing w:after="0" w:line="195" w:lineRule="exact"/>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Common Stock (Par Value $2.50 per share)</w:t>
            </w:r>
          </w:p>
        </w:tc>
        <w:tc>
          <w:tcPr>
            <w:tcW w:w="200" w:type="dxa"/>
            <w:vAlign w:val="bottom"/>
          </w:tcPr>
          <w:p>
            <w:pPr>
              <w:spacing w:after="0"/>
              <w:rPr>
                <w:sz w:val="20"/>
                <w:szCs w:val="20"/>
                <w:color w:val="auto"/>
              </w:rPr>
            </w:pPr>
          </w:p>
        </w:tc>
        <w:tc>
          <w:tcPr>
            <w:tcW w:w="226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9"/>
              </w:rPr>
              <w:t>UNP</w:t>
            </w:r>
          </w:p>
        </w:tc>
        <w:tc>
          <w:tcPr>
            <w:tcW w:w="3420" w:type="dxa"/>
            <w:vAlign w:val="bottom"/>
          </w:tcPr>
          <w:p>
            <w:pPr>
              <w:jc w:val="center"/>
              <w:ind w:left="95"/>
              <w:spacing w:after="0"/>
              <w:rPr>
                <w:sz w:val="20"/>
                <w:szCs w:val="20"/>
                <w:color w:val="auto"/>
              </w:rPr>
            </w:pPr>
            <w:r>
              <w:rPr>
                <w:rFonts w:ascii="Arial" w:cs="Arial" w:eastAsia="Arial" w:hAnsi="Arial"/>
                <w:sz w:val="18"/>
                <w:szCs w:val="18"/>
                <w:b w:val="1"/>
                <w:bCs w:val="1"/>
                <w:color w:val="auto"/>
                <w:w w:val="99"/>
              </w:rPr>
              <w:t>New York Stock Exchange</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0720" w:type="dxa"/>
            <w:vAlign w:val="bottom"/>
            <w:gridSpan w:val="7"/>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520" w:type="dxa"/>
            <w:vAlign w:val="bottom"/>
            <w:gridSpan w:val="2"/>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ind w:left="3000"/>
              <w:spacing w:after="0" w:line="184" w:lineRule="exact"/>
              <w:rPr>
                <w:sz w:val="20"/>
                <w:szCs w:val="20"/>
                <w:color w:val="auto"/>
              </w:rPr>
            </w:pPr>
            <w:r>
              <w:rPr>
                <w:rFonts w:ascii="MS PGothic" w:cs="MS PGothic" w:eastAsia="MS PGothic" w:hAnsi="MS PGothic"/>
                <w:sz w:val="16"/>
                <w:szCs w:val="16"/>
                <w:color w:val="auto"/>
                <w:w w:val="91"/>
              </w:rPr>
              <w:t>☑</w:t>
            </w:r>
            <w:r>
              <w:rPr>
                <w:rFonts w:ascii="Arial" w:cs="Arial" w:eastAsia="Arial" w:hAnsi="Arial"/>
                <w:sz w:val="16"/>
                <w:szCs w:val="16"/>
                <w:color w:val="auto"/>
                <w:w w:val="91"/>
              </w:rPr>
              <w:t>Yes</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720" w:type="dxa"/>
            <w:vAlign w:val="bottom"/>
            <w:gridSpan w:val="7"/>
          </w:tcPr>
          <w:p>
            <w:pPr>
              <w:spacing w:after="0" w:line="181"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520" w:type="dxa"/>
            <w:vAlign w:val="bottom"/>
            <w:gridSpan w:val="2"/>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20" w:type="dxa"/>
            <w:vAlign w:val="bottom"/>
          </w:tcPr>
          <w:p>
            <w:pPr>
              <w:ind w:left="3000"/>
              <w:spacing w:after="0" w:line="184" w:lineRule="exact"/>
              <w:rPr>
                <w:sz w:val="20"/>
                <w:szCs w:val="20"/>
                <w:color w:val="auto"/>
              </w:rPr>
            </w:pPr>
            <w:r>
              <w:rPr>
                <w:rFonts w:ascii="MS PGothic" w:cs="MS PGothic" w:eastAsia="MS PGothic" w:hAnsi="MS PGothic"/>
                <w:sz w:val="16"/>
                <w:szCs w:val="16"/>
                <w:color w:val="auto"/>
                <w:w w:val="91"/>
              </w:rPr>
              <w:t>☐</w:t>
            </w:r>
            <w:r>
              <w:rPr>
                <w:rFonts w:ascii="Arial" w:cs="Arial" w:eastAsia="Arial" w:hAnsi="Arial"/>
                <w:sz w:val="16"/>
                <w:szCs w:val="16"/>
                <w:color w:val="auto"/>
                <w:w w:val="91"/>
              </w:rPr>
              <w:t>Yes</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jc w:val="both"/>
        <w:spacing w:after="0" w:line="23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00"/>
        <w:spacing w:after="0" w:line="184" w:lineRule="exact"/>
        <w:tabs>
          <w:tab w:leader="none" w:pos="1082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6"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00"/>
        <w:spacing w:after="0" w:line="184" w:lineRule="exact"/>
        <w:tabs>
          <w:tab w:leader="none" w:pos="1082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6" w:lineRule="exact"/>
        <w:rPr>
          <w:sz w:val="24"/>
          <w:szCs w:val="24"/>
          <w:color w:val="auto"/>
        </w:rPr>
      </w:pPr>
    </w:p>
    <w:p>
      <w:pPr>
        <w:jc w:val="both"/>
        <w:spacing w:after="0" w:line="24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sectPr>
      </w:pPr>
    </w:p>
    <w:p>
      <w:pPr>
        <w:spacing w:after="0" w:line="2" w:lineRule="exact"/>
        <w:rPr>
          <w:sz w:val="24"/>
          <w:szCs w:val="24"/>
          <w:color w:val="auto"/>
        </w:rPr>
      </w:pPr>
    </w:p>
    <w:p>
      <w:pPr>
        <w:ind w:left="460" w:right="280"/>
        <w:spacing w:after="0" w:line="245"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9" w:lineRule="auto"/>
        <w:rPr>
          <w:sz w:val="20"/>
          <w:szCs w:val="20"/>
          <w:color w:val="auto"/>
        </w:rPr>
      </w:pPr>
      <w:r>
        <w:rPr>
          <w:rFonts w:ascii="Arial" w:cs="Arial" w:eastAsia="Arial" w:hAnsi="Arial"/>
          <w:sz w:val="16"/>
          <w:szCs w:val="16"/>
          <w:color w:val="auto"/>
        </w:rPr>
        <w:t>Accelerated Filer</w:t>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4" w:lineRule="auto"/>
        <w:tabs>
          <w:tab w:leader="none" w:pos="4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323" w:lineRule="exact"/>
        <w:rPr>
          <w:sz w:val="24"/>
          <w:szCs w:val="24"/>
          <w:color w:val="auto"/>
        </w:rPr>
      </w:pPr>
    </w:p>
    <w:p>
      <w:pPr>
        <w:sectPr>
          <w:pgSz w:w="11900" w:h="16838" w:orient="portrait"/>
          <w:cols w:equalWidth="0" w:num="5">
            <w:col w:w="2780" w:space="720"/>
            <w:col w:w="140" w:space="660"/>
            <w:col w:w="2300" w:space="720"/>
            <w:col w:w="2760" w:space="720"/>
            <w:col w:w="440"/>
          </w:cols>
          <w:pgMar w:left="320" w:top="472" w:right="339" w:bottom="1440" w:gutter="0" w:footer="0" w:header="0"/>
          <w:type w:val="continuous"/>
        </w:sectPr>
      </w:pPr>
    </w:p>
    <w:p>
      <w:pPr>
        <w:jc w:val="both"/>
        <w:spacing w:after="0" w:line="24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50"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50"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50"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ind w:left="10300"/>
        <w:spacing w:after="0" w:line="184" w:lineRule="exact"/>
        <w:tabs>
          <w:tab w:leader="none" w:pos="1082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As of June 30, 2023, the aggregate market value of the registrant’s Common Stock held by non-affiliates (using the New York Stock Exchange closing price) was $123.0 billion.</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February 2, 2024, was 609,777,914.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 Portions of the registrant’s definitive Proxy Statement for the Annual Meeting of Shareholders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on May 9, 2024, are incorporated by reference into Part III of this report. The registrant’s Proxy Statement will be filed with the Securities and Exchange Commission (SEC) within 120 days after the end of the fiscal year that this report relates pursuant to Regulation 14A.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8400" w:type="dxa"/>
            <w:vAlign w:val="bottom"/>
            <w:gridSpan w:val="43"/>
          </w:tcPr>
          <w:p>
            <w:pPr>
              <w:spacing w:after="0"/>
              <w:rPr>
                <w:sz w:val="20"/>
                <w:szCs w:val="20"/>
                <w:color w:val="auto"/>
              </w:rPr>
            </w:pPr>
            <w:r>
              <w:rPr>
                <w:rFonts w:ascii="Arial" w:cs="Arial" w:eastAsia="Arial" w:hAnsi="Arial"/>
                <w:sz w:val="18"/>
                <w:szCs w:val="18"/>
                <w:color w:val="0000EE"/>
              </w:rPr>
              <w:t>CEO’s Letter</w:t>
            </w:r>
          </w:p>
        </w:tc>
        <w:tc>
          <w:tcPr>
            <w:tcW w:w="200" w:type="dxa"/>
            <w:vAlign w:val="bottom"/>
            <w:gridSpan w:val="2"/>
          </w:tcPr>
          <w:p>
            <w:pPr>
              <w:spacing w:after="0"/>
              <w:rPr>
                <w:sz w:val="20"/>
                <w:szCs w:val="20"/>
                <w:color w:val="auto"/>
              </w:rPr>
            </w:pPr>
            <w:r>
              <w:rPr>
                <w:rFonts w:ascii="Arial" w:cs="Arial" w:eastAsia="Arial" w:hAnsi="Arial"/>
                <w:sz w:val="18"/>
                <w:szCs w:val="18"/>
                <w:color w:val="0000EE"/>
              </w:rPr>
              <w:t>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0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3"/>
              </w:rPr>
              <w:t>Directors and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80" w:type="dxa"/>
            <w:vAlign w:val="bottom"/>
            <w:gridSpan w:val="33"/>
          </w:tcPr>
          <w:p>
            <w:pPr>
              <w:spacing w:after="0" w:line="182" w:lineRule="exact"/>
              <w:rPr>
                <w:sz w:val="20"/>
                <w:szCs w:val="20"/>
                <w:color w:val="auto"/>
              </w:rPr>
            </w:pPr>
            <w:r>
              <w:rPr>
                <w:rFonts w:ascii="Arial" w:cs="Arial" w:eastAsia="Arial" w:hAnsi="Arial"/>
                <w:sz w:val="18"/>
                <w:szCs w:val="18"/>
                <w:color w:val="0000EE"/>
              </w:rPr>
              <w:t>Senior Management</w:t>
            </w:r>
          </w:p>
        </w:tc>
        <w:tc>
          <w:tcPr>
            <w:tcW w:w="1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19"/>
          </w:tcPr>
          <w:p>
            <w:pPr>
              <w:jc w:val="center"/>
              <w:ind w:right="4120"/>
              <w:spacing w:after="0"/>
              <w:rPr>
                <w:sz w:val="20"/>
                <w:szCs w:val="20"/>
                <w:color w:val="auto"/>
              </w:rPr>
            </w:pPr>
            <w:r>
              <w:rPr>
                <w:rFonts w:ascii="Arial" w:cs="Arial" w:eastAsia="Arial" w:hAnsi="Arial"/>
                <w:sz w:val="18"/>
                <w:szCs w:val="18"/>
                <w:b w:val="1"/>
                <w:bCs w:val="1"/>
                <w:color w:val="0000EE"/>
                <w:w w:val="98"/>
              </w:rPr>
              <w:t>PART I</w:t>
            </w: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Item 1.</w:t>
            </w:r>
          </w:p>
        </w:tc>
        <w:tc>
          <w:tcPr>
            <w:tcW w:w="3680" w:type="dxa"/>
            <w:vAlign w:val="bottom"/>
            <w:gridSpan w:val="25"/>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4140" w:type="dxa"/>
            <w:vAlign w:val="bottom"/>
            <w:gridSpan w:val="16"/>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EE"/>
              </w:rPr>
              <w:t>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Risk Factors</w:t>
            </w:r>
          </w:p>
        </w:tc>
        <w:tc>
          <w:tcPr>
            <w:tcW w:w="1180" w:type="dxa"/>
            <w:vAlign w:val="bottom"/>
            <w:gridSpan w:val="3"/>
          </w:tcPr>
          <w:p>
            <w:pPr>
              <w:spacing w:after="0" w:line="182" w:lineRule="exact"/>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Unresolved</w:t>
            </w:r>
          </w:p>
        </w:tc>
        <w:tc>
          <w:tcPr>
            <w:tcW w:w="7400" w:type="dxa"/>
            <w:vAlign w:val="bottom"/>
            <w:gridSpan w:val="37"/>
          </w:tcPr>
          <w:p>
            <w:pPr>
              <w:spacing w:after="0" w:line="182" w:lineRule="exact"/>
              <w:rPr>
                <w:sz w:val="20"/>
                <w:szCs w:val="20"/>
                <w:color w:val="auto"/>
              </w:rPr>
            </w:pPr>
            <w:r>
              <w:rPr>
                <w:rFonts w:ascii="Arial" w:cs="Arial" w:eastAsia="Arial" w:hAnsi="Arial"/>
                <w:sz w:val="18"/>
                <w:szCs w:val="18"/>
                <w:color w:val="0000EE"/>
              </w:rPr>
              <w:t>Staff Comments</w:t>
            </w: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16</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1C.</w:t>
            </w:r>
          </w:p>
        </w:tc>
        <w:tc>
          <w:tcPr>
            <w:tcW w:w="22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Cybersecurity</w:t>
            </w:r>
          </w:p>
        </w:tc>
        <w:tc>
          <w:tcPr>
            <w:tcW w:w="8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16</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Properties</w:t>
            </w:r>
          </w:p>
        </w:tc>
        <w:tc>
          <w:tcPr>
            <w:tcW w:w="28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18</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Legal Proceedings</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20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3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Mine Safety Disclosures</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21</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9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7"/>
              </w:rPr>
              <w:t>Executive Officers of the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gridSpan w:val="26"/>
          </w:tcPr>
          <w:p>
            <w:pPr>
              <w:spacing w:after="0" w:line="182" w:lineRule="exact"/>
              <w:rPr>
                <w:sz w:val="20"/>
                <w:szCs w:val="20"/>
                <w:color w:val="auto"/>
              </w:rPr>
            </w:pPr>
            <w:r>
              <w:rPr>
                <w:rFonts w:ascii="Arial" w:cs="Arial" w:eastAsia="Arial" w:hAnsi="Arial"/>
                <w:sz w:val="18"/>
                <w:szCs w:val="18"/>
                <w:color w:val="0000EE"/>
              </w:rPr>
              <w:t>Registrant and Principal Executive Officers of Subsidiaries</w:t>
            </w: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22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2340" w:type="dxa"/>
            <w:vAlign w:val="bottom"/>
            <w:tcBorders>
              <w:top w:val="single" w:sz="8" w:color="0000EE"/>
            </w:tcBorders>
            <w:gridSpan w:val="10"/>
          </w:tcPr>
          <w:p>
            <w:pPr>
              <w:spacing w:after="0"/>
              <w:rPr>
                <w:sz w:val="24"/>
                <w:szCs w:val="24"/>
                <w:color w:val="auto"/>
              </w:rPr>
            </w:pPr>
          </w:p>
        </w:tc>
        <w:tc>
          <w:tcPr>
            <w:tcW w:w="1780" w:type="dxa"/>
            <w:vAlign w:val="bottom"/>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Item 5.</w:t>
            </w:r>
          </w:p>
        </w:tc>
        <w:tc>
          <w:tcPr>
            <w:tcW w:w="8400" w:type="dxa"/>
            <w:vAlign w:val="bottom"/>
            <w:gridSpan w:val="43"/>
          </w:tcPr>
          <w:p>
            <w:pPr>
              <w:spacing w:after="0"/>
              <w:rPr>
                <w:sz w:val="20"/>
                <w:szCs w:val="20"/>
                <w:color w:val="auto"/>
              </w:rPr>
            </w:pPr>
            <w:r>
              <w:rPr>
                <w:rFonts w:ascii="Arial" w:cs="Arial" w:eastAsia="Arial" w:hAnsi="Arial"/>
                <w:sz w:val="18"/>
                <w:szCs w:val="18"/>
                <w:color w:val="0000EE"/>
                <w:w w:val="99"/>
              </w:rPr>
              <w:t>Market for the Registrant’s Common Equity, Related Stockholder Matters, and Issuer Purchases of Equity</w:t>
            </w:r>
          </w:p>
        </w:tc>
        <w:tc>
          <w:tcPr>
            <w:tcW w:w="1180" w:type="dxa"/>
            <w:vAlign w:val="bottom"/>
            <w:gridSpan w:val="3"/>
            <w:vMerge w:val="restart"/>
          </w:tcPr>
          <w:p>
            <w:pPr>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183"/>
        </w:trPr>
        <w:tc>
          <w:tcPr>
            <w:tcW w:w="166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32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8"/>
              </w:rPr>
              <w:t>Securities</w:t>
            </w:r>
          </w:p>
        </w:tc>
        <w:tc>
          <w:tcPr>
            <w:tcW w:w="7260" w:type="dxa"/>
            <w:vAlign w:val="bottom"/>
            <w:tcBorders>
              <w:top w:val="single" w:sz="8" w:color="0000EE"/>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8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[Reserved]</w:t>
            </w:r>
          </w:p>
        </w:tc>
        <w:tc>
          <w:tcPr>
            <w:tcW w:w="240" w:type="dxa"/>
            <w:vAlign w:val="bottom"/>
            <w:gridSpan w:val="5"/>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gridSpan w:val="3"/>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24</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24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7080" w:type="dxa"/>
            <w:vAlign w:val="bottom"/>
            <w:tcBorders>
              <w:top w:val="single" w:sz="8" w:color="0000EE"/>
            </w:tcBorders>
            <w:gridSpan w:val="39"/>
          </w:tcPr>
          <w:p>
            <w:pPr>
              <w:spacing w:after="0" w:line="182" w:lineRule="exact"/>
              <w:rPr>
                <w:sz w:val="20"/>
                <w:szCs w:val="20"/>
                <w:color w:val="auto"/>
              </w:rPr>
            </w:pPr>
            <w:r>
              <w:rPr>
                <w:rFonts w:ascii="Arial" w:cs="Arial" w:eastAsia="Arial" w:hAnsi="Arial"/>
                <w:sz w:val="18"/>
                <w:szCs w:val="18"/>
                <w:color w:val="0000EE"/>
              </w:rPr>
              <w:t>Critical Accounting Estimates</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24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restart"/>
          </w:tcPr>
          <w:p>
            <w:pPr>
              <w:spacing w:after="0"/>
              <w:rPr>
                <w:sz w:val="20"/>
                <w:szCs w:val="20"/>
                <w:color w:val="auto"/>
              </w:rPr>
            </w:pPr>
            <w:r>
              <w:rPr>
                <w:rFonts w:ascii="Arial" w:cs="Arial" w:eastAsia="Arial" w:hAnsi="Arial"/>
                <w:sz w:val="18"/>
                <w:szCs w:val="18"/>
                <w:color w:val="auto"/>
              </w:rPr>
              <w:t>Item 7A.</w:t>
            </w:r>
          </w:p>
        </w:tc>
        <w:tc>
          <w:tcPr>
            <w:tcW w:w="18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8"/>
              </w:rPr>
              <w:t>Cautionary Information</w:t>
            </w:r>
          </w:p>
        </w:tc>
        <w:tc>
          <w:tcPr>
            <w:tcW w:w="500" w:type="dxa"/>
            <w:vAlign w:val="bottom"/>
            <w:tcBorders>
              <w:top w:val="single" w:sz="8" w:color="0000EE"/>
            </w:tcBorders>
            <w:gridSpan w:val="5"/>
          </w:tcPr>
          <w:p>
            <w:pPr>
              <w:spacing w:after="0"/>
              <w:rPr>
                <w:sz w:val="15"/>
                <w:szCs w:val="15"/>
                <w:color w:val="auto"/>
              </w:rPr>
            </w:pPr>
          </w:p>
        </w:tc>
        <w:tc>
          <w:tcPr>
            <w:tcW w:w="8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38</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39</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26"/>
          </w:tcPr>
          <w:p>
            <w:pPr>
              <w:spacing w:after="0" w:line="182" w:lineRule="exact"/>
              <w:rPr>
                <w:sz w:val="20"/>
                <w:szCs w:val="20"/>
                <w:color w:val="auto"/>
              </w:rPr>
            </w:pPr>
            <w:r>
              <w:rPr>
                <w:rFonts w:ascii="Arial" w:cs="Arial" w:eastAsia="Arial" w:hAnsi="Arial"/>
                <w:sz w:val="18"/>
                <w:szCs w:val="18"/>
                <w:color w:val="0000EE"/>
                <w:w w:val="99"/>
              </w:rPr>
              <w:t>Financial Statements and Supplementary Data</w:t>
            </w:r>
          </w:p>
        </w:tc>
        <w:tc>
          <w:tcPr>
            <w:tcW w:w="980" w:type="dxa"/>
            <w:vAlign w:val="bottom"/>
            <w:tcBorders>
              <w:top w:val="single" w:sz="8" w:color="0000EE"/>
            </w:tcBorders>
            <w:gridSpan w:val="8"/>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restart"/>
          </w:tcPr>
          <w:p>
            <w:pPr>
              <w:spacing w:after="0"/>
              <w:rPr>
                <w:sz w:val="20"/>
                <w:szCs w:val="20"/>
                <w:color w:val="auto"/>
              </w:rPr>
            </w:pPr>
            <w:r>
              <w:rPr>
                <w:rFonts w:ascii="Arial" w:cs="Arial" w:eastAsia="Arial" w:hAnsi="Arial"/>
                <w:sz w:val="18"/>
                <w:szCs w:val="18"/>
                <w:color w:val="auto"/>
              </w:rPr>
              <w:t>Item 9.</w:t>
            </w:r>
          </w:p>
        </w:tc>
        <w:tc>
          <w:tcPr>
            <w:tcW w:w="4620" w:type="dxa"/>
            <w:vAlign w:val="bottom"/>
            <w:tcBorders>
              <w:bottom w:val="single" w:sz="8" w:color="0000EE"/>
            </w:tcBorders>
            <w:gridSpan w:val="33"/>
          </w:tcPr>
          <w:p>
            <w:pPr>
              <w:spacing w:after="0" w:line="182" w:lineRule="exact"/>
              <w:rPr>
                <w:sz w:val="20"/>
                <w:szCs w:val="20"/>
                <w:color w:val="auto"/>
              </w:rPr>
            </w:pPr>
            <w:r>
              <w:rPr>
                <w:rFonts w:ascii="Arial" w:cs="Arial" w:eastAsia="Arial" w:hAnsi="Arial"/>
                <w:sz w:val="18"/>
                <w:szCs w:val="18"/>
                <w:color w:val="0000EE"/>
                <w:w w:val="99"/>
              </w:rPr>
              <w:t>Report of Independent Registered Public Accounting Firm</w:t>
            </w:r>
          </w:p>
        </w:tc>
        <w:tc>
          <w:tcPr>
            <w:tcW w:w="3780" w:type="dxa"/>
            <w:vAlign w:val="bottom"/>
            <w:gridSpan w:val="10"/>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72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2000" w:type="dxa"/>
            <w:vAlign w:val="bottom"/>
            <w:tcBorders>
              <w:top w:val="single" w:sz="8" w:color="0000EE"/>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Controls and Procedures</w:t>
            </w:r>
          </w:p>
        </w:tc>
        <w:tc>
          <w:tcPr>
            <w:tcW w:w="5120" w:type="dxa"/>
            <w:vAlign w:val="bottom"/>
            <w:tcBorders>
              <w:top w:val="single" w:sz="8" w:color="0000EE"/>
            </w:tcBorders>
            <w:gridSpan w:val="23"/>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Management’s Annual Report on Internal Control Over Financial Reporting</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72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restart"/>
          </w:tcPr>
          <w:p>
            <w:pPr>
              <w:spacing w:after="0"/>
              <w:rPr>
                <w:sz w:val="20"/>
                <w:szCs w:val="20"/>
                <w:color w:val="auto"/>
              </w:rPr>
            </w:pPr>
            <w:r>
              <w:rPr>
                <w:rFonts w:ascii="Arial" w:cs="Arial" w:eastAsia="Arial" w:hAnsi="Arial"/>
                <w:sz w:val="18"/>
                <w:szCs w:val="18"/>
                <w:color w:val="auto"/>
              </w:rPr>
              <w:t>Item 9B.</w:t>
            </w:r>
          </w:p>
        </w:tc>
        <w:tc>
          <w:tcPr>
            <w:tcW w:w="5940" w:type="dxa"/>
            <w:vAlign w:val="bottom"/>
            <w:tcBorders>
              <w:top w:val="single" w:sz="8" w:color="0000EE"/>
            </w:tcBorders>
            <w:gridSpan w:val="36"/>
          </w:tcPr>
          <w:p>
            <w:pPr>
              <w:spacing w:after="0" w:line="182" w:lineRule="exact"/>
              <w:rPr>
                <w:sz w:val="20"/>
                <w:szCs w:val="20"/>
                <w:color w:val="auto"/>
              </w:rPr>
            </w:pPr>
            <w:r>
              <w:rPr>
                <w:rFonts w:ascii="Arial" w:cs="Arial" w:eastAsia="Arial" w:hAnsi="Arial"/>
                <w:sz w:val="18"/>
                <w:szCs w:val="18"/>
                <w:color w:val="0000EE"/>
              </w:rPr>
              <w:t>Report of Independent Registered Public Accounting Firm</w:t>
            </w:r>
          </w:p>
        </w:tc>
        <w:tc>
          <w:tcPr>
            <w:tcW w:w="120" w:type="dxa"/>
            <w:vAlign w:val="bottom"/>
          </w:tcPr>
          <w:p>
            <w:pPr>
              <w:spacing w:after="0"/>
              <w:rPr>
                <w:sz w:val="15"/>
                <w:szCs w:val="15"/>
                <w:color w:val="auto"/>
              </w:rPr>
            </w:pPr>
          </w:p>
        </w:tc>
        <w:tc>
          <w:tcPr>
            <w:tcW w:w="1940" w:type="dxa"/>
            <w:vAlign w:val="bottom"/>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73</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140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8"/>
              </w:rPr>
              <w:t>Other Information</w:t>
            </w:r>
          </w:p>
        </w:tc>
        <w:tc>
          <w:tcPr>
            <w:tcW w:w="3200" w:type="dxa"/>
            <w:vAlign w:val="bottom"/>
            <w:tcBorders>
              <w:top w:val="single" w:sz="8" w:color="0000EE"/>
            </w:tcBorders>
            <w:gridSpan w:val="21"/>
          </w:tcPr>
          <w:p>
            <w:pPr>
              <w:spacing w:after="0"/>
              <w:rPr>
                <w:sz w:val="15"/>
                <w:szCs w:val="15"/>
                <w:color w:val="auto"/>
              </w:rPr>
            </w:pPr>
          </w:p>
        </w:tc>
        <w:tc>
          <w:tcPr>
            <w:tcW w:w="800" w:type="dxa"/>
            <w:vAlign w:val="bottom"/>
            <w:gridSpan w:val="3"/>
          </w:tcPr>
          <w:p>
            <w:pPr>
              <w:spacing w:after="0"/>
              <w:rPr>
                <w:sz w:val="15"/>
                <w:szCs w:val="15"/>
                <w:color w:val="auto"/>
              </w:rPr>
            </w:pPr>
          </w:p>
        </w:tc>
        <w:tc>
          <w:tcPr>
            <w:tcW w:w="660" w:type="dxa"/>
            <w:vAlign w:val="bottom"/>
            <w:gridSpan w:val="2"/>
          </w:tcPr>
          <w:p>
            <w:pPr>
              <w:spacing w:after="0"/>
              <w:rPr>
                <w:sz w:val="15"/>
                <w:szCs w:val="15"/>
                <w:color w:val="auto"/>
              </w:rPr>
            </w:pPr>
          </w:p>
        </w:tc>
        <w:tc>
          <w:tcPr>
            <w:tcW w:w="1940" w:type="dxa"/>
            <w:vAlign w:val="bottom"/>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5400" w:type="dxa"/>
            <w:vAlign w:val="bottom"/>
            <w:tcBorders>
              <w:bottom w:val="single" w:sz="8" w:color="0000EE"/>
            </w:tcBorders>
            <w:gridSpan w:val="35"/>
          </w:tcPr>
          <w:p>
            <w:pPr>
              <w:spacing w:after="0" w:line="182" w:lineRule="exact"/>
              <w:rPr>
                <w:sz w:val="20"/>
                <w:szCs w:val="20"/>
                <w:color w:val="auto"/>
              </w:rPr>
            </w:pPr>
            <w:r>
              <w:rPr>
                <w:rFonts w:ascii="Arial" w:cs="Arial" w:eastAsia="Arial" w:hAnsi="Arial"/>
                <w:sz w:val="18"/>
                <w:szCs w:val="18"/>
                <w:color w:val="0000EE"/>
                <w:w w:val="99"/>
              </w:rPr>
              <w:t>Disclosure Regarding Foreign Jurisdictions that Prevent Inspections</w:t>
            </w:r>
          </w:p>
        </w:tc>
        <w:tc>
          <w:tcPr>
            <w:tcW w:w="3000" w:type="dxa"/>
            <w:vAlign w:val="bottom"/>
            <w:gridSpan w:val="8"/>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gridSpan w:val="20"/>
          </w:tcPr>
          <w:p>
            <w:pPr>
              <w:jc w:val="center"/>
              <w:ind w:right="4100"/>
              <w:spacing w:after="0"/>
              <w:rPr>
                <w:sz w:val="20"/>
                <w:szCs w:val="20"/>
                <w:color w:val="auto"/>
              </w:rPr>
            </w:pPr>
            <w:r>
              <w:rPr>
                <w:rFonts w:ascii="Arial" w:cs="Arial" w:eastAsia="Arial" w:hAnsi="Arial"/>
                <w:sz w:val="18"/>
                <w:szCs w:val="18"/>
                <w:b w:val="1"/>
                <w:bCs w:val="1"/>
                <w:color w:val="0000EE"/>
                <w:w w:val="98"/>
              </w:rPr>
              <w:t>PART III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Item 10.</w:t>
            </w:r>
          </w:p>
        </w:tc>
        <w:tc>
          <w:tcPr>
            <w:tcW w:w="8400" w:type="dxa"/>
            <w:vAlign w:val="bottom"/>
            <w:gridSpan w:val="43"/>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1180" w:type="dxa"/>
            <w:vAlign w:val="bottom"/>
            <w:gridSpan w:val="3"/>
          </w:tcPr>
          <w:p>
            <w:pPr>
              <w:spacing w:after="0"/>
              <w:rPr>
                <w:sz w:val="20"/>
                <w:szCs w:val="20"/>
                <w:color w:val="auto"/>
              </w:rPr>
            </w:pPr>
            <w:r>
              <w:rPr>
                <w:rFonts w:ascii="Arial" w:cs="Arial" w:eastAsia="Arial" w:hAnsi="Arial"/>
                <w:sz w:val="18"/>
                <w:szCs w:val="18"/>
                <w:color w:val="0000EE"/>
              </w:rPr>
              <w:t>74</w:t>
            </w: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540" w:type="dxa"/>
            <w:vAlign w:val="bottom"/>
            <w:tcBorders>
              <w:top w:val="single" w:sz="8" w:color="0000EE"/>
            </w:tcBorders>
            <w:gridSpan w:val="31"/>
          </w:tcPr>
          <w:p>
            <w:pPr>
              <w:spacing w:after="0" w:line="182" w:lineRule="exact"/>
              <w:rPr>
                <w:sz w:val="20"/>
                <w:szCs w:val="20"/>
                <w:color w:val="auto"/>
              </w:rPr>
            </w:pPr>
            <w:r>
              <w:rPr>
                <w:rFonts w:ascii="Arial" w:cs="Arial" w:eastAsia="Arial" w:hAnsi="Arial"/>
                <w:sz w:val="18"/>
                <w:szCs w:val="18"/>
                <w:color w:val="0000EE"/>
              </w:rPr>
              <w:t>Executive Compensation</w:t>
            </w:r>
          </w:p>
        </w:tc>
        <w:tc>
          <w:tcPr>
            <w:tcW w:w="1520" w:type="dxa"/>
            <w:vAlign w:val="bottom"/>
            <w:gridSpan w:val="6"/>
          </w:tcPr>
          <w:p>
            <w:pPr>
              <w:spacing w:after="0"/>
              <w:rPr>
                <w:sz w:val="15"/>
                <w:szCs w:val="15"/>
                <w:color w:val="auto"/>
              </w:rPr>
            </w:pPr>
          </w:p>
        </w:tc>
        <w:tc>
          <w:tcPr>
            <w:tcW w:w="1940" w:type="dxa"/>
            <w:vAlign w:val="bottom"/>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202" w:lineRule="exact"/>
              <w:rPr>
                <w:sz w:val="20"/>
                <w:szCs w:val="20"/>
                <w:color w:val="auto"/>
              </w:rPr>
            </w:pPr>
            <w:r>
              <w:rPr>
                <w:rFonts w:ascii="Arial" w:cs="Arial" w:eastAsia="Arial" w:hAnsi="Arial"/>
                <w:sz w:val="18"/>
                <w:szCs w:val="18"/>
                <w:color w:val="auto"/>
              </w:rPr>
              <w:t>Item 12.</w:t>
            </w:r>
          </w:p>
        </w:tc>
        <w:tc>
          <w:tcPr>
            <w:tcW w:w="8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8400" w:type="dxa"/>
            <w:vAlign w:val="bottom"/>
            <w:gridSpan w:val="43"/>
          </w:tcPr>
          <w:p>
            <w:pPr>
              <w:spacing w:after="0" w:line="182"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75</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41"/>
          </w:tcPr>
          <w:p>
            <w:pPr>
              <w:spacing w:after="0" w:line="182"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400" w:type="dxa"/>
            <w:vAlign w:val="bottom"/>
            <w:gridSpan w:val="2"/>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75</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37"/>
          </w:tcPr>
          <w:p>
            <w:pPr>
              <w:spacing w:after="0" w:line="182" w:lineRule="exact"/>
              <w:rPr>
                <w:sz w:val="20"/>
                <w:szCs w:val="20"/>
                <w:color w:val="auto"/>
              </w:rPr>
            </w:pPr>
            <w:r>
              <w:rPr>
                <w:rFonts w:ascii="Arial" w:cs="Arial" w:eastAsia="Arial" w:hAnsi="Arial"/>
                <w:sz w:val="18"/>
                <w:szCs w:val="18"/>
                <w:color w:val="0000EE"/>
              </w:rPr>
              <w:t>Principal Accountant Fees and Services</w:t>
            </w:r>
          </w:p>
        </w:tc>
        <w:tc>
          <w:tcPr>
            <w:tcW w:w="2340" w:type="dxa"/>
            <w:vAlign w:val="bottom"/>
            <w:gridSpan w:val="6"/>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75</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4080" w:type="dxa"/>
            <w:vAlign w:val="bottom"/>
            <w:gridSpan w:val="13"/>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spacing w:after="0"/>
              <w:rPr>
                <w:sz w:val="20"/>
                <w:szCs w:val="20"/>
                <w:color w:val="auto"/>
              </w:rPr>
            </w:pPr>
            <w:r>
              <w:rPr>
                <w:rFonts w:ascii="Arial" w:cs="Arial" w:eastAsia="Arial" w:hAnsi="Arial"/>
                <w:sz w:val="18"/>
                <w:szCs w:val="18"/>
                <w:color w:val="auto"/>
              </w:rPr>
              <w:t>Item 15.</w:t>
            </w:r>
          </w:p>
        </w:tc>
        <w:tc>
          <w:tcPr>
            <w:tcW w:w="8400" w:type="dxa"/>
            <w:vAlign w:val="bottom"/>
            <w:gridSpan w:val="43"/>
          </w:tcPr>
          <w:p>
            <w:pPr>
              <w:spacing w:after="0"/>
              <w:rPr>
                <w:sz w:val="20"/>
                <w:szCs w:val="20"/>
                <w:color w:val="auto"/>
              </w:rPr>
            </w:pPr>
            <w:r>
              <w:rPr>
                <w:rFonts w:ascii="Arial" w:cs="Arial" w:eastAsia="Arial" w:hAnsi="Arial"/>
                <w:sz w:val="18"/>
                <w:szCs w:val="18"/>
                <w:color w:val="0000EE"/>
              </w:rPr>
              <w:t>Exhibit and Financial Statement Schedules</w:t>
            </w:r>
          </w:p>
        </w:tc>
        <w:tc>
          <w:tcPr>
            <w:tcW w:w="1180" w:type="dxa"/>
            <w:vAlign w:val="bottom"/>
            <w:gridSpan w:val="3"/>
          </w:tcPr>
          <w:p>
            <w:pPr>
              <w:spacing w:after="0"/>
              <w:rPr>
                <w:sz w:val="20"/>
                <w:szCs w:val="20"/>
                <w:color w:val="auto"/>
              </w:rPr>
            </w:pPr>
            <w:r>
              <w:rPr>
                <w:rFonts w:ascii="Arial" w:cs="Arial" w:eastAsia="Arial" w:hAnsi="Arial"/>
                <w:sz w:val="18"/>
                <w:szCs w:val="18"/>
                <w:color w:val="0000EE"/>
              </w:rPr>
              <w:t>75</w:t>
            </w:r>
          </w:p>
        </w:tc>
        <w:tc>
          <w:tcPr>
            <w:tcW w:w="0" w:type="dxa"/>
            <w:vAlign w:val="bottom"/>
          </w:tcPr>
          <w:p>
            <w:pPr>
              <w:spacing w:after="0"/>
              <w:rPr>
                <w:sz w:val="1"/>
                <w:szCs w:val="1"/>
                <w:color w:val="auto"/>
              </w:rPr>
            </w:pPr>
          </w:p>
        </w:tc>
      </w:tr>
      <w:tr>
        <w:trPr>
          <w:trHeight w:val="183"/>
        </w:trPr>
        <w:tc>
          <w:tcPr>
            <w:tcW w:w="166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34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Form 10-K Summary</w:t>
            </w:r>
          </w:p>
        </w:tc>
        <w:tc>
          <w:tcPr>
            <w:tcW w:w="4980" w:type="dxa"/>
            <w:vAlign w:val="bottom"/>
            <w:gridSpan w:val="21"/>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79</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166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Signatures</w:t>
            </w:r>
          </w:p>
        </w:tc>
        <w:tc>
          <w:tcPr>
            <w:tcW w:w="6740" w:type="dxa"/>
            <w:vAlign w:val="bottom"/>
            <w:gridSpan w:val="30"/>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80</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860" w:type="dxa"/>
            <w:vAlign w:val="bottom"/>
            <w:tcBorders>
              <w:top w:val="single" w:sz="8" w:color="0000EE"/>
              <w:bottom w:val="single" w:sz="8" w:color="auto"/>
            </w:tcBorders>
            <w:gridSpan w:val="4"/>
          </w:tcPr>
          <w:p>
            <w:pPr>
              <w:spacing w:after="0" w:line="182" w:lineRule="exact"/>
              <w:rPr>
                <w:sz w:val="20"/>
                <w:szCs w:val="20"/>
                <w:color w:val="auto"/>
              </w:rPr>
            </w:pPr>
            <w:r>
              <w:rPr>
                <w:rFonts w:ascii="Arial" w:cs="Arial" w:eastAsia="Arial" w:hAnsi="Arial"/>
                <w:sz w:val="18"/>
                <w:szCs w:val="18"/>
                <w:color w:val="auto"/>
                <w:w w:val="80"/>
              </w:rPr>
              <w:t>Certifications</w:t>
            </w:r>
          </w:p>
        </w:tc>
        <w:tc>
          <w:tcPr>
            <w:tcW w:w="180" w:type="dxa"/>
            <w:vAlign w:val="bottom"/>
            <w:tcBorders>
              <w:bottom w:val="single" w:sz="8" w:color="auto"/>
            </w:tcBorders>
            <w:gridSpan w:val="4"/>
          </w:tcPr>
          <w:p>
            <w:pPr>
              <w:spacing w:after="0"/>
              <w:rPr>
                <w:sz w:val="15"/>
                <w:szCs w:val="15"/>
                <w:color w:val="auto"/>
              </w:rPr>
            </w:pPr>
          </w:p>
        </w:tc>
        <w:tc>
          <w:tcPr>
            <w:tcW w:w="7360" w:type="dxa"/>
            <w:vAlign w:val="bottom"/>
            <w:gridSpan w:val="35"/>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auto"/>
                <w:w w:val="89"/>
              </w:rPr>
              <w:t>81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1660" w:type="dxa"/>
            <w:vAlign w:val="bottom"/>
          </w:tcPr>
          <w:p>
            <w:pPr>
              <w:spacing w:after="0"/>
              <w:rPr>
                <w:sz w:val="24"/>
                <w:szCs w:val="24"/>
                <w:color w:val="auto"/>
              </w:rPr>
            </w:pPr>
          </w:p>
        </w:tc>
        <w:tc>
          <w:tcPr>
            <w:tcW w:w="4260" w:type="dxa"/>
            <w:vAlign w:val="bottom"/>
            <w:gridSpan w:val="27"/>
          </w:tcPr>
          <w:p>
            <w:pPr>
              <w:jc w:val="center"/>
              <w:ind w:left="359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2024</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Fellow Shareholders:</w:t>
      </w:r>
    </w:p>
    <w:p>
      <w:pPr>
        <w:spacing w:after="0" w:line="198" w:lineRule="exact"/>
        <w:rPr>
          <w:sz w:val="20"/>
          <w:szCs w:val="20"/>
          <w:color w:val="auto"/>
        </w:rPr>
      </w:pPr>
    </w:p>
    <w:p>
      <w:pPr>
        <w:jc w:val="both"/>
        <w:ind w:left="160"/>
        <w:spacing w:after="0" w:line="271" w:lineRule="auto"/>
        <w:rPr>
          <w:sz w:val="20"/>
          <w:szCs w:val="20"/>
          <w:color w:val="auto"/>
        </w:rPr>
      </w:pPr>
      <w:r>
        <w:rPr>
          <w:rFonts w:ascii="Arial" w:cs="Arial" w:eastAsia="Arial" w:hAnsi="Arial"/>
          <w:sz w:val="18"/>
          <w:szCs w:val="18"/>
          <w:color w:val="auto"/>
        </w:rPr>
        <w:t>As Union Pacific shareholders, we own a piece of history. Over the course of 161 years, our Company is built to handle inevitable changes and challenges of business cycles while seeking ways to innovate and grow. 2023 was no different.</w:t>
      </w:r>
    </w:p>
    <w:p>
      <w:pPr>
        <w:spacing w:after="0" w:line="140"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This year, I assumed the role of Chief Executive Officer, and Lance Fritz retired after a distinguished career. At that time, we also split the roles of Chairman and CEO and Mike McCarthy, was named Chairman of the Board of Directors. The transition was seamless, a credit to the Board, Lance, and the management team.</w:t>
      </w:r>
    </w:p>
    <w:p>
      <w:pPr>
        <w:spacing w:after="0" w:line="155" w:lineRule="exact"/>
        <w:rPr>
          <w:sz w:val="20"/>
          <w:szCs w:val="20"/>
          <w:color w:val="auto"/>
        </w:rPr>
      </w:pPr>
    </w:p>
    <w:p>
      <w:pPr>
        <w:jc w:val="both"/>
        <w:ind w:left="160"/>
        <w:spacing w:after="0" w:line="247" w:lineRule="auto"/>
        <w:rPr>
          <w:sz w:val="20"/>
          <w:szCs w:val="20"/>
          <w:color w:val="auto"/>
        </w:rPr>
      </w:pPr>
      <w:r>
        <w:rPr>
          <w:rFonts w:ascii="Arial" w:cs="Arial" w:eastAsia="Arial" w:hAnsi="Arial"/>
          <w:sz w:val="18"/>
          <w:szCs w:val="18"/>
          <w:color w:val="auto"/>
        </w:rPr>
        <w:t>Since becoming CEO, I have focused the team on a multi-year strategy of “Safety + Service &amp; Operational Excellence = Growth.” Safety must always be our first area of focus, returning everyone home safely each day. Service is all about delivering what we sold our customers, committing to what we can do and doing it with excellence. Operational Excellence is about operating efficiently and productively while maintaining a buffer to handle ups and downs of railroading.</w:t>
      </w:r>
    </w:p>
    <w:p>
      <w:pPr>
        <w:spacing w:after="0" w:line="160" w:lineRule="exact"/>
        <w:rPr>
          <w:sz w:val="20"/>
          <w:szCs w:val="20"/>
          <w:color w:val="auto"/>
        </w:rPr>
      </w:pPr>
    </w:p>
    <w:p>
      <w:pPr>
        <w:jc w:val="both"/>
        <w:ind w:left="160"/>
        <w:spacing w:after="0" w:line="242" w:lineRule="auto"/>
        <w:rPr>
          <w:sz w:val="20"/>
          <w:szCs w:val="20"/>
          <w:color w:val="auto"/>
        </w:rPr>
      </w:pPr>
      <w:r>
        <w:rPr>
          <w:rFonts w:ascii="Arial" w:cs="Arial" w:eastAsia="Arial" w:hAnsi="Arial"/>
          <w:sz w:val="18"/>
          <w:szCs w:val="18"/>
          <w:color w:val="auto"/>
        </w:rPr>
        <w:t>In the second half of 2023, we achieved great momentum as the team united to deliver a shared strategy. Our fourth quarter operating metrics were the best of the year. We exited the year with a stronger service product and fluid network. Our Fourth Quarter financial results also demonstrated momentum as we achieved sequential quarterly margin improvement. For 2023, we reported earnings per diluted share of $10.45, a 7% decrease versus 2022, reflecting 1% lower volumes and an operating ratio increase of 220 basis points. To support our service product and growth, we invested $3.7 billion back into our network. Soft consumer markets, continued inflationary pressures, and new labor agreements all impacted financial results.</w:t>
      </w:r>
    </w:p>
    <w:p>
      <w:pPr>
        <w:spacing w:after="0" w:line="165"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As we turn the page to 2024, we are looking at the opportunities ahead. The entire Union Pacific team is focused on being the industry’s best in safety, service, and operational excellence. That strategy leads to long-term growth and provides you with industry-leading returns on your investment. It’s how we win.</w:t>
      </w:r>
    </w:p>
    <w:p>
      <w:pPr>
        <w:spacing w:after="0" w:line="155"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We understand that we hold the keys to an iconic company that helped Build America. We are propelled by that history and recognize we have an important responsibility to deliver for our stakeholders. We are grateful for this opportunity and thank you for your ownership of Union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110490</wp:posOffset>
            </wp:positionV>
            <wp:extent cx="1165860" cy="556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28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DIRECTORS AND SENIOR MANAGEMENT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BOARD OF DIRECTORS</w:t>
            </w:r>
          </w:p>
        </w:tc>
        <w:tc>
          <w:tcPr>
            <w:tcW w:w="4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William J. DeLaney</w:t>
            </w:r>
          </w:p>
        </w:tc>
        <w:tc>
          <w:tcPr>
            <w:tcW w:w="4120" w:type="dxa"/>
            <w:vAlign w:val="bottom"/>
          </w:tcPr>
          <w:p>
            <w:pPr>
              <w:ind w:left="420"/>
              <w:spacing w:after="0"/>
              <w:rPr>
                <w:sz w:val="20"/>
                <w:szCs w:val="20"/>
                <w:color w:val="auto"/>
              </w:rPr>
            </w:pPr>
            <w:r>
              <w:rPr>
                <w:rFonts w:ascii="Arial" w:cs="Arial" w:eastAsia="Arial" w:hAnsi="Arial"/>
                <w:sz w:val="18"/>
                <w:szCs w:val="18"/>
                <w:b w:val="1"/>
                <w:bCs w:val="1"/>
                <w:color w:val="auto"/>
              </w:rPr>
              <w:t>Deborah C. Hopkins</w:t>
            </w:r>
          </w:p>
        </w:tc>
        <w:tc>
          <w:tcPr>
            <w:tcW w:w="3580" w:type="dxa"/>
            <w:vAlign w:val="bottom"/>
          </w:tcPr>
          <w:p>
            <w:pPr>
              <w:ind w:left="220"/>
              <w:spacing w:after="0"/>
              <w:rPr>
                <w:sz w:val="20"/>
                <w:szCs w:val="20"/>
                <w:color w:val="auto"/>
              </w:rPr>
            </w:pPr>
            <w:r>
              <w:rPr>
                <w:rFonts w:ascii="Arial" w:cs="Arial" w:eastAsia="Arial" w:hAnsi="Arial"/>
                <w:sz w:val="18"/>
                <w:szCs w:val="18"/>
                <w:b w:val="1"/>
                <w:bCs w:val="1"/>
                <w:color w:val="auto"/>
              </w:rPr>
              <w:t>John K. Tien, Jr.</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Former Chief Executive Officer - Sysco</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Former Chief Executive Officer - Citi</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Former Deputy Secretary - U.S.</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Corporation</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Ventures and Former Chief Innovation</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Department of Homeland Security</w:t>
            </w:r>
          </w:p>
        </w:tc>
        <w:tc>
          <w:tcPr>
            <w:tcW w:w="0" w:type="dxa"/>
            <w:vAlign w:val="bottom"/>
          </w:tcPr>
          <w:p>
            <w:pPr>
              <w:spacing w:after="0"/>
              <w:rPr>
                <w:sz w:val="1"/>
                <w:szCs w:val="1"/>
                <w:color w:val="auto"/>
              </w:rPr>
            </w:pPr>
          </w:p>
        </w:tc>
      </w:tr>
      <w:tr>
        <w:trPr>
          <w:trHeight w:val="204"/>
        </w:trPr>
        <w:tc>
          <w:tcPr>
            <w:tcW w:w="3540" w:type="dxa"/>
            <w:vAlign w:val="bottom"/>
            <w:gridSpan w:val="2"/>
          </w:tcPr>
          <w:p>
            <w:pPr>
              <w:spacing w:after="0" w:line="205" w:lineRule="exact"/>
              <w:rPr>
                <w:sz w:val="20"/>
                <w:szCs w:val="20"/>
                <w:color w:val="auto"/>
              </w:rPr>
            </w:pPr>
            <w:r>
              <w:rPr>
                <w:rFonts w:ascii="Arial" w:cs="Arial" w:eastAsia="Arial" w:hAnsi="Arial"/>
                <w:sz w:val="18"/>
                <w:szCs w:val="18"/>
                <w:i w:val="1"/>
                <w:iCs w:val="1"/>
                <w:color w:val="auto"/>
              </w:rPr>
              <w:t>Board Committees: Compensation and</w:t>
            </w:r>
          </w:p>
        </w:tc>
        <w:tc>
          <w:tcPr>
            <w:tcW w:w="4120" w:type="dxa"/>
            <w:vAlign w:val="bottom"/>
          </w:tcPr>
          <w:p>
            <w:pPr>
              <w:ind w:left="420"/>
              <w:spacing w:after="0" w:line="205" w:lineRule="exact"/>
              <w:rPr>
                <w:sz w:val="20"/>
                <w:szCs w:val="20"/>
                <w:color w:val="auto"/>
              </w:rPr>
            </w:pPr>
            <w:r>
              <w:rPr>
                <w:rFonts w:ascii="Arial" w:cs="Arial" w:eastAsia="Arial" w:hAnsi="Arial"/>
                <w:sz w:val="18"/>
                <w:szCs w:val="18"/>
                <w:color w:val="auto"/>
              </w:rPr>
              <w:t>Officer - Citi</w:t>
            </w:r>
          </w:p>
        </w:tc>
        <w:tc>
          <w:tcPr>
            <w:tcW w:w="3580" w:type="dxa"/>
            <w:vAlign w:val="bottom"/>
          </w:tcPr>
          <w:p>
            <w:pPr>
              <w:ind w:left="220"/>
              <w:spacing w:after="0" w:line="205" w:lineRule="exact"/>
              <w:rPr>
                <w:sz w:val="20"/>
                <w:szCs w:val="20"/>
                <w:color w:val="auto"/>
              </w:rPr>
            </w:pPr>
            <w:r>
              <w:rPr>
                <w:rFonts w:ascii="Arial" w:cs="Arial" w:eastAsia="Arial" w:hAnsi="Arial"/>
                <w:sz w:val="18"/>
                <w:szCs w:val="18"/>
                <w:i w:val="1"/>
                <w:iCs w:val="1"/>
                <w:color w:val="auto"/>
              </w:rPr>
              <w:t>Board Committees: Pending Assignment</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Benefits (Chair); Safety and Service</w:t>
            </w:r>
          </w:p>
        </w:tc>
        <w:tc>
          <w:tcPr>
            <w:tcW w:w="4120" w:type="dxa"/>
            <w:vAlign w:val="bottom"/>
          </w:tcPr>
          <w:p>
            <w:pPr>
              <w:ind w:left="420"/>
              <w:spacing w:after="0" w:line="202" w:lineRule="exact"/>
              <w:rPr>
                <w:sz w:val="20"/>
                <w:szCs w:val="20"/>
                <w:color w:val="auto"/>
              </w:rPr>
            </w:pPr>
            <w:r>
              <w:rPr>
                <w:rFonts w:ascii="Arial" w:cs="Arial" w:eastAsia="Arial" w:hAnsi="Arial"/>
                <w:sz w:val="18"/>
                <w:szCs w:val="18"/>
                <w:i w:val="1"/>
                <w:iCs w:val="1"/>
                <w:color w:val="auto"/>
              </w:rPr>
              <w:t>Board Committees: Compensation and</w:t>
            </w:r>
          </w:p>
        </w:tc>
        <w:tc>
          <w:tcPr>
            <w:tcW w:w="3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V. James Vena</w:t>
            </w:r>
          </w:p>
        </w:tc>
        <w:tc>
          <w:tcPr>
            <w:tcW w:w="0" w:type="dxa"/>
            <w:vAlign w:val="bottom"/>
          </w:tcPr>
          <w:p>
            <w:pPr>
              <w:spacing w:after="0"/>
              <w:rPr>
                <w:sz w:val="1"/>
                <w:szCs w:val="1"/>
                <w:color w:val="auto"/>
              </w:rPr>
            </w:pPr>
          </w:p>
        </w:tc>
      </w:tr>
      <w:tr>
        <w:trPr>
          <w:trHeight w:val="200"/>
        </w:trPr>
        <w:tc>
          <w:tcPr>
            <w:tcW w:w="35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Quality</w:t>
            </w:r>
          </w:p>
        </w:tc>
        <w:tc>
          <w:tcPr>
            <w:tcW w:w="4120" w:type="dxa"/>
            <w:vAlign w:val="bottom"/>
          </w:tcPr>
          <w:p>
            <w:pPr>
              <w:ind w:left="420"/>
              <w:spacing w:after="0" w:line="201" w:lineRule="exact"/>
              <w:rPr>
                <w:sz w:val="20"/>
                <w:szCs w:val="20"/>
                <w:color w:val="auto"/>
              </w:rPr>
            </w:pPr>
            <w:r>
              <w:rPr>
                <w:rFonts w:ascii="Arial" w:cs="Arial" w:eastAsia="Arial" w:hAnsi="Arial"/>
                <w:sz w:val="18"/>
                <w:szCs w:val="18"/>
                <w:i w:val="1"/>
                <w:iCs w:val="1"/>
                <w:color w:val="auto"/>
              </w:rPr>
              <w:t>Benefits; Finance (Chair)</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Chief Executive Officer - Union Pacific</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David B. Dillon</w:t>
            </w:r>
          </w:p>
        </w:tc>
        <w:tc>
          <w:tcPr>
            <w:tcW w:w="412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Jane H. Lute</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Corporation and Union Pacific Railroad</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Former Chairman and CEO - The Kroger</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Strategic Advisor - SICPA, North America</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05"/>
        </w:trPr>
        <w:tc>
          <w:tcPr>
            <w:tcW w:w="3540" w:type="dxa"/>
            <w:vAlign w:val="bottom"/>
            <w:gridSpan w:val="2"/>
          </w:tcPr>
          <w:p>
            <w:pPr>
              <w:spacing w:after="0" w:line="205" w:lineRule="exact"/>
              <w:rPr>
                <w:sz w:val="20"/>
                <w:szCs w:val="20"/>
                <w:color w:val="auto"/>
              </w:rPr>
            </w:pPr>
            <w:r>
              <w:rPr>
                <w:rFonts w:ascii="Arial" w:cs="Arial" w:eastAsia="Arial" w:hAnsi="Arial"/>
                <w:sz w:val="18"/>
                <w:szCs w:val="18"/>
                <w:color w:val="auto"/>
              </w:rPr>
              <w:t>Company</w:t>
            </w:r>
          </w:p>
        </w:tc>
        <w:tc>
          <w:tcPr>
            <w:tcW w:w="4120" w:type="dxa"/>
            <w:vAlign w:val="bottom"/>
          </w:tcPr>
          <w:p>
            <w:pPr>
              <w:ind w:left="420"/>
              <w:spacing w:after="0" w:line="205" w:lineRule="exact"/>
              <w:rPr>
                <w:sz w:val="20"/>
                <w:szCs w:val="20"/>
                <w:color w:val="auto"/>
              </w:rPr>
            </w:pPr>
            <w:r>
              <w:rPr>
                <w:rFonts w:ascii="Arial" w:cs="Arial" w:eastAsia="Arial" w:hAnsi="Arial"/>
                <w:sz w:val="18"/>
                <w:szCs w:val="18"/>
                <w:i w:val="1"/>
                <w:iCs w:val="1"/>
                <w:color w:val="auto"/>
              </w:rPr>
              <w:t>Board Committees: Audit; Safety and</w:t>
            </w:r>
          </w:p>
        </w:tc>
        <w:tc>
          <w:tcPr>
            <w:tcW w:w="3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John P. Wiehoff</w:t>
            </w:r>
          </w:p>
        </w:tc>
        <w:tc>
          <w:tcPr>
            <w:tcW w:w="0" w:type="dxa"/>
            <w:vAlign w:val="bottom"/>
          </w:tcPr>
          <w:p>
            <w:pPr>
              <w:spacing w:after="0"/>
              <w:rPr>
                <w:sz w:val="1"/>
                <w:szCs w:val="1"/>
                <w:color w:val="auto"/>
              </w:rPr>
            </w:pPr>
          </w:p>
        </w:tc>
      </w:tr>
      <w:tr>
        <w:trPr>
          <w:trHeight w:val="200"/>
        </w:trPr>
        <w:tc>
          <w:tcPr>
            <w:tcW w:w="35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Board Committees: Audit (Chair);</w:t>
            </w:r>
          </w:p>
        </w:tc>
        <w:tc>
          <w:tcPr>
            <w:tcW w:w="4120" w:type="dxa"/>
            <w:vAlign w:val="bottom"/>
          </w:tcPr>
          <w:p>
            <w:pPr>
              <w:ind w:left="420"/>
              <w:spacing w:after="0" w:line="201" w:lineRule="exact"/>
              <w:rPr>
                <w:sz w:val="20"/>
                <w:szCs w:val="20"/>
                <w:color w:val="auto"/>
              </w:rPr>
            </w:pPr>
            <w:r>
              <w:rPr>
                <w:rFonts w:ascii="Arial" w:cs="Arial" w:eastAsia="Arial" w:hAnsi="Arial"/>
                <w:sz w:val="18"/>
                <w:szCs w:val="18"/>
                <w:i w:val="1"/>
                <w:iCs w:val="1"/>
                <w:color w:val="auto"/>
              </w:rPr>
              <w:t>Service Quality (Chair)</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Corporate Governance, Nominating, and</w:t>
            </w:r>
          </w:p>
        </w:tc>
        <w:tc>
          <w:tcPr>
            <w:tcW w:w="4120" w:type="dxa"/>
            <w:vAlign w:val="bottom"/>
          </w:tcPr>
          <w:p>
            <w:pPr>
              <w:spacing w:after="0"/>
              <w:rPr>
                <w:sz w:val="17"/>
                <w:szCs w:val="17"/>
                <w:color w:val="auto"/>
              </w:rPr>
            </w:pP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Former Chairman, President, and CEO -</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Sustainability</w:t>
            </w:r>
          </w:p>
        </w:tc>
        <w:tc>
          <w:tcPr>
            <w:tcW w:w="412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Michael R. McCarthy</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C.H. Robinson Worldwide, Inc.</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Chairman - Union Pacific Corporation and</w:t>
            </w:r>
          </w:p>
        </w:tc>
        <w:tc>
          <w:tcPr>
            <w:tcW w:w="3580" w:type="dxa"/>
            <w:vAlign w:val="bottom"/>
          </w:tcPr>
          <w:p>
            <w:pPr>
              <w:ind w:left="220"/>
              <w:spacing w:after="0" w:line="202" w:lineRule="exact"/>
              <w:rPr>
                <w:sz w:val="20"/>
                <w:szCs w:val="20"/>
                <w:color w:val="auto"/>
              </w:rPr>
            </w:pPr>
            <w:r>
              <w:rPr>
                <w:rFonts w:ascii="Arial" w:cs="Arial" w:eastAsia="Arial" w:hAnsi="Arial"/>
                <w:sz w:val="18"/>
                <w:szCs w:val="18"/>
                <w:i w:val="1"/>
                <w:iCs w:val="1"/>
                <w:color w:val="auto"/>
              </w:rPr>
              <w:t>Board Committees: Audit; Safety and</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Sheri H. Edison</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Union Pacific Railroad</w:t>
            </w:r>
          </w:p>
        </w:tc>
        <w:tc>
          <w:tcPr>
            <w:tcW w:w="3580" w:type="dxa"/>
            <w:vAlign w:val="bottom"/>
          </w:tcPr>
          <w:p>
            <w:pPr>
              <w:ind w:left="220"/>
              <w:spacing w:after="0" w:line="202" w:lineRule="exact"/>
              <w:rPr>
                <w:sz w:val="20"/>
                <w:szCs w:val="20"/>
                <w:color w:val="auto"/>
              </w:rPr>
            </w:pPr>
            <w:r>
              <w:rPr>
                <w:rFonts w:ascii="Arial" w:cs="Arial" w:eastAsia="Arial" w:hAnsi="Arial"/>
                <w:sz w:val="18"/>
                <w:szCs w:val="18"/>
                <w:i w:val="1"/>
                <w:iCs w:val="1"/>
                <w:color w:val="auto"/>
              </w:rPr>
              <w:t>Service Quality</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Former Executive Vice President and</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Company; Chairman - McCarthy Group,</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General Counsel - Amcor plc</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LLC; and Co-Chairman - Bridges Trust</w:t>
            </w:r>
          </w:p>
        </w:tc>
        <w:tc>
          <w:tcPr>
            <w:tcW w:w="35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Christopher J. Williams</w:t>
            </w:r>
          </w:p>
        </w:tc>
        <w:tc>
          <w:tcPr>
            <w:tcW w:w="0" w:type="dxa"/>
            <w:vAlign w:val="bottom"/>
          </w:tcPr>
          <w:p>
            <w:pPr>
              <w:spacing w:after="0"/>
              <w:rPr>
                <w:sz w:val="1"/>
                <w:szCs w:val="1"/>
                <w:color w:val="auto"/>
              </w:rPr>
            </w:pPr>
          </w:p>
        </w:tc>
      </w:tr>
      <w:tr>
        <w:trPr>
          <w:trHeight w:val="205"/>
        </w:trPr>
        <w:tc>
          <w:tcPr>
            <w:tcW w:w="3540" w:type="dxa"/>
            <w:vAlign w:val="bottom"/>
            <w:gridSpan w:val="2"/>
          </w:tcPr>
          <w:p>
            <w:pPr>
              <w:spacing w:after="0" w:line="205" w:lineRule="exact"/>
              <w:rPr>
                <w:sz w:val="20"/>
                <w:szCs w:val="20"/>
                <w:color w:val="auto"/>
              </w:rPr>
            </w:pPr>
            <w:r>
              <w:rPr>
                <w:rFonts w:ascii="Arial" w:cs="Arial" w:eastAsia="Arial" w:hAnsi="Arial"/>
                <w:sz w:val="18"/>
                <w:szCs w:val="18"/>
                <w:i w:val="1"/>
                <w:iCs w:val="1"/>
                <w:color w:val="auto"/>
              </w:rPr>
              <w:t>Board Committees: Compensation and</w:t>
            </w:r>
          </w:p>
        </w:tc>
        <w:tc>
          <w:tcPr>
            <w:tcW w:w="4120" w:type="dxa"/>
            <w:vAlign w:val="bottom"/>
          </w:tcPr>
          <w:p>
            <w:pPr>
              <w:ind w:left="420"/>
              <w:spacing w:after="0" w:line="205" w:lineRule="exact"/>
              <w:rPr>
                <w:sz w:val="20"/>
                <w:szCs w:val="20"/>
                <w:color w:val="auto"/>
              </w:rPr>
            </w:pPr>
            <w:r>
              <w:rPr>
                <w:rFonts w:ascii="Arial" w:cs="Arial" w:eastAsia="Arial" w:hAnsi="Arial"/>
                <w:sz w:val="18"/>
                <w:szCs w:val="18"/>
                <w:color w:val="auto"/>
              </w:rPr>
              <w:t>Company</w:t>
            </w:r>
          </w:p>
        </w:tc>
        <w:tc>
          <w:tcPr>
            <w:tcW w:w="3580" w:type="dxa"/>
            <w:vAlign w:val="bottom"/>
          </w:tcPr>
          <w:p>
            <w:pPr>
              <w:ind w:left="220"/>
              <w:spacing w:after="0" w:line="205" w:lineRule="exact"/>
              <w:rPr>
                <w:sz w:val="20"/>
                <w:szCs w:val="20"/>
                <w:color w:val="auto"/>
              </w:rPr>
            </w:pPr>
            <w:r>
              <w:rPr>
                <w:rFonts w:ascii="Arial" w:cs="Arial" w:eastAsia="Arial" w:hAnsi="Arial"/>
                <w:sz w:val="18"/>
                <w:szCs w:val="18"/>
                <w:color w:val="auto"/>
              </w:rPr>
              <w:t>Chairman - Siebert Williams Shank &amp; Co.</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Benefits; Corporate Governance,</w:t>
            </w:r>
          </w:p>
        </w:tc>
        <w:tc>
          <w:tcPr>
            <w:tcW w:w="4120" w:type="dxa"/>
            <w:vAlign w:val="bottom"/>
          </w:tcPr>
          <w:p>
            <w:pPr>
              <w:ind w:left="420"/>
              <w:spacing w:after="0" w:line="202" w:lineRule="exact"/>
              <w:rPr>
                <w:sz w:val="20"/>
                <w:szCs w:val="20"/>
                <w:color w:val="auto"/>
              </w:rPr>
            </w:pPr>
            <w:r>
              <w:rPr>
                <w:rFonts w:ascii="Arial" w:cs="Arial" w:eastAsia="Arial" w:hAnsi="Arial"/>
                <w:sz w:val="18"/>
                <w:szCs w:val="18"/>
                <w:i w:val="1"/>
                <w:iCs w:val="1"/>
                <w:color w:val="auto"/>
              </w:rPr>
              <w:t>Board Committees: Corporate</w:t>
            </w:r>
          </w:p>
        </w:tc>
        <w:tc>
          <w:tcPr>
            <w:tcW w:w="3580" w:type="dxa"/>
            <w:vAlign w:val="bottom"/>
          </w:tcPr>
          <w:p>
            <w:pPr>
              <w:ind w:left="220"/>
              <w:spacing w:after="0" w:line="202" w:lineRule="exact"/>
              <w:rPr>
                <w:sz w:val="20"/>
                <w:szCs w:val="20"/>
                <w:color w:val="auto"/>
              </w:rPr>
            </w:pPr>
            <w:r>
              <w:rPr>
                <w:rFonts w:ascii="Arial" w:cs="Arial" w:eastAsia="Arial" w:hAnsi="Arial"/>
                <w:sz w:val="18"/>
                <w:szCs w:val="18"/>
                <w:i w:val="1"/>
                <w:iCs w:val="1"/>
                <w:color w:val="auto"/>
              </w:rPr>
              <w:t>Board Committees: Audit; Finance</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Nominating, and Sustainability (Chair)</w:t>
            </w:r>
          </w:p>
        </w:tc>
        <w:tc>
          <w:tcPr>
            <w:tcW w:w="4120" w:type="dxa"/>
            <w:vAlign w:val="bottom"/>
          </w:tcPr>
          <w:p>
            <w:pPr>
              <w:ind w:left="420"/>
              <w:spacing w:after="0" w:line="202" w:lineRule="exact"/>
              <w:rPr>
                <w:sz w:val="20"/>
                <w:szCs w:val="20"/>
                <w:color w:val="auto"/>
              </w:rPr>
            </w:pPr>
            <w:r>
              <w:rPr>
                <w:rFonts w:ascii="Arial" w:cs="Arial" w:eastAsia="Arial" w:hAnsi="Arial"/>
                <w:sz w:val="18"/>
                <w:szCs w:val="18"/>
                <w:i w:val="1"/>
                <w:iCs w:val="1"/>
                <w:color w:val="auto"/>
              </w:rPr>
              <w:t>Governance, Nominating, and</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Teresa M. Finley</w:t>
            </w:r>
          </w:p>
        </w:tc>
        <w:tc>
          <w:tcPr>
            <w:tcW w:w="4120" w:type="dxa"/>
            <w:vAlign w:val="bottom"/>
          </w:tcPr>
          <w:p>
            <w:pPr>
              <w:ind w:left="420"/>
              <w:spacing w:after="0"/>
              <w:rPr>
                <w:sz w:val="20"/>
                <w:szCs w:val="20"/>
                <w:color w:val="auto"/>
              </w:rPr>
            </w:pPr>
            <w:r>
              <w:rPr>
                <w:rFonts w:ascii="Arial" w:cs="Arial" w:eastAsia="Arial" w:hAnsi="Arial"/>
                <w:sz w:val="18"/>
                <w:szCs w:val="18"/>
                <w:i w:val="1"/>
                <w:iCs w:val="1"/>
                <w:color w:val="auto"/>
              </w:rPr>
              <w:t>Sustainability; Finance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540" w:type="dxa"/>
            <w:vAlign w:val="bottom"/>
            <w:gridSpan w:val="2"/>
            <w:vMerge w:val="continue"/>
          </w:tcPr>
          <w:p>
            <w:pPr>
              <w:spacing w:after="0"/>
              <w:rPr>
                <w:sz w:val="14"/>
                <w:szCs w:val="14"/>
                <w:color w:val="auto"/>
              </w:rPr>
            </w:pPr>
          </w:p>
        </w:tc>
        <w:tc>
          <w:tcPr>
            <w:tcW w:w="4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Former Chief Marketing and Business</w:t>
            </w:r>
          </w:p>
        </w:tc>
        <w:tc>
          <w:tcPr>
            <w:tcW w:w="412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Doyle R. Simons</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Services Officer - United Parcel Service,</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Former President and CEO -</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gridSpan w:val="2"/>
          </w:tcPr>
          <w:p>
            <w:pPr>
              <w:spacing w:after="0" w:line="205" w:lineRule="exact"/>
              <w:rPr>
                <w:sz w:val="20"/>
                <w:szCs w:val="20"/>
                <w:color w:val="auto"/>
              </w:rPr>
            </w:pPr>
            <w:r>
              <w:rPr>
                <w:rFonts w:ascii="Arial" w:cs="Arial" w:eastAsia="Arial" w:hAnsi="Arial"/>
                <w:sz w:val="18"/>
                <w:szCs w:val="18"/>
                <w:color w:val="auto"/>
              </w:rPr>
              <w:t>Inc.</w:t>
            </w:r>
          </w:p>
        </w:tc>
        <w:tc>
          <w:tcPr>
            <w:tcW w:w="4120" w:type="dxa"/>
            <w:vAlign w:val="bottom"/>
          </w:tcPr>
          <w:p>
            <w:pPr>
              <w:ind w:left="420"/>
              <w:spacing w:after="0" w:line="205" w:lineRule="exact"/>
              <w:rPr>
                <w:sz w:val="20"/>
                <w:szCs w:val="20"/>
                <w:color w:val="auto"/>
              </w:rPr>
            </w:pPr>
            <w:r>
              <w:rPr>
                <w:rFonts w:ascii="Arial" w:cs="Arial" w:eastAsia="Arial" w:hAnsi="Arial"/>
                <w:sz w:val="18"/>
                <w:szCs w:val="18"/>
                <w:color w:val="auto"/>
              </w:rPr>
              <w:t>Weyerhaeuser Company</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Board Committees: Audit; Finance</w:t>
            </w:r>
          </w:p>
        </w:tc>
        <w:tc>
          <w:tcPr>
            <w:tcW w:w="4120" w:type="dxa"/>
            <w:vAlign w:val="bottom"/>
          </w:tcPr>
          <w:p>
            <w:pPr>
              <w:ind w:left="420"/>
              <w:spacing w:after="0" w:line="202" w:lineRule="exact"/>
              <w:rPr>
                <w:sz w:val="20"/>
                <w:szCs w:val="20"/>
                <w:color w:val="auto"/>
              </w:rPr>
            </w:pPr>
            <w:r>
              <w:rPr>
                <w:rFonts w:ascii="Arial" w:cs="Arial" w:eastAsia="Arial" w:hAnsi="Arial"/>
                <w:sz w:val="18"/>
                <w:szCs w:val="18"/>
                <w:i w:val="1"/>
                <w:iCs w:val="1"/>
                <w:color w:val="auto"/>
              </w:rPr>
              <w:t>Board Committees: Compensation and</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120" w:type="dxa"/>
            <w:vAlign w:val="bottom"/>
          </w:tcPr>
          <w:p>
            <w:pPr>
              <w:ind w:left="420"/>
              <w:spacing w:after="0"/>
              <w:rPr>
                <w:sz w:val="20"/>
                <w:szCs w:val="20"/>
                <w:color w:val="auto"/>
              </w:rPr>
            </w:pPr>
            <w:r>
              <w:rPr>
                <w:rFonts w:ascii="Arial" w:cs="Arial" w:eastAsia="Arial" w:hAnsi="Arial"/>
                <w:sz w:val="18"/>
                <w:szCs w:val="18"/>
                <w:i w:val="1"/>
                <w:iCs w:val="1"/>
                <w:color w:val="auto"/>
              </w:rPr>
              <w:t>Benefits; Safety and Service Quality</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SENIOR MANAGEMENT</w:t>
            </w:r>
          </w:p>
        </w:tc>
        <w:tc>
          <w:tcPr>
            <w:tcW w:w="4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V. James Vena</w:t>
            </w:r>
          </w:p>
        </w:tc>
        <w:tc>
          <w:tcPr>
            <w:tcW w:w="4120" w:type="dxa"/>
            <w:vAlign w:val="bottom"/>
          </w:tcPr>
          <w:p>
            <w:pPr>
              <w:ind w:left="420"/>
              <w:spacing w:after="0"/>
              <w:rPr>
                <w:sz w:val="20"/>
                <w:szCs w:val="20"/>
                <w:color w:val="auto"/>
              </w:rPr>
            </w:pPr>
            <w:r>
              <w:rPr>
                <w:rFonts w:ascii="Arial" w:cs="Arial" w:eastAsia="Arial" w:hAnsi="Arial"/>
                <w:sz w:val="18"/>
                <w:szCs w:val="18"/>
                <w:b w:val="1"/>
                <w:bCs w:val="1"/>
                <w:color w:val="auto"/>
              </w:rPr>
              <w:t>Jennifer L. Hamann</w:t>
            </w:r>
          </w:p>
        </w:tc>
        <w:tc>
          <w:tcPr>
            <w:tcW w:w="3580" w:type="dxa"/>
            <w:vAlign w:val="bottom"/>
          </w:tcPr>
          <w:p>
            <w:pPr>
              <w:ind w:left="220"/>
              <w:spacing w:after="0"/>
              <w:rPr>
                <w:sz w:val="20"/>
                <w:szCs w:val="20"/>
                <w:color w:val="auto"/>
              </w:rPr>
            </w:pPr>
            <w:r>
              <w:rPr>
                <w:rFonts w:ascii="Arial" w:cs="Arial" w:eastAsia="Arial" w:hAnsi="Arial"/>
                <w:sz w:val="18"/>
                <w:szCs w:val="18"/>
                <w:b w:val="1"/>
                <w:bCs w:val="1"/>
                <w:color w:val="auto"/>
              </w:rPr>
              <w:t>Kenny G. Rocker*</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Executive Vice President and Chief</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Executive Vice President - Marketing and</w:t>
            </w:r>
          </w:p>
        </w:tc>
        <w:tc>
          <w:tcPr>
            <w:tcW w:w="0" w:type="dxa"/>
            <w:vAlign w:val="bottom"/>
          </w:tcPr>
          <w:p>
            <w:pPr>
              <w:spacing w:after="0"/>
              <w:rPr>
                <w:sz w:val="1"/>
                <w:szCs w:val="1"/>
                <w:color w:val="auto"/>
              </w:rPr>
            </w:pPr>
          </w:p>
        </w:tc>
      </w:tr>
      <w:tr>
        <w:trPr>
          <w:trHeight w:val="239"/>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Prentiss W. Bolin, Jr.</w:t>
            </w:r>
          </w:p>
        </w:tc>
        <w:tc>
          <w:tcPr>
            <w:tcW w:w="4120" w:type="dxa"/>
            <w:vAlign w:val="bottom"/>
          </w:tcPr>
          <w:p>
            <w:pPr>
              <w:ind w:left="420"/>
              <w:spacing w:after="0"/>
              <w:rPr>
                <w:sz w:val="20"/>
                <w:szCs w:val="20"/>
                <w:color w:val="auto"/>
              </w:rPr>
            </w:pPr>
            <w:r>
              <w:rPr>
                <w:rFonts w:ascii="Arial" w:cs="Arial" w:eastAsia="Arial" w:hAnsi="Arial"/>
                <w:sz w:val="18"/>
                <w:szCs w:val="18"/>
                <w:color w:val="auto"/>
              </w:rPr>
              <w:t>Financial Officer</w:t>
            </w:r>
          </w:p>
        </w:tc>
        <w:tc>
          <w:tcPr>
            <w:tcW w:w="3580" w:type="dxa"/>
            <w:vAlign w:val="bottom"/>
          </w:tcPr>
          <w:p>
            <w:pPr>
              <w:ind w:left="220"/>
              <w:spacing w:after="0"/>
              <w:rPr>
                <w:sz w:val="20"/>
                <w:szCs w:val="20"/>
                <w:color w:val="auto"/>
              </w:rPr>
            </w:pPr>
            <w:r>
              <w:rPr>
                <w:rFonts w:ascii="Arial" w:cs="Arial" w:eastAsia="Arial" w:hAnsi="Arial"/>
                <w:sz w:val="18"/>
                <w:szCs w:val="18"/>
                <w:color w:val="auto"/>
              </w:rPr>
              <w:t>Sales</w:t>
            </w:r>
          </w:p>
        </w:tc>
        <w:tc>
          <w:tcPr>
            <w:tcW w:w="0" w:type="dxa"/>
            <w:vAlign w:val="bottom"/>
          </w:tcPr>
          <w:p>
            <w:pPr>
              <w:spacing w:after="0"/>
              <w:rPr>
                <w:sz w:val="1"/>
                <w:szCs w:val="1"/>
                <w:color w:val="auto"/>
              </w:rPr>
            </w:pPr>
          </w:p>
        </w:tc>
      </w:tr>
      <w:tr>
        <w:trPr>
          <w:trHeight w:val="166"/>
        </w:trPr>
        <w:tc>
          <w:tcPr>
            <w:tcW w:w="3540" w:type="dxa"/>
            <w:vAlign w:val="bottom"/>
            <w:gridSpan w:val="2"/>
            <w:vMerge w:val="continue"/>
          </w:tcPr>
          <w:p>
            <w:pPr>
              <w:spacing w:after="0"/>
              <w:rPr>
                <w:sz w:val="14"/>
                <w:szCs w:val="14"/>
                <w:color w:val="auto"/>
              </w:rPr>
            </w:pPr>
          </w:p>
        </w:tc>
        <w:tc>
          <w:tcPr>
            <w:tcW w:w="4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 External Relations</w:t>
            </w:r>
          </w:p>
        </w:tc>
        <w:tc>
          <w:tcPr>
            <w:tcW w:w="412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Rahul Jalali</w:t>
            </w:r>
          </w:p>
        </w:tc>
        <w:tc>
          <w:tcPr>
            <w:tcW w:w="35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Todd M. Rynaski</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Executive Vice President and Chief</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and Chief</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Bryan L. Clark</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Information Officer</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Accounting, Risk, and Compliance Officer</w:t>
            </w:r>
          </w:p>
        </w:tc>
        <w:tc>
          <w:tcPr>
            <w:tcW w:w="0" w:type="dxa"/>
            <w:vAlign w:val="bottom"/>
          </w:tcPr>
          <w:p>
            <w:pPr>
              <w:spacing w:after="0"/>
              <w:rPr>
                <w:sz w:val="1"/>
                <w:szCs w:val="1"/>
                <w:color w:val="auto"/>
              </w:rPr>
            </w:pPr>
          </w:p>
        </w:tc>
      </w:tr>
      <w:tr>
        <w:trPr>
          <w:trHeight w:val="239"/>
        </w:trPr>
        <w:tc>
          <w:tcPr>
            <w:tcW w:w="3540" w:type="dxa"/>
            <w:vAlign w:val="bottom"/>
            <w:gridSpan w:val="2"/>
          </w:tcPr>
          <w:p>
            <w:pPr>
              <w:spacing w:after="0"/>
              <w:rPr>
                <w:sz w:val="20"/>
                <w:szCs w:val="20"/>
                <w:color w:val="auto"/>
              </w:rPr>
            </w:pPr>
            <w:r>
              <w:rPr>
                <w:rFonts w:ascii="Arial" w:cs="Arial" w:eastAsia="Arial" w:hAnsi="Arial"/>
                <w:sz w:val="18"/>
                <w:szCs w:val="18"/>
                <w:color w:val="auto"/>
              </w:rPr>
              <w:t>Vice President - Tax</w:t>
            </w:r>
          </w:p>
        </w:tc>
        <w:tc>
          <w:tcPr>
            <w:tcW w:w="4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Michael V. Miller</w:t>
            </w:r>
          </w:p>
        </w:tc>
        <w:tc>
          <w:tcPr>
            <w:tcW w:w="3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Elizabeth F. Whited</w:t>
            </w:r>
          </w:p>
        </w:tc>
        <w:tc>
          <w:tcPr>
            <w:tcW w:w="0" w:type="dxa"/>
            <w:vAlign w:val="bottom"/>
          </w:tcPr>
          <w:p>
            <w:pPr>
              <w:spacing w:after="0"/>
              <w:rPr>
                <w:sz w:val="1"/>
                <w:szCs w:val="1"/>
                <w:color w:val="auto"/>
              </w:rPr>
            </w:pPr>
          </w:p>
        </w:tc>
      </w:tr>
      <w:tr>
        <w:trPr>
          <w:trHeight w:val="166"/>
        </w:trPr>
        <w:tc>
          <w:tcPr>
            <w:tcW w:w="1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Eric J. Gehringer*</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Vice President and Treasurer</w:t>
            </w:r>
          </w:p>
        </w:tc>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39"/>
        </w:trPr>
        <w:tc>
          <w:tcPr>
            <w:tcW w:w="3540" w:type="dxa"/>
            <w:vAlign w:val="bottom"/>
            <w:gridSpan w:val="2"/>
          </w:tcPr>
          <w:p>
            <w:pPr>
              <w:spacing w:after="0"/>
              <w:rPr>
                <w:sz w:val="20"/>
                <w:szCs w:val="20"/>
                <w:color w:val="auto"/>
              </w:rPr>
            </w:pPr>
            <w:r>
              <w:rPr>
                <w:rFonts w:ascii="Arial" w:cs="Arial" w:eastAsia="Arial" w:hAnsi="Arial"/>
                <w:sz w:val="18"/>
                <w:szCs w:val="18"/>
                <w:color w:val="auto"/>
              </w:rPr>
              <w:t>Executive Vice President - Operations</w:t>
            </w:r>
          </w:p>
        </w:tc>
        <w:tc>
          <w:tcPr>
            <w:tcW w:w="4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Craig V. Richardson</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Rebecca B. Gregory*</w:t>
            </w:r>
          </w:p>
        </w:tc>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Executive Vice President, Chief Legal</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40" w:type="dxa"/>
            <w:vAlign w:val="bottom"/>
            <w:gridSpan w:val="2"/>
          </w:tcPr>
          <w:p>
            <w:pPr>
              <w:spacing w:after="0"/>
              <w:rPr>
                <w:sz w:val="20"/>
                <w:szCs w:val="20"/>
                <w:color w:val="auto"/>
              </w:rPr>
            </w:pPr>
            <w:r>
              <w:rPr>
                <w:rFonts w:ascii="Arial" w:cs="Arial" w:eastAsia="Arial" w:hAnsi="Arial"/>
                <w:sz w:val="18"/>
                <w:szCs w:val="18"/>
                <w:color w:val="auto"/>
              </w:rPr>
              <w:t>Vice President and Chief of Staff</w:t>
            </w:r>
          </w:p>
        </w:tc>
        <w:tc>
          <w:tcPr>
            <w:tcW w:w="4120" w:type="dxa"/>
            <w:vAlign w:val="bottom"/>
          </w:tcPr>
          <w:p>
            <w:pPr>
              <w:ind w:left="420"/>
              <w:spacing w:after="0"/>
              <w:rPr>
                <w:sz w:val="20"/>
                <w:szCs w:val="20"/>
                <w:color w:val="auto"/>
              </w:rPr>
            </w:pPr>
            <w:r>
              <w:rPr>
                <w:rFonts w:ascii="Arial" w:cs="Arial" w:eastAsia="Arial" w:hAnsi="Arial"/>
                <w:sz w:val="18"/>
                <w:szCs w:val="18"/>
                <w:color w:val="auto"/>
              </w:rPr>
              <w:t>Officer, and Corporate Secretary</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3540" w:type="dxa"/>
            <w:vAlign w:val="bottom"/>
            <w:gridSpan w:val="2"/>
          </w:tcPr>
          <w:p>
            <w:pPr>
              <w:spacing w:after="0"/>
              <w:rPr>
                <w:sz w:val="20"/>
                <w:szCs w:val="20"/>
                <w:color w:val="auto"/>
              </w:rPr>
            </w:pPr>
            <w:r>
              <w:rPr>
                <w:rFonts w:ascii="Arial" w:cs="Arial" w:eastAsia="Arial" w:hAnsi="Arial"/>
                <w:sz w:val="16"/>
                <w:szCs w:val="16"/>
                <w:color w:val="auto"/>
              </w:rPr>
              <w:t>*For Union Pacific Railroad Company only.</w:t>
            </w:r>
          </w:p>
        </w:tc>
        <w:tc>
          <w:tcPr>
            <w:tcW w:w="4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20" w:type="dxa"/>
            <w:vAlign w:val="bottom"/>
          </w:tcPr>
          <w:p>
            <w:pPr>
              <w:ind w:left="2040"/>
              <w:spacing w:after="0"/>
              <w:rPr>
                <w:sz w:val="20"/>
                <w:szCs w:val="20"/>
                <w:color w:val="auto"/>
              </w:rPr>
            </w:pPr>
            <w:r>
              <w:rPr>
                <w:rFonts w:ascii="Arial" w:cs="Arial" w:eastAsia="Arial" w:hAnsi="Arial"/>
                <w:sz w:val="18"/>
                <w:szCs w:val="18"/>
                <w:color w:val="auto"/>
              </w:rPr>
              <w:t>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2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Union Pacific Railroad Company is the principal operating company of Union Pacific Corporation. One of America's most recognized companies, Union Pacific Railroad Company connects 23 states in the western two-thirds of the country by rail, providing a critical link in the global supply chain. The Railroad’s diversified business mix includes Bulk, Industrial, and Premium. Union Pacific serves many of the fastest-growing U.S. population centers, operates from all major West Coast and Gulf Coast ports to Eastern gateways, connects with Canada's rail systems, and is the only railroad serving all six major Mexico gateways. Union Pacific provides value to its roughly 10,000 customers by delivering products in a safe, reliable, fuel-efficient, and environmentally responsible manner.</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Union Pacific Corporation was incorporated in Utah in 1969 and maintains its principal executive offices at 1400 Douglas Street, Omaha, NE 68179. The telephone number at that address is (402) 544-5000. The common stock of Union Pacific Corporation is listed on the New York Stock Exchange (NYSE) under the symbol “UNP”.</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Safety, Service, and Operational Excellence supports the Company's long term initiative to Grow its freight volumes (Safety + Service &amp; Operational Excellence = Growth). Together as a team, the Company will focus on achieving the best safety record in the industry, being known for superior service, grounded in operational excellence which, in turn, drives growth.</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is paramount and, as our first area of focus, sets the foundation for achieving the Company's objectives. The mindset and culture are</w:t>
      </w:r>
      <w:r>
        <w:rPr>
          <w:rFonts w:ascii="Arial" w:cs="Arial" w:eastAsia="Arial" w:hAnsi="Arial"/>
          <w:sz w:val="18"/>
          <w:szCs w:val="18"/>
          <w:b w:val="1"/>
          <w:bCs w:val="1"/>
          <w:color w:val="auto"/>
        </w:rPr>
        <w:t xml:space="preserve"> </w:t>
      </w:r>
      <w:r>
        <w:rPr>
          <w:rFonts w:ascii="Arial" w:cs="Arial" w:eastAsia="Arial" w:hAnsi="Arial"/>
          <w:sz w:val="18"/>
          <w:szCs w:val="18"/>
          <w:color w:val="auto"/>
        </w:rPr>
        <w:t>built around a personal commitment by all employees to prioritize safety so everyone goes home safely.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is all about delivering what we sold our customers. We work with our customers to understand the service they need to win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then drive how we win together. We commit to these service levels and do it with excellence.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is about operating efficiently and productively. We will drive value with our available resources, but also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buffer so our service is resilient, managing the inevitable ups and downs that come with weather, fluctuating volumes, and securing growth.</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Execution of our strategy to be the industry leader in both safety and service leads to revenue growth with improved margins and greater cash generation, creating long term enterprise value. The result will be strong financial performance driving significant shareholder returns.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we work to transform our railroad, our core values continue to guide us. Our passion for performance will help us win; our high ethical standards ensure we win in a way that supports all of our stakeholders; and our teamwork ensures we win together.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Additional information regarding our business and operations, including revenues, financial information and data, and other information regarding environmental matters, is presented in Risk Factors, Item 1A; Legal Proceedings, Item 3; Management’s Discussion and Analysis of Financial Condition and Results of Operations, Item 7; and the Financial Statements and Supplementary Data, Item 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07"/>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UPRR is a Class I railroad operating in the U.S. We</w:t>
            </w:r>
          </w:p>
        </w:tc>
        <w:tc>
          <w:tcPr>
            <w:tcW w:w="2880" w:type="dxa"/>
            <w:vAlign w:val="bottom"/>
          </w:tcPr>
          <w:p>
            <w:pPr>
              <w:ind w:left="920"/>
              <w:spacing w:after="0"/>
              <w:rPr>
                <w:sz w:val="20"/>
                <w:szCs w:val="20"/>
                <w:color w:val="auto"/>
              </w:rPr>
            </w:pPr>
            <w:r>
              <w:rPr>
                <w:rFonts w:ascii="Arial" w:cs="Arial" w:eastAsia="Arial" w:hAnsi="Arial"/>
                <w:sz w:val="18"/>
                <w:szCs w:val="18"/>
                <w:b w:val="1"/>
                <w:bCs w:val="1"/>
                <w:color w:val="auto"/>
                <w:w w:val="98"/>
              </w:rPr>
              <w:t>2023 Freight Revenues</w:t>
            </w: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have 32,693 route miles, connecting Pacific Coast and Gulf Coast</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ports with the Midwest and Eastern U.S. gateways and providing</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several corridors to key Mexican and Canadian gateways. We serve</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the  western  two-thirds  of  the  country  and  maintain  coordinated</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schedules with other rail carriers to move freight to and from the</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Atlantic  Coast,  the  Pacific  Coast,  the  Southeast,  the  Southwest,</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Canada, and Mexico. Export and import traffic moves through Gulf</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Coast, Pacific Coast, and East Coast ports and across the Mexican</w:t>
            </w:r>
          </w:p>
        </w:tc>
        <w:tc>
          <w:tcPr>
            <w:tcW w:w="2880" w:type="dxa"/>
            <w:vAlign w:val="bottom"/>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and Canadian borders. In 2023, we generated freight revenues totaling</w:t>
            </w:r>
          </w:p>
        </w:tc>
        <w:tc>
          <w:tcPr>
            <w:tcW w:w="2880" w:type="dxa"/>
            <w:vAlign w:val="bottom"/>
          </w:tcPr>
          <w:p>
            <w:pPr>
              <w:spacing w:after="0"/>
              <w:rPr>
                <w:sz w:val="17"/>
                <w:szCs w:val="17"/>
                <w:color w:val="auto"/>
              </w:rPr>
            </w:pPr>
          </w:p>
        </w:tc>
      </w:tr>
      <w:tr>
        <w:trPr>
          <w:trHeight w:val="239"/>
        </w:trPr>
        <w:tc>
          <w:tcPr>
            <w:tcW w:w="6560" w:type="dxa"/>
            <w:vAlign w:val="bottom"/>
            <w:gridSpan w:val="2"/>
          </w:tcPr>
          <w:p>
            <w:pPr>
              <w:spacing w:after="0"/>
              <w:rPr>
                <w:sz w:val="20"/>
                <w:szCs w:val="20"/>
                <w:color w:val="auto"/>
              </w:rPr>
            </w:pPr>
            <w:r>
              <w:rPr>
                <w:rFonts w:ascii="Arial" w:cs="Arial" w:eastAsia="Arial" w:hAnsi="Arial"/>
                <w:sz w:val="18"/>
                <w:szCs w:val="18"/>
                <w:color w:val="auto"/>
              </w:rPr>
              <w:t>$22.6 billion from the following three commodity groups:</w:t>
            </w:r>
          </w:p>
        </w:tc>
        <w:tc>
          <w:tcPr>
            <w:tcW w:w="2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-1296670</wp:posOffset>
            </wp:positionV>
            <wp:extent cx="2571750" cy="171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The Company's Bulk shipments consist of grain and grain products, fertilizer, food and refrigerated, and coal and renewables. In 2023,</w:t>
      </w:r>
      <w:r>
        <w:rPr>
          <w:rFonts w:ascii="Arial" w:cs="Arial" w:eastAsia="Arial" w:hAnsi="Arial"/>
          <w:sz w:val="18"/>
          <w:szCs w:val="18"/>
          <w:i w:val="1"/>
          <w:iCs w:val="1"/>
          <w:color w:val="auto"/>
        </w:rPr>
        <w:t xml:space="preserve"> </w:t>
      </w:r>
      <w:r>
        <w:rPr>
          <w:rFonts w:ascii="Arial" w:cs="Arial" w:eastAsia="Arial" w:hAnsi="Arial"/>
          <w:sz w:val="18"/>
          <w:szCs w:val="18"/>
          <w:color w:val="auto"/>
        </w:rPr>
        <w:t>this group generated 33% of our freight revenues. We access most major grain markets, connecting the Midwest and Western U.S. producing areas to export terminals in the Pacific Northwest and Gulf Coast ports as well as Mexico. We also serve significant domestic markets, including grain processors, animal feeders, ethanol, and renewable biofuel producers in the Midwest and West. Fertilizer movements originate in the Gulf Coast region, Midwest, Western U.S., and Canada (through interline access) for delivery to major agricultural users in those areas as well as abroad. The Railroad’s network supports the transportation of coal shipments to independent and regulated power companies and industrial facilities throughout the U.S. Through interchange gateways and ports, UPRR’s reach extends to Eastern U.S. utilities as well as to Mexico and other international destinations. Coal traffic originating in the Powder River Basin (PRB) area of Wyoming is the largest portion of the Railroad’s coal business. Renewable shipments for customers committed to sustainability consist primarily of biomass exports and wind turbine components.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Our extensive network facilitates the movement of numerous commodities between thousands of origin and destination points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North America. The Industrial group consists of several categories, including construction, industrial chemicals, plastics, forest products, specialized products (primarily waste, salt, and roofing), metals and ores, petroleum, liquid petroleum gases (LPG), soda ash, and sand. Transportation of these products accounted for 36% of our freight revenues in 2023. Commercial, residential, and governmental infrastructure investments drive shipments of steel, aggregates, cement, and wood products. Industrial and light manufacturing plants receive steel, nonferrous materials, minerals, and other raw materials.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industrial chemicals market consists of a vast number of chemical compounds that support the manufacturing of more complex chemicals. Plastics shipments support automotive, housing, and the durable and disposable consumer goods markets. Forest product shipments include lumber and paper commodities. Lumber shipments originate primarily in the Pacific Northwest or Western Canada and move throughout the U.S. for use in new home construction and repairs and remodeling. Paper shipments primarily support packaging needs. Oil and gas drilling generates demand for raw steel, finished pipe, stone, and drilling fluid commodities. The Company’s petroleum and LPG shipments are primarily impacted by refinery utilization rates, regional crude pricing differentials, pipeline capacity, and the use of asphalt for road programs. Soda ash originates in southwestern Wyoming and California, destined for chemical and glass producing markets in North America and abroad.</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In 2023, Premium shipments generated 31% of Union Pacific’s total freight revenues. Premium includes finished automobiles,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parts, and merchandise in intermodal containers, both domestic and international. International business consists of import and export traffic moving in 20 or 40-foot shipping containers, that mainly pass through West Coast ports, destined for one of the Company's many inland intermodal terminals. Domestic business includes container and trailer traffic picked up and delivered within North America for intermodal marketing companies (primarily shipper agents and logistics companies) as well as truckload carriers.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the largest automotive carrier west of the Mississippi River and operate or access 39 vehicle distribution centers. The Railroad’s extensive franchise accesses six vehicle assembly plants and connects to West Coast ports, all six major Mexico gateways, and the Port of Houston to accommodate both import and export shipments. In addition to transporting finished vehicles, the Company provides expedited handling of automotive parts in both boxcars and intermodal containers destined for Mexico, the U.S., and Canada.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Seasonality </w:t>
      </w:r>
      <w:r>
        <w:rPr>
          <w:rFonts w:ascii="Arial" w:cs="Arial" w:eastAsia="Arial" w:hAnsi="Arial"/>
          <w:sz w:val="18"/>
          <w:szCs w:val="18"/>
          <w:color w:val="auto"/>
        </w:rPr>
        <w:t>– Some of the commodities we carry have peak shipping seasons, reflecting either or both the nature of the commodity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agricultural and food products that have specific growing and harvesting seasons) and the demand cycle for the commodity (such as intermodal traffic that generally peaks during the third quarter to meet back-to-school and holiday-related demand for consumer goods during the fourth quarter). The peak shipping seasons for these commodities can vary considerably each year depending upon various factors, including the strength of domestic and international economies and currencies; consumer demand; the strength of harvests, which can be adversely affected by severe weather; market prices for agricultural products; and supply chain disruptions.</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Proud &amp; Engaged Workforce </w:t>
      </w:r>
      <w:r>
        <w:rPr>
          <w:rFonts w:ascii="Arial" w:cs="Arial" w:eastAsia="Arial" w:hAnsi="Arial"/>
          <w:sz w:val="18"/>
          <w:szCs w:val="18"/>
          <w:color w:val="auto"/>
        </w:rPr>
        <w:t>– Our employees are central to our Safety + Service &amp; Operational Excellence = Growth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our workforce is key to our success.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Our People:</w:t>
      </w:r>
      <w:r>
        <w:rPr>
          <w:rFonts w:ascii="Arial" w:cs="Arial" w:eastAsia="Arial" w:hAnsi="Arial"/>
          <w:sz w:val="18"/>
          <w:szCs w:val="18"/>
          <w:b w:val="1"/>
          <w:bCs w:val="1"/>
          <w:color w:val="auto"/>
        </w:rPr>
        <w:t xml:space="preserve"> </w:t>
      </w:r>
      <w:r>
        <w:rPr>
          <w:rFonts w:ascii="Arial" w:cs="Arial" w:eastAsia="Arial" w:hAnsi="Arial"/>
          <w:sz w:val="18"/>
          <w:szCs w:val="18"/>
          <w:color w:val="auto"/>
        </w:rPr>
        <w:t>Our award-winning, multigenerational workforce includes talented people from all walks of life, in many stages of life. Made up</w:t>
      </w:r>
      <w:r>
        <w:rPr>
          <w:rFonts w:ascii="Arial" w:cs="Arial" w:eastAsia="Arial" w:hAnsi="Arial"/>
          <w:sz w:val="18"/>
          <w:szCs w:val="18"/>
          <w:b w:val="1"/>
          <w:bCs w:val="1"/>
          <w:color w:val="auto"/>
        </w:rPr>
        <w:t xml:space="preserve"> </w:t>
      </w:r>
      <w:r>
        <w:rPr>
          <w:rFonts w:ascii="Arial" w:cs="Arial" w:eastAsia="Arial" w:hAnsi="Arial"/>
          <w:sz w:val="18"/>
          <w:szCs w:val="18"/>
          <w:color w:val="auto"/>
        </w:rPr>
        <w:t>of management and craft professionals, we are focused on attracting, retaining, and developing talent across our entire system.</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December 31, 2023, the Company employed 32,973 employees. Our workforce includes five generations from Traditionalists (born before 1946) to Generation Z (born after 1998). The average age is 46.6 with average tenure of 15.9 years.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Union Pacific works with 13 major rail unions, representing approximately 85% of our workforce. The National Carriers Conference Committee of the National Railway Labor Conference, consisting of the top labor officers in most Class I railroads, is the bargaining committee for the industry. Railroads are governed by the Railway Labor Act (RLA), a federal statute enacted in 1926 to bring the railroads and unions to agreement without disruptions to rail transportation. The RLA includes numerous safeguards to help overcome bargaining stalemates. The next round of negotiations begins on January 1, 2025, related to years 2025-2029.</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Our Culture:</w:t>
      </w:r>
      <w:r>
        <w:rPr>
          <w:rFonts w:ascii="Arial" w:cs="Arial" w:eastAsia="Arial" w:hAnsi="Arial"/>
          <w:sz w:val="18"/>
          <w:szCs w:val="18"/>
          <w:b w:val="1"/>
          <w:bCs w:val="1"/>
          <w:color w:val="auto"/>
        </w:rPr>
        <w:t xml:space="preserve"> </w:t>
      </w:r>
      <w:r>
        <w:rPr>
          <w:rFonts w:ascii="Arial" w:cs="Arial" w:eastAsia="Arial" w:hAnsi="Arial"/>
          <w:sz w:val="18"/>
          <w:szCs w:val="18"/>
          <w:color w:val="auto"/>
        </w:rPr>
        <w:t>We incorporate our commitment to safety, diversity and inclusion, high ethical standards, passion for performance,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teamwork into our day-to-day operations as we serve our customers.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Safety is central to everything we do at Union Pacific. Together, we are committed to cultivating a safety-focused culture, so our employees return home safely every day. To achieve this, our employees identify risks, initiate action to mitigate those risks, and have the courage to care to keep each other safe.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is measured by our personal injury rate (the number of reportable injuries for every 200,000 employee-hours worked) and our derailment incident rate (the number of reportable derailment incidents per million train miles). Reportable personal injuries are defined as on duty incidents or occupational illnesses that result in employees losing time away from work, modifying or restricting their normal duties, or receiving any medical treatment above and beyond first aid. Reportable derailment incidents are defined as any occurrence where a wheel of a locomotive or rail car falls off the track and causes damage to track, equipment, or structures above the Federal Railroad Administration (FRA) reporting threshold, regardless of ownership ($11,500 for 2023 and $12,000 for 2024) per million train miles. Personal injuries and derailment incidents that meet reportable criteria are reported to the FRA.</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2023 personal injury rate of 1.17 deteriorated 4%, while our derailment incident rate of 2.72 improved 6% versus 2022. (See further discussion in Management’s Discussion and Analysis of Financial Condition and Results of Operations, Item 7, of this report.)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u w:val="single" w:color="auto"/>
          <w:color w:val="auto"/>
        </w:rPr>
        <w:t>Diversity, Equity, and Inclusion:</w:t>
      </w:r>
      <w:r>
        <w:rPr>
          <w:rFonts w:ascii="Arial" w:cs="Arial" w:eastAsia="Arial" w:hAnsi="Arial"/>
          <w:sz w:val="18"/>
          <w:szCs w:val="18"/>
          <w:b w:val="1"/>
          <w:bCs w:val="1"/>
          <w:color w:val="auto"/>
        </w:rPr>
        <w:t xml:space="preserve"> </w:t>
      </w:r>
      <w:r>
        <w:rPr>
          <w:rFonts w:ascii="Arial" w:cs="Arial" w:eastAsia="Arial" w:hAnsi="Arial"/>
          <w:sz w:val="18"/>
          <w:szCs w:val="18"/>
          <w:color w:val="auto"/>
        </w:rPr>
        <w:t>Union Pacific’s commitment to diversity and inclusion is based on our desire to create an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where people can be their best, personally and professionally. We believe that a diverse and supportive culture increases employee engagement, improves morale, and allows qualified employees to succeed and contribute to Union Pacific's success. All of this supports our safety strategy and improves the quality of decision-making, problem-solving, and strategic thinking.</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Union Pacific’s commitment, today and for the future, is to further improve and strengthen performance through an inclusive workforce that reflects the diverse markets and communities we serve, where everyone is treated fairly, differences are valued, and talent is recognized and rewarded. To that end, Union Pacific intends to maintain its standards of hiring and promoting based on merit, while aspiring to reach 40% people of color and double our female representation to 11% in our workforce by 2030. As of December 31, 2023, workforce representation of people of color and females was approximately 33.8% and 5.5%,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auto"/>
        </w:rPr>
        <w:t>The Employee Journey:</w:t>
      </w:r>
      <w:r>
        <w:rPr>
          <w:rFonts w:ascii="Arial" w:cs="Arial" w:eastAsia="Arial" w:hAnsi="Arial"/>
          <w:sz w:val="18"/>
          <w:szCs w:val="18"/>
          <w:b w:val="1"/>
          <w:bCs w:val="1"/>
          <w:color w:val="auto"/>
        </w:rPr>
        <w:t xml:space="preserve"> </w:t>
      </w:r>
      <w:r>
        <w:rPr>
          <w:rFonts w:ascii="Arial" w:cs="Arial" w:eastAsia="Arial" w:hAnsi="Arial"/>
          <w:sz w:val="18"/>
          <w:szCs w:val="18"/>
          <w:color w:val="auto"/>
        </w:rPr>
        <w:t>From recruitment to retirement and milestones in between, we are relentlessly focused on supporting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employees throughout their Union Pacific journey. We view it as imperative to invest in our employees with meaningful benefit offerings, developmental experiences, and career opportunities.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process begins with recruitment, where we strive to attract the most talented and diverse employees to join our team. Then, we focus on training and development, which includes courses and programs designed to help our employees grow into new roles and/or learn a new skill in their current role so that we can retain our workforce over time.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Providing competitive compensation and meaningful benefits is key to attracting and retaining talented employees. Union Pacific is committed to continuously reviewing its compensation programs and comprehensive benefits programs to promote programs that are fair and competitive. Both are key to enhancing the value of working for Union Pacific and demonstrating the Company’s commitment to the health and wealth of employees during their career. Benefits vary based on the applicable collective bargaining agreement or an employee’s management status. The final stage of the employee journey is a fulfilling retirement, which is enabled during their UP career through our compensation and benefit programs, particularly contributions to 401(k) plans and the employee stock purchase plan (ESPP).</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evaluates our non-union compensation plans and reviews recommendations from the Compensation and Benefits Committee, while collective bargaining agreements govern compensation for our union employees. The median annual compensation for all employees employed as of December 31, 2023, was $108,244 (excluding the CEO).</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Talent is critical - our ability to recruit and retain employees is directly tied to our railroad’s fluidity. Without team members to dispatch, operate trains, and maintain our infrastructure, our network struggles to provide customers efficient, reliable service. We are focused on effectively managing workforce levels to the demands of the business and improving quality of life for our employees. Therefore, we continue to hire to backfill attrition and handle growth as needed.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Railroad Security </w:t>
      </w:r>
      <w:r>
        <w:rPr>
          <w:rFonts w:ascii="Arial" w:cs="Arial" w:eastAsia="Arial" w:hAnsi="Arial"/>
          <w:sz w:val="18"/>
          <w:szCs w:val="18"/>
          <w:color w:val="auto"/>
        </w:rPr>
        <w:t>– Our security efforts consist of a wide variety of measures, including employee training, engagement with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of emergency responders, and partnerships with numerous federal, state, and local government agencies. While federal law requires us to protect the confidentiality of our security plans designed to safeguard against terrorism and other security incidents, the following provides a general overview of our security initiatives.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UPRR Security Measures </w:t>
      </w:r>
      <w:r>
        <w:rPr>
          <w:rFonts w:ascii="Arial" w:cs="Arial" w:eastAsia="Arial" w:hAnsi="Arial"/>
          <w:sz w:val="18"/>
          <w:szCs w:val="18"/>
          <w:color w:val="auto"/>
        </w:rPr>
        <w:t>– We maintain a comprehensive security plan designed to both deter and respond to any potential or actual threats</w:t>
      </w:r>
      <w:r>
        <w:rPr>
          <w:rFonts w:ascii="Arial" w:cs="Arial" w:eastAsia="Arial" w:hAnsi="Arial"/>
          <w:sz w:val="18"/>
          <w:szCs w:val="18"/>
          <w:i w:val="1"/>
          <w:iCs w:val="1"/>
          <w:color w:val="auto"/>
        </w:rPr>
        <w:t xml:space="preserve"> </w:t>
      </w:r>
      <w:r>
        <w:rPr>
          <w:rFonts w:ascii="Arial" w:cs="Arial" w:eastAsia="Arial" w:hAnsi="Arial"/>
          <w:sz w:val="18"/>
          <w:szCs w:val="18"/>
          <w:color w:val="auto"/>
        </w:rPr>
        <w:t>as they arise. The plan includes four levels of alert status, each with its own set of countermeasures. We employ our own police force, consisting of commissioned and highly-trained officers. The police are certified state law enforcement officers with investigative and arrest powers. The Union Pacific Police Department has achieved accreditation under the Commission on Accreditation for Law Enforcement Agencies, Inc. (CALEA) for complying with the highest law enforcement standards. Our employees undergo recurrent security and preparedness training as well as federally mandated hazardous materials and security training. We regularly review the sufficiency of our employee training programs. We maintain the capability to move critical operations to back-up facilities in different locations.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operate an emergency response management center 24 hours a day. The center receives reports of emergencies, dangerous or potentially dangerous conditions, and other safety and security issues from our employees, the public, law enforcement, and other government officials. In cooperation with government officials, we monitor both threats and public events, and, as necessary, we may alter rail traffic flow at times of concern to minimize risk to communities and our operations. We comply with the hazardous materials routing rules and other requirements imposed by federal law. We design our operating plan to expedite the movement of hazardous material shipments to minimize the time rail cars remain idle at yards and terminals located in or near major population centers. Additionally, in compliance with Transportation Security Administration (TSA) regulations, we deployed information systems and instructed employees in tracking and documenting the handoff of Rail Security Sensitive Materials with customers and interchange partners.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established a number of our own innovative safety and security-oriented initiatives ranging from various investments in technology to The Officer on Train program, which provides local law enforcement officers with the opportunity to ride with train crews to enhance their understanding of railroad operations and risks. Our staff of information security professionals continually assess cybersecurity risks and implement mitigation programs that evolve with the changing technology threat environment. To date, we have not experienced any material disruption of our operations due to a cyber threat or incident directed at 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Cooperation with Federal, State, and Local Government Agencies </w:t>
      </w:r>
      <w:r>
        <w:rPr>
          <w:rFonts w:ascii="Arial" w:cs="Arial" w:eastAsia="Arial" w:hAnsi="Arial"/>
          <w:sz w:val="18"/>
          <w:szCs w:val="18"/>
          <w:color w:val="auto"/>
        </w:rPr>
        <w:t>– We work closely on physical and cybersecurity initiatives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agencies, including the U.S. Department of Transportation (DOT); the Federal Bureau of Investigation (FBI); the Department of Homeland Security (DHS), along with its Cybersecurity and Infrastructure Security Agency (CISA) and the TSA; as well as local police departments, fire departments, and other first responders.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guidance from the TSA, starting from January 1, 2022, we were obligated to report cyber incidents to CISA. Additionally, we appointed cybersecurity coordinators, conducted a self-assessment of our cyber vulnerabilities, and put in place a plan to respond to cyber incidents. We are currently awaiting approval of our security plan before progressing with the establishment of a cybersecurity assessment plan, which will describe how the Company proactively and regularly evaluates the effectiveness of our cybersecurity measures as well as identify and address any weaknesses in our devices, networks, and systems.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conjunction with the Association of American Railroads (AAR), we sponsor Ask Rail, a mobile application that provides first responders with secure links to electronic information, including commodity and emergency response information required by emergency personnel to respond to accidents and other situations. We also participate in the National Joint Terrorism Task Force, a multi-agency effort established by the U.S. Department of Justice and the Federal Bureau of Investigation to combat and prevent terrorism.</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work with the Coast Guard, U.S. Customs and Border Protection (CBP), and the Military Transport Management Command, which monitor shipments entering the UPRR rail network at U.S. border crossings and ports. We were the first railroad in the U.S. to be named a partner in CBP’s Customs-Trade Partnership Against Terrorism, a partnership designed to develop, enhance, and maintain effective security processes throughout the global supply chain.</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Cooperation with Customers and Trade Associations </w:t>
      </w:r>
      <w:r>
        <w:rPr>
          <w:rFonts w:ascii="Arial" w:cs="Arial" w:eastAsia="Arial" w:hAnsi="Arial"/>
          <w:sz w:val="18"/>
          <w:szCs w:val="18"/>
          <w:color w:val="auto"/>
        </w:rPr>
        <w:t>– Through TransCAER (Transportation Community Awareness and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we work with the AAR, the American Chemistry Council, the American Petroleum Institute, and other chemical trade groups to provide communities with preparedness tools, including the training of emergency responders. In cooperation with the FRA and other interested groups, we are also working to develop additional improvements to tank car design that will further limit the risk of releases of hazardous materials.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Sustainable Future </w:t>
      </w:r>
      <w:r>
        <w:rPr>
          <w:rFonts w:ascii="Arial" w:cs="Arial" w:eastAsia="Arial" w:hAnsi="Arial"/>
          <w:sz w:val="18"/>
          <w:szCs w:val="18"/>
          <w:color w:val="auto"/>
        </w:rPr>
        <w:t>– Union Pacific believes it is important that we act as environmental stewards, reducing greenhouse gas (GHG)</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emissions and supporting the transition to a more sustainable future. While we work to further reduce our environmental footprint, it is important to note that railroads already are one of the most fuel-efficient means of transportation. Freight rail leads other forms of surface transportation when it comes to minimizing GHG emissions, and we expect rail will continue to play a critical role in mitigating and abating the impacts of climate change. According to the AAR, moving freight by rail instead of truck reduces GHG emissions by up to 75%. Therefore, converting freight transportation from truck to rail typically results in an immediate reduction in our customers' scope 3 GHG emissions.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Competition </w:t>
      </w:r>
      <w:r>
        <w:rPr>
          <w:rFonts w:ascii="Arial" w:cs="Arial" w:eastAsia="Arial" w:hAnsi="Arial"/>
          <w:sz w:val="18"/>
          <w:szCs w:val="18"/>
          <w:color w:val="auto"/>
        </w:rPr>
        <w:t>– see “</w:t>
      </w:r>
      <w:r>
        <w:rPr>
          <w:rFonts w:ascii="Arial" w:cs="Arial" w:eastAsia="Arial" w:hAnsi="Arial"/>
          <w:sz w:val="18"/>
          <w:szCs w:val="18"/>
          <w:i w:val="1"/>
          <w:iCs w:val="1"/>
          <w:color w:val="auto"/>
        </w:rPr>
        <w:t>We Face Competition from Other Railroads and Other Transportation Providers</w:t>
      </w:r>
      <w:r>
        <w:rPr>
          <w:rFonts w:ascii="Arial" w:cs="Arial" w:eastAsia="Arial" w:hAnsi="Arial"/>
          <w:sz w:val="18"/>
          <w:szCs w:val="18"/>
          <w:color w:val="auto"/>
        </w:rPr>
        <w:t>” in the Risk Factors in Item 1A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Suppliers </w:t>
      </w:r>
      <w:r>
        <w:rPr>
          <w:rFonts w:ascii="Arial" w:cs="Arial" w:eastAsia="Arial" w:hAnsi="Arial"/>
          <w:sz w:val="18"/>
          <w:szCs w:val="18"/>
          <w:color w:val="auto"/>
        </w:rPr>
        <w:t>– see “</w:t>
      </w:r>
      <w:r>
        <w:rPr>
          <w:rFonts w:ascii="Arial" w:cs="Arial" w:eastAsia="Arial" w:hAnsi="Arial"/>
          <w:sz w:val="18"/>
          <w:szCs w:val="18"/>
          <w:i w:val="1"/>
          <w:iCs w:val="1"/>
          <w:color w:val="auto"/>
        </w:rPr>
        <w:t>We Are Dependent on Certain Key Suppliers of Locomotives and Rail</w:t>
      </w:r>
      <w:r>
        <w:rPr>
          <w:rFonts w:ascii="Arial" w:cs="Arial" w:eastAsia="Arial" w:hAnsi="Arial"/>
          <w:sz w:val="18"/>
          <w:szCs w:val="18"/>
          <w:color w:val="auto"/>
        </w:rPr>
        <w:t>” in the Risk Factors in Item 1A of this report.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Available Information </w:t>
      </w:r>
      <w:r>
        <w:rPr>
          <w:rFonts w:ascii="Arial" w:cs="Arial" w:eastAsia="Arial" w:hAnsi="Arial"/>
          <w:sz w:val="18"/>
          <w:szCs w:val="18"/>
          <w:color w:val="auto"/>
        </w:rPr>
        <w:t>– Our Internet website is www.up.com. We make available free of charge on our website (under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link) our Annual Reports on Form 10-K; our Quarterly Reports on Form 10-Q; our current reports on Form 8-K; our proxy statements; Forms 3, 4, and 5, filed on behalf of our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NYSE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7,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AND ENVIRONMENTAL REGULATION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Governmental Regulation </w:t>
      </w:r>
      <w:r>
        <w:rPr>
          <w:rFonts w:ascii="Arial" w:cs="Arial" w:eastAsia="Arial" w:hAnsi="Arial"/>
          <w:sz w:val="18"/>
          <w:szCs w:val="18"/>
          <w:color w:val="auto"/>
        </w:rPr>
        <w:t>– Our operations are subject to a variety of federal, state, and local regulations, generally applicable to all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(See also the discussion of certain regulatory proceedings in Legal Proceedings, Item 3.)</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operations of the Railroad are subject to the regulations of the FRA and other federal and state agencies as well as the regulatory jurisdiction of the Surface Transportation Board (STB). The STB has jurisdiction over rates charged on certain regulated rail traffic; common carrier service of regulated traffic; freight car compensation; transfer, extension, or abandonment of rail lines; and acquisition of control of rail common carriers. The STB continues its efforts to explore expanding rail regulation and is reviewing proposed rulemaking in various areas, including reciprocal switching and commodity exemptions, and has finalized rules creating new procedures for smaller rate complaints that are being reviewed in appellate courts. The STB also continues to explore changes to the methodology for determining railroad revenue adequacy, the possible uses of revenue adequacy in regulating railroad rates, and ways to regulate service, including by use of emergency service orders. The STB posts quarterly reports on rate reasonableness cases, maintains a database on service complaints, and has the authority to initiate investigations, among other things.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DOT, the Occupational Safety and Health Administration, the Pipeline and Hazardous Materials Safety Administration, and DHS, along with other federal agencies, have jurisdiction over certain aspects of safety, movement of hazardous materials and hazardous waste, emissions requirements, and equipment standards. Additionally, various state and local agencies have jurisdiction over disposal of hazardous waste and seek to regulate movement of hazardous materials in ways not preempted by federal law.</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Environmental Regulation </w:t>
      </w:r>
      <w:r>
        <w:rPr>
          <w:rFonts w:ascii="Arial" w:cs="Arial" w:eastAsia="Arial" w:hAnsi="Arial"/>
          <w:sz w:val="18"/>
          <w:szCs w:val="18"/>
          <w:color w:val="auto"/>
        </w:rPr>
        <w:t>– We are subject to extensive federal and state environmental statutes and regulations pertaining to public</w:t>
      </w:r>
      <w:r>
        <w:rPr>
          <w:rFonts w:ascii="Arial" w:cs="Arial" w:eastAsia="Arial" w:hAnsi="Arial"/>
          <w:sz w:val="18"/>
          <w:szCs w:val="18"/>
          <w:b w:val="1"/>
          <w:bCs w:val="1"/>
          <w:color w:val="auto"/>
        </w:rPr>
        <w:t xml:space="preserve"> </w:t>
      </w:r>
      <w:r>
        <w:rPr>
          <w:rFonts w:ascii="Arial" w:cs="Arial" w:eastAsia="Arial" w:hAnsi="Arial"/>
          <w:sz w:val="18"/>
          <w:szCs w:val="18"/>
          <w:color w:val="auto"/>
        </w:rPr>
        <w:t>health and the environment. The statutes and regulations are administered and monitored by the Environmental Protection Agency (EPA) and by various state environmental agencies, such as the California Air Resources Board (CARB) and the Texas Commission on Environmental Quality (TCEQ), among others. The primary laws affecting our operations are the Resource Conservation and Recovery Act, regulating the management and disposal of solid and hazardous wastes; the Comprehensive Environmental Response, Compensation, and Liability Act, regulating the cleanup of contaminated properties; the Clean Air Act, regulating air emissions; and the Clean Water Act, regulating wastewater discharges.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to the Financial Statements and Supplementary Data,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discussion addresses significant factors, events, and uncertainties that make an investment in our securities risky and provides important information for the understanding of our “forward-looking statements,” which are discussed immediately preceding Item 7A of this Form 10-K and elsewhere. The risk factors set forth in this Item 1A should be read in conjunction with the rest of the information included in this report, including Management’s Discussion and Analysis of Financial Condition and Results of Operations, Item 7, and Financial Statements and Supplementary Data, Item 8.</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our business, reputation, financial condition, results of operations, cash flows, or prospects can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business, reputation, financial condition, results of operations, cash flows, and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We Must Manage Fluctuating Demand for Our Services and Network Capacity </w:t>
      </w:r>
      <w:r>
        <w:rPr>
          <w:rFonts w:ascii="Arial" w:cs="Arial" w:eastAsia="Arial" w:hAnsi="Arial"/>
          <w:sz w:val="18"/>
          <w:szCs w:val="18"/>
          <w:color w:val="auto"/>
        </w:rPr>
        <w:t>– Significant reductions in demand for rail services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one or more commodities or changes in consumer preferences that affect the businesses of our customers can lead to increased costs associated with resizing our operations, including higher unit operating costs and costs for the storage of locomotives, rail cars, and other equipment; workforce adjustments; and other related activities, which could have a material adverse effect on our results of operations, financial condition, and liquidity. If there is significant demand for our services that exceeds the designed capacity of our network or shifts in traffic flow that are contrary to the designed capacity of our network, we may experience network difficulties, including congestion and reduced velocity, that could compromise the level of service we provide to our customers. This level of demand also may compound the impact of weather and weather-related events on our operations and velocity. Although we continue to work to improve our transportation plan, add capacity, improve operations at our yards and other facilities, and improve our ability to address surges in demand for any reason by carrying a resource buffer, we cannot be sure that these measures will fully or adequately address any service shortcomings resulting from demand exceeding our planned capacity. We may experience other operational or service difficulties related to network capacity, dramatic and unplanned fluctuations in our customers’ demand for rail service with respect to one or more commodities or operating regions, or other events that could negatively impact our operational efficiency, which could all have a material adverse effect on our results of operations, financial condition, and liquidity.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We Transport Hazardous Materials </w:t>
      </w:r>
      <w:r>
        <w:rPr>
          <w:rFonts w:ascii="Arial" w:cs="Arial" w:eastAsia="Arial" w:hAnsi="Arial"/>
          <w:sz w:val="18"/>
          <w:szCs w:val="18"/>
          <w:color w:val="auto"/>
        </w:rPr>
        <w:t>– We transport certain hazardous materials and other materials, including crude oil, ethanol, and toxic</w:t>
      </w:r>
      <w:r>
        <w:rPr>
          <w:rFonts w:ascii="Arial" w:cs="Arial" w:eastAsia="Arial" w:hAnsi="Arial"/>
          <w:sz w:val="18"/>
          <w:szCs w:val="18"/>
          <w:i w:val="1"/>
          <w:iCs w:val="1"/>
          <w:color w:val="auto"/>
        </w:rPr>
        <w:t xml:space="preserve"> </w:t>
      </w:r>
      <w:r>
        <w:rPr>
          <w:rFonts w:ascii="Arial" w:cs="Arial" w:eastAsia="Arial" w:hAnsi="Arial"/>
          <w:sz w:val="18"/>
          <w:szCs w:val="18"/>
          <w:color w:val="auto"/>
        </w:rPr>
        <w:t>inhalation hazard (TIH) materials, such as chlorine, that pose certain risks in the event of a release or combustion. Additionally, U.S. laws impose common carrier obligations on railroads that require us to transport certain hazardous materials regardless of risk or potential exposure to loss.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We Rely on Technology and Technology Improvements in Our Business Operations </w:t>
      </w:r>
      <w:r>
        <w:rPr>
          <w:rFonts w:ascii="Arial" w:cs="Arial" w:eastAsia="Arial" w:hAnsi="Arial"/>
          <w:sz w:val="18"/>
          <w:szCs w:val="18"/>
          <w:color w:val="auto"/>
        </w:rPr>
        <w:t>– We rely on information technology in all aspects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including technology systems operated by us or under control of third-parties. If we do not have sufficient capital or do not deploy sufficient capital in a timely manner to acquire, develop, or implement new technology or maintain or upgrade current systems, such as Positive Train Control (PTC) or the latest version of our transportation control systems, we may suffer a rail service outage or competitive disadvantage within the rail industry and with companies providing other modes of transportation service, which could have a material adverse effect on our results of operations, financial condition, and liquidity.</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We Are Subject to Cybersecurity Risks </w:t>
      </w:r>
      <w:r>
        <w:rPr>
          <w:rFonts w:ascii="Arial" w:cs="Arial" w:eastAsia="Arial" w:hAnsi="Arial"/>
          <w:sz w:val="18"/>
          <w:szCs w:val="18"/>
          <w:color w:val="auto"/>
        </w:rPr>
        <w:t>– We rely on information technology in all aspects of our business, including technology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by us (whether created by us or purchased), under control of third-parties, and open-source software. Although we devote significant resources to protect our technology systems and proprietary data, we have experienced and will likely continue to experience varying degrees of cyber incidents in the normal course of business. There can be no assurance that the systems we have designed to identify, prevent, or limit the effects of cyber incidents will be sufficient to prevent or detect such incidents, or to avoid a material adverse impact on our systems after such incidents do occur. Furthermore, due to the rising numbers and increasing sophistication of cyber-attacks, an increasingly complex information technology supply chain, and the nature of zero-day exploits, we may be unable to anticipate or implement adequate measures to prevent a security breach, including by ransomware or as a result of human error or other cyber-attack methods, from materially affecting our systems or the systems of third-parties upon which we rely. A cyber incident that results in significant service interruption; safety failure; other operational difficulties; unauthorized access to (or the loss of access to) competitively sensitive, confidential, or other critical data or systems; loss of customers; financial losses; regulatory fines; reputational harm; or misuse or corruption of critical data and proprietary information, could have a material adverse impact on our results of operations, financial condition, and liquidity. We may experience security breaches that could remain undetected for an extended period and, therefore, have a greater impact on us. Additionally, we may be exposed to increased cybersecurity risk because we are a component of the critical U.S. infrastructure.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Severe Weather Could Result in Significant Business Interruptions and Expenditures </w:t>
      </w:r>
      <w:r>
        <w:rPr>
          <w:rFonts w:ascii="Arial" w:cs="Arial" w:eastAsia="Arial" w:hAnsi="Arial"/>
          <w:sz w:val="18"/>
          <w:szCs w:val="18"/>
          <w:color w:val="auto"/>
        </w:rPr>
        <w:t>– As a railroad with a vast network, we are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severe weather conditions and other natural phenomena, including earthquakes, hurricanes, fires, floods, mudslides or landslides, extreme temperatures, avalanches, and significant precipitation, and climate change may cause or contribute to the severity or frequency of such weather conditions. Line outages and other interruptions caused by these conditions has in the past and can in the future adversely affect parts or all of our entire rail network, potentially negatively affecting revenues, costs, and liabilities, despite efforts we undertake to plan for these events. Our revenues can also be adversely affected by severe weather that causes damage and disruptions to our customers. These impacts caused by severe weather could have a material adverse effect on our results of operations, financial condition, and liquidity.</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A Significant Portion of Our Revenues Involves Transportation of Commodities to and from International Markets </w:t>
      </w:r>
      <w:r>
        <w:rPr>
          <w:rFonts w:ascii="Arial" w:cs="Arial" w:eastAsia="Arial" w:hAnsi="Arial"/>
          <w:sz w:val="18"/>
          <w:szCs w:val="18"/>
          <w:color w:val="auto"/>
        </w:rPr>
        <w:t>– Although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are attributable to transportation services provided in the U.S., a significant portion of our revenues involves the transportation of commodities to and from international markets, including Mexico, Canada, and Southeast Asia, by various carriers and, at times, various modes of transportation. Significant and sustained interruptions of trade with Mexico, Canada, or countries in Southeast Asia, including China, could adversely affect customers and other entities that, directly or indirectly, purchase or rely on rail transportation services in the U.S. as part of their operations, and any such interruptions, including international armed conflicts such as the Russia-Ukraine and Israel-Hamas wars, could have a material adverse effect on our results of operations, financial condition, and liquidity. Any one or more of the following could cause a significant and sustained interruption of trade with Mexico, Canada, or countries in Southeast Asia: (a) a deterioration of security for international trade and businesses; (b) the adverse impact of new laws, rules, and regulations or the interpretation of laws, rules, and regulations by government entities, courts, or regulatory bodies, including the United States-Mexico-Canada Agreement (USMCA) or other international trade agreements; (c) actions of taxing authorities that affect our customers doing business in foreign countries; (d) any significant adverse economic developments, such as extended periods of high inflation, material disruptions in the banking sector or in the capital markets of these foreign countries, and significant changes in the valuation of the currencies of these foreign countries that could materially affect the cost or value of imports or exports; (e) shifts in patterns of international trade that adversely affect import and export markets; (f) a material reduction in foreign direct investment in these countries; and (g) public health crises, including the outbreak of pandemic or contagious disease, such as the coronavirus and its variant strains (COVID).</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We Are Dependent on Certain Key Suppliers of Locomotives and Rail </w:t>
      </w:r>
      <w:r>
        <w:rPr>
          <w:rFonts w:ascii="Arial" w:cs="Arial" w:eastAsia="Arial" w:hAnsi="Arial"/>
          <w:sz w:val="18"/>
          <w:szCs w:val="18"/>
          <w:color w:val="auto"/>
        </w:rPr>
        <w:t>– Due to the capital-intensive nature and sophistication of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parts, and maintenance, potential new suppliers face high barriers to entry. Therefore, if one of the domestic suppliers of locomotives discontinues manufacturing locomotives, supplying parts, or providing maintenance for any reason, including bankruptcy or insolvency or the inability to manufacture locomotives that meet efficiency or regulatory emissions standards, we could experience significant cost increases and reduced availability of the locomotives that are necessary for our operations. Additionally, we utilize a limited number of steel producers that meet our specifications. Rail is critical to our operations for rail replacement programs, maintenance, and for adding additional network capacity, new rail and storage yards, and expansions of existing facilities. This industry similarly has high barriers to entry, and if one of these suppliers discontinues operations for any reason, including bankruptcy or insolvency, we could experience both significant cost increases for rail purchases and difficulty obtaining sufficient rail for maintenance and other projects. Changes to trade agreements or policies that result in increased tariffs on goods imported into the United States could also result in significant cost increases for rail purchases and difficulty obtaining sufficient rail.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Risks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Strikes or Work Stoppages Could Adversely Affect Our Operations </w:t>
      </w:r>
      <w:r>
        <w:rPr>
          <w:rFonts w:ascii="Arial" w:cs="Arial" w:eastAsia="Arial" w:hAnsi="Arial"/>
          <w:sz w:val="18"/>
          <w:szCs w:val="18"/>
          <w:color w:val="auto"/>
        </w:rPr>
        <w:t>– The U.S. Class I railroads are party to collective bargaining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various labor unions. The majority of our employees belong to labor unions and are subject to these agreements. Disputes over the terms of these agreements or our potential inability to negotiate acceptable contracts with these unions can lead to, among other things, strikes, work stoppages, slowdowns, or lockouts, which could cause a significant disruption of our operations and have a material adverse effect on our results of operations, financial condition, and liquidity. Additionally, future national labor agreements, or renegotiation of labor agreements or provisions of labor agreements, could compromise our service reliability or significantly increase our costs for health care, wages, and other benefits, which could have a material adverse impact on our results of operations, financial condition, and liquidity. Labor disputes, work stoppages, slowdowns, or lockouts at loading/unloading facilities, ports, or other transport access points could compromise our service reliability and have a material adverse impact on our results of operations, financial condition, and liquidity. Labor disputes, work stoppages, slowdowns, or lockouts by employees of our customers or our suppliers could compromise our service reliability and have a material adverse impact on our results of operations, financial condition, and liquidity.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The Availability of Qualified Personnel Could Adversely Affect Our Operations </w:t>
      </w:r>
      <w:r>
        <w:rPr>
          <w:rFonts w:ascii="Arial" w:cs="Arial" w:eastAsia="Arial" w:hAnsi="Arial"/>
          <w:sz w:val="18"/>
          <w:szCs w:val="18"/>
          <w:color w:val="auto"/>
        </w:rPr>
        <w:t>– Changes in demographics, training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illnesses or restrictions could negatively affect the availability of qualified personnel for us, our customers, and throughout the supply chain. Our ability to quickly react to other factors that affect our ability to attract and retain employees may be restricted due to limited flexibility to make unilateral changes to collective bargaining agreements, which cover the majority of our workforce. Unpredictable increases in demand for rail services and a lack of network fluidity may exacerbate our risks, which could have a negative impact on our operational efficiency and otherwise have a material adverse effect on our results of operations, financial condition, and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We Are Subject to Significant Governmental Regulation </w:t>
      </w:r>
      <w:r>
        <w:rPr>
          <w:rFonts w:ascii="Arial" w:cs="Arial" w:eastAsia="Arial" w:hAnsi="Arial"/>
          <w:sz w:val="18"/>
          <w:szCs w:val="18"/>
          <w:color w:val="auto"/>
        </w:rPr>
        <w:t>– We are subject to governmental regulation by a significant number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authorities covering a variety of health, safety, labor, environmental, economic (as discussed below), tax, and other matters. Many laws and regulations require us to obtain and maintain various licenses, permits, and other authorizations, and we cannot guarantee that we will continue to be able to do so. Our failure to comply with applicable laws and regulations could have a material adverse effect on us. Governments or regulators may change the legislative or regulatory frameworks that we operate in without providing us any recourse to address any adverse effects on our business, including, without limitation, regulatory determinations or rules regarding dispute resolution, increasing the amount of our traffic subject to common carrier regulation, business relationships with other railroads, use of embargoes, calculation of our cost of capital or other inputs relevant to computing our revenue adequacy, the prices we charge, changes in tax rates, enactment of new tax laws, and revision in tax regulations. Significant legislative activity in Congress or regulatory activity by the STB could expand regulation of railroad operations and pricing for rail services, which could reduce capital spending on our rail network, facilities, and equipment, and have a material adverse effect on our results of operations, financial condition, and liquidity.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We May Be Subject to Various Claims and Lawsuits That Could Result in Significant Expenditures </w:t>
      </w:r>
      <w:r>
        <w:rPr>
          <w:rFonts w:ascii="Arial" w:cs="Arial" w:eastAsia="Arial" w:hAnsi="Arial"/>
          <w:sz w:val="18"/>
          <w:szCs w:val="18"/>
          <w:color w:val="auto"/>
        </w:rPr>
        <w:t>– As a railroad with operations in densely</w:t>
      </w:r>
      <w:r>
        <w:rPr>
          <w:rFonts w:ascii="Arial" w:cs="Arial" w:eastAsia="Arial" w:hAnsi="Arial"/>
          <w:sz w:val="18"/>
          <w:szCs w:val="18"/>
          <w:i w:val="1"/>
          <w:iCs w:val="1"/>
          <w:color w:val="auto"/>
        </w:rPr>
        <w:t xml:space="preserve"> </w:t>
      </w:r>
      <w:r>
        <w:rPr>
          <w:rFonts w:ascii="Arial" w:cs="Arial" w:eastAsia="Arial" w:hAnsi="Arial"/>
          <w:sz w:val="18"/>
          <w:szCs w:val="18"/>
          <w:color w:val="auto"/>
        </w:rPr>
        <w:t>populated urban areas and a vast rail network, we are exposed to the potential for various claims and litigation related to labor and employment, personal injury, property damage, environmental liability, and other matters. Any material changes to litigation trends or a catastrophic rail accident or series of accidents involving any or all of property damage, personal injury, and environmental liability that exceed our insurance coverage for such risks could have a material adverse effect on our results of operations, financial condition, and liquidity. In addition, some of these matters could impact the cost of obtaining, or availability in general, of insurance coverage meant to cover these types of risks.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We Are Subject to Significant Environmental Laws and Regulations </w:t>
      </w:r>
      <w:r>
        <w:rPr>
          <w:rFonts w:ascii="Arial" w:cs="Arial" w:eastAsia="Arial" w:hAnsi="Arial"/>
          <w:sz w:val="18"/>
          <w:szCs w:val="18"/>
          <w:color w:val="auto"/>
        </w:rPr>
        <w:t>– Due to the nature of the railroad business, our operations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federal, state, and local environmental laws and regulations concerning, among other things, emissions to the air; discharges to waters; handling, storage, transportation, and disposal of waste and other materials; and hazardous material or petroleum releases. We generate and transport hazardous and non-hazardous waste in our operations. Environmental liability can extend to previously owned or operated properties, leased properties, properties owned by third-parties, as well as properties we currently own. Environmental liabilities have arisen and may also arise from claims asserted by adjacent landowners or other third-parties in toxic tort litigation. We have been and may be subject to allegations or findings that we have violated, or are strictly liable under, these laws or regulations. We currently have certain obligations at existing sites for investigation, remediation, and monitoring, and we likely will have obligations at other sites in the future. We maintain adequate reserves for liabilities for these obligations, but fluctuations of potential costs affect our estimates based on our experience and, as necessary, the advice and assistance of our consultants. However, actual costs may vary from our estimates due to any or all of several factors, including changes to environmental laws or interpretations of such laws, technological changes affecting investigations and remediation, the participation and financial viability of other parties responsible for any such liability, and the corrective action or change to corrective actions required to remediate any existing or future sites. We could incur significant costs as a result of any of the foregoing, and we may be required to incur significant expenses to investigate and remediate known, unknown, or future environmental contamination, which could have a material adverse effect on our results of operations, financial condition, and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We Face Competition from Other Railroads and Other Transportation Providers </w:t>
      </w:r>
      <w:r>
        <w:rPr>
          <w:rFonts w:ascii="Arial" w:cs="Arial" w:eastAsia="Arial" w:hAnsi="Arial"/>
          <w:sz w:val="18"/>
          <w:szCs w:val="18"/>
          <w:color w:val="auto"/>
        </w:rPr>
        <w:t>– We face competition from other railroads, motor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ships, barges, and pipelines. Our main railroad competitor is Burlington Northern Santa Fe LLC. Its primary subsidiary, BNSF Railway Company (BNSF), operates parallel routes in many of our main traffic corridors. In addition, we operate in corridors served by other railroads and motor carriers. Motor carrier competition exists in all three of our commodity groups. Because of the proximity of our routes to major inland and Gulf Coast waterways, barges can be particularly competitive, especially for grain and bulk commodities in certain areas where we operate.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and we have been making efforts to convert truck traffic to rail. Additionally, we must build or acquire and maintain our rail system, while trucks, barges, and maritime operators are able to use public rights-of-way maintained by public entities. Any of the following could also affect the competitiveness of our transportation services for some or all of our commodities, which could have a material adverse effect on our results of operations, financial condition, and liquidity: (a) improvements or expenditures materially increasing the quality or reducing the costs of these alternative modes of transportation, such as autonomous or more fuel efficient trucks, (b) legislation that eliminates or significantly increases the size or weight limitations applied to motor carriers, or (c) legislation or regulatory changes that impose operating restrictions on railroads or that adversely affect the profitability of some or all railroad traffic. Many movements face product or geographic competition where our customers can use different products (e.g., natural gas instead of coal, sorghum instead of corn) or commodities from different locations (e.g., grain from states or countries that we do not serve, crude oil from different regions). Sourcing different commodities or different locations allows shippers to substitute different carriers and such competition may reduce our volume or constrain prices. Additionally, any future consolidation of the rail industry could materially affect our competitive environment.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We May Be Affected by Climate Change and Market or Regulatory Responses to Climate Change </w:t>
      </w:r>
      <w:r>
        <w:rPr>
          <w:rFonts w:ascii="Arial" w:cs="Arial" w:eastAsia="Arial" w:hAnsi="Arial"/>
          <w:sz w:val="18"/>
          <w:szCs w:val="18"/>
          <w:color w:val="auto"/>
        </w:rPr>
        <w:t>– Climate change, including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warming and transition risks involving policy, legal risks, and market risks, could have a material adverse effect on our results of operations, financial condition, and liquidity over both a long-term and near-term basis. Restrictions, caps, taxes, or other controls on emissions of GHGs, including diesel exhaust, could significantly increase our operating costs. Restrictions on emissions could also affect our customers that (a) use commodities that we carry to produce energy, (b) use significant amounts of energy in producing or delivering the commodities we carry, or (c) manufacture or produce goods that consume significant amounts of energy or burn fossil fuels, including chemical producers, farmers and food producers, and automakers and other manufacturers. Significant cost increases, government regulation, or changes of consumer preferences for goods or services relating to alternative sources of energy, emissions reductions, and GHG emissions could materially affect the markets for the commodities we carry and demand for our services, which in turn could have a material adverse effect on our results of operations, financial condition, and liquidity. Government incentives encouraging the use of alternative sources of energy also could affect certain of our customers and the markets for certain of the commodities we carry in an unpredictable manner that could alter our traffic patterns, including, for example, increasing royalties charged to producers of PRB coal by the U.S. Department of Interior and the impacts of ethanol incentives on farming and ethanol producers. We could face increased costs related to defending and resolving legal claims and other litigation or complying with laws or regulations related to climate change and the alleged impact of our operations on climate change. Violent weather caused by climate change, including hurricanes, fires, floods, extreme temperatures, avalanches, and significant precipitation has in the past and could in the future cause line outages and other interruptions to our infrastructure. Any of these factors, individually or in operation with one or more of the other factors, or other unpredictable impacts of climate change could reduce the amount of traffic we handle and have a material adverse effect on our results of operations, financial condition, and liquidity. Our efforts to achieve emission reduction targets could significantly increase our operational costs and capital expenditures. In addition, stakeholder expectations regarding some of these matters may be evolving and there may be differing views among stakeholders, which could harm our reputation or increase our costs.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Our Business, Financial Condition, and Results of Operations have been Adversely Affected, and in the Future, Could be Materially Adversely Affected by Pandemics or Other Public Health Crises </w:t>
      </w:r>
      <w:r>
        <w:rPr>
          <w:rFonts w:ascii="Arial" w:cs="Arial" w:eastAsia="Arial" w:hAnsi="Arial"/>
          <w:sz w:val="18"/>
          <w:szCs w:val="18"/>
          <w:color w:val="auto"/>
        </w:rPr>
        <w:t>– Pandemics, epidemics, and other outbreaks of disease can have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and widespread impacts. As we saw during the peaks of the COVID pandemic, outbreaks of disease can cause a global slowdown of economic activity (including the decrease in demand for a broad variety of goods), disruptions in global supply chains, and significant volatility and disruption of financial markets, resulting further in adverse effects on workforces, customers, and regional and local economies. The impact of pandemics or public health crises on our results of operations and financial condition may depend on numerous evolving factors, including, but not limited to: governmental, business, and individuals’ actions that have been and continue to be taken in response to a global pandemic or other public health crises (including restrictions on travel and transport, workforce pressures, social distancing, and shelter-in-place orders); the effect of a pandemic or other public health crises on economic activity and actions taken in response; the effect on our customers and their demand for our services; the effect of a pandemic or other public health crises on the credit-worthiness of our customers; national or global supply chain challenges or disruption; facility closures; commodity cost volatility; general macroeconomic uncertainty in key global markets and financial market volatility; global economic conditions and levels of economic growth; and the pace of recovery as the pandemic subsides as well as response to a potential reoccurrence. Further, a pandemic or other public health crises, and the volatile regional and global economic conditions stemming from such an event, could also precipitate and aggravate the other risk factors that we identify, which could materially adversely affect our business, financial condition, results of operations (including revenues and profitability), and/or stock price. Additionally, a pandemic or other public health crises also may affect our operating and financial results in a manner that is not presently known to us or that we currently do not consider to present significant risks to our operations.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We Are Affected By Fluctuating Fuel Prices </w:t>
      </w:r>
      <w:r>
        <w:rPr>
          <w:rFonts w:ascii="Arial" w:cs="Arial" w:eastAsia="Arial" w:hAnsi="Arial"/>
          <w:sz w:val="18"/>
          <w:szCs w:val="18"/>
          <w:color w:val="auto"/>
        </w:rPr>
        <w:t>– Fuel costs constitute a significant portion of our transportation expenses. Diesel fuel prices can</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dramatic fluctuations, and significant price increases could have a material adverse effect on our operating results. Although we currently are able to recover a significant amount of our fuel expenses from our customers through revenues from fuel surcharges, we cannot be certain that we will always be able to mitigate rising or elevated fuel costs through our fuel surcharges. Additionally, future market conditions or legislative or regulatory activities could adversely affect our ability to apply fuel surcharges or adequately recover increased fuel costs through fuel surcharges. As fuel prices fluctuate, our fuel surcharge programs trail such fluctuations in fuel prices by approximately two months, and may be a significant source of quarter-over-quarter and year-over-year volatility, particularly in periods of rapidly changing prices. International, political, and economic factors, events and conditions, including international armed conflicts such as the Russia-Ukraine and Israel-Hamas wars,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Alternatively, lower fuel prices could have a positive impact on the economy by increasing consumer discretionary spending that potentially could increase demand for various consumer products we transport. However, lower fuel prices could have a negative impact on other commodities we transport, such as coal and domestic drilling-related shipments, which could have a material adverse effect on our results of operations, financial condition, and liquidity.</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We Rely on Capital Markets </w:t>
      </w:r>
      <w:r>
        <w:rPr>
          <w:rFonts w:ascii="Arial" w:cs="Arial" w:eastAsia="Arial" w:hAnsi="Arial"/>
          <w:sz w:val="18"/>
          <w:szCs w:val="18"/>
          <w:color w:val="auto"/>
        </w:rPr>
        <w:t>– Due to the significant capital expenditures required to operate and maintain a safe and efficient railroad, we</w:t>
      </w:r>
      <w:r>
        <w:rPr>
          <w:rFonts w:ascii="Arial" w:cs="Arial" w:eastAsia="Arial" w:hAnsi="Arial"/>
          <w:sz w:val="18"/>
          <w:szCs w:val="18"/>
          <w:i w:val="1"/>
          <w:iCs w:val="1"/>
          <w:color w:val="auto"/>
        </w:rPr>
        <w:t xml:space="preserve"> </w:t>
      </w:r>
      <w:r>
        <w:rPr>
          <w:rFonts w:ascii="Arial" w:cs="Arial" w:eastAsia="Arial" w:hAnsi="Arial"/>
          <w:sz w:val="18"/>
          <w:szCs w:val="18"/>
          <w:color w:val="auto"/>
        </w:rPr>
        <w:t>rely on the capital markets to provide some of our capital requirements. We utilize long-term debt instruments, bank financing, and commercial paper, and we pledge certain amount of our receivables as collateral for credit. Significant instability or disruptions of the capital markets, including, among other things, elevated interest rates in the credit markets and/or changes in interest rates, or deterioration of our financial condition due to internal or external factors could restrict or prohibit our access to, and significantly increase the cost of, commercial paper and other financing sources, including bank credit facilities and the issuance of long-term debt, including corporate bonds. A significant deterioration of our financial condition could result in a reduction of our credit rating to below investment grade, which could restrict us from utilizing our current receivables securitization facility (Receivables Facility). This may also limit our access to external sources of capital and significantly increase the costs of short and long-term debt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We Are Affected by General Economic Conditions </w:t>
      </w:r>
      <w:r>
        <w:rPr>
          <w:rFonts w:ascii="Arial" w:cs="Arial" w:eastAsia="Arial" w:hAnsi="Arial"/>
          <w:sz w:val="18"/>
          <w:szCs w:val="18"/>
          <w:color w:val="auto"/>
        </w:rPr>
        <w:t>– Prolonged, severe adverse domestic and global macroeconomic conditions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of financial and credit markets, including, for example, the recessionary fears, inflationary pressures, and elevated interest rates we are seeing in the current economic environment, may affect the producers and consumers of the commodities we carry and may have a material adverse effect on our access to liquidity, results of operations, and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We May Be Affected by Acts of Terrorism, War, or Risk of War </w:t>
      </w:r>
      <w:r>
        <w:rPr>
          <w:rFonts w:ascii="Arial" w:cs="Arial" w:eastAsia="Arial" w:hAnsi="Arial"/>
          <w:sz w:val="18"/>
          <w:szCs w:val="18"/>
          <w:color w:val="auto"/>
        </w:rPr>
        <w:t>– Our rail lines, facilities, and equipment, including rail cars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materials, could be direct targets or indirect casualties of terrorist attacks. Terrorist attacks, or other similar events, any government response thereto, and war or risk of war may adversely affect our results of operations, financial condition, and liquidity. In addition, insurance premiums for some or all of our current coverages could increase dramatically, or certain coverages may not be available to us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u w:val="single" w:color="auto"/>
          <w:color w:val="auto"/>
        </w:rPr>
        <w:t>Cybersecurity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subject to cybersecurity threats that could have a material adverse impact on our results of operations, financial condition, and liquidity. See also our discussion in the Risk Factors in Item 1A of this report. As a component of our Company-wide enterprise risk management framework, we implemented a cybersecurity program whose objective is to assess, identify, and manage risks from cybersecurity threats that may result in adverse effects on the confidentiality, integrity, and availability of the electronic information systems that we own. We regularly perform internal security assessments, engage third-party consultants to conduct external security assessments, and participate in, conduct, and/or administer exercises, drills, and recovery tests as part of this program. We also maintain training programs and policies and procedures designed to safeguard employee handling and use of data, internet usage, controlled access measures, and physical protections. We consult with industry groups, monitor threat intelligence reports, and communicate with various government agencies in an effort to stay up-to-date on changes in the cybersecurity threat landscape. This program, in addition to addressing our own information systems, is also designed to oversee, identify, and reduce the potential impact of a security incident at a third-party service provider or that otherwise impacts third-party technology and systems we 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Cybersecurity Team</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internal information security organization (Internal Cybersecurity Team), led by our Executive Vice President and Chief Information Officer (CIO) as well as the Assistant Vice President and Chief Information Security Officer (CISO), is responsible for coordinating all aspects of the Company’s electronic information security systems, including prevention, detection, mitigation, and remediation of cybersecurity incidents, as well as implementing, monitoring, and maintaining our enterprise-wide security strategy, standards, architecture, policies, and processes. Our CIO reports directly to our Chief Executive Officer, our CISO reports to our CIO, and reporting to our CISO are our Deputy Chief Information Security Officer (Deputy CISO) and other experienced information security personnel responsible for various parts of our business. In addition to our internal cybersecurity capabilities, we also periodically engage assessors, consultants, auditors, and other third parties to assist with assessing, identifying, and managing cybersecurity risks. When the Company learns of a cybersecurity incident at a third-party service provider, the Company’s respective department contacts maintain communication with the third-party service provider and communicate any cybersecurity incidents to the CISO.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Policy and Requirements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part of the Company’s Crisis Management Plan, the Company's cybersecurity Incident Response Plan (the IRP) provides a framework for responding to cybersecurity incidents. The IRP sets out a coordinated approach to discovering, investigating, containing, tracking, mitigating, and remediating cybersecurity incidents, including a framework for elevating and reporting findings and keeping senior management and other key stakeholders informed and involved, based on assessments regarding the scope or significance of incidents. The IRP applies to the Company’s extended computing environment, including electronic information resources that are owned or used by the Company and are routinely relied on to support our operations.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Internal Cybersecurity Team has robust processes and redundancies in place designed with the objective of deterring, detecting, mitigating, and responding to potential cybersecurity threats, which includes a vulnerability assessment, prioritization, and remediation program. The Internal Cybersecurity Team also performs regular system penetration testing to validate our security controls and assess our infrastructure and applications. All management employees take mandatory periodic security awareness training on the Company’s data security policies and procedures, which is supplemented by Company-wide testing initiatives, including periodic phishing tests. Additionally, in 2023, our Board of Directors and certain management employees participated in a tabletop exercise to simulate a response to a cybersecurity incident, and our Internal Cybersecurity Team incorporated the findings from this exercise into our processes.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information security program is designed to align our defenses and resources to identify, assess, and address more likely and more damaging cyber events, to provide support for our organizational mission and operational objectives, and to position us to deter, detect, mitigate, and respond to a wide variety of potential attacks in a timely fashion. Our information security program employs quantitative and qualitative approaches to evaluate the effectiveness of controls and assess the resiliency of critical computing resources. This data is combined with knowledge of common attack techniques to assess the likelihood of components being compromised and assess potential financial implications under different scenarios. The results are used to help identify potentially material risks and provide insights which are taken into account when prioritizing our security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Cybersecurity Risks, Threats, and Incidents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Due to the evolving nature of cybersecurity threats, it has and will continue to be difficult to prevent, detect, mitigate, and remediate cybersecurity incidents. While we are not aware of having experienced any material effects or reasonably likely material effects on our Company, its business strategy, results of operations, or financial condition resulting from cybersecurity threats or incidents to date, as a critical infrastructure provider, we may be a target of well-funded and sophisticated adverse actors. There can be no guarantee that we will not be the subject of future risks or incidents that have such an effect, or that we are not currently the subject of an undetected risk or incident that may have such an effect.</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also rely on information technology and third-party vendors to support our operations, including our secure processing of personal, confidential, sensitive, proprietary, and other types of information. Despite ongoing efforts to continue improvement of our and our vendors’ ability to protect against cyber incidents, we may not be able to protect all of the information systems we use. Incidents may lead to reputational harm, revenue and client loss, legal actions, or statutory penalties, among other consequences. For a more detailed discussion of these risks, see our discussion in the Risk Factors in Item 1A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of Directors has delegated primary oversight of the Company’s cybersecurity risk to the Audit Committee, which receives updates on cybersecurity risks and incidents at each regularly scheduled Audit Committee meeting from the CIO, CISO, and other members of management, as needed. When making decisions regarding director appointments and committee assignments, the Board of Directors takes into consideration the cybersecurity experience of directors and director candidates and strives to maintain cybersecurity expertise on the Board of Directors and Audit Committee. We have protocols by which certain cybersecurity incidents are reported to the Audit Committee and Board of Directors.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management level, our CIO, CISO, and Deputy CISO, each of whom has extensive cybersecurity knowledge and skills gained from over 27 years, 28 years, and 19 years of relevant work experience, respectively, head the Internal Cybersecurity Team that is responsible for implementing and maintaining cybersecurity and data protection practices across our business, with our CIO reporting directly to our Chief Executive Officer. In 2023, our CIO was appointed to serve as a member of the U.S. Cybersecurity Advisory Committee (CSAC) of the Cybersecurity and Infrastructure Security Agency (CISA), which provides recommendations to CISA on a range of cybersecurity issues, including corporate cyber responsibility, technology product safety, and efforts to raise the baseline of cybersecurity practices for a variety of entities to enhance the United States’ cyber defense. Our CISO and Deputy CISO receive reports on cybersecurity threats from a number of experienced information security professionals for various parts of our business on an ongoing basis and, in conjunction with other management personnel, regularly consult on risk management measures implemented by the Company to identify and mitigate data protection and cybersecurity risks.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Risk and Compliance Committee (RCC) is responsible for oversight and support of the Company’s Enterprise Risk Management and Compliance and Ethics programs and is comprised of the Executive Leadership Team and the Senior Vice President and Chief Accounting, Risk, and Compliance Officer (Compliance Officer). The RCC also created a subcommittee, the Enterprise Risk Management Committee (ERMC), who is charged with continually monitoring, evaluating, and managing enterprise risks. The ERMC includes the Compliance Officer, General Auditor, Vice President Law - Finance and Compliance, Vice President and Chief Safety Officer, CISO, and Assistant Vice President - Corporate Strategy. The RCC and ERMC both meet throughout the year and receive periodic updates on cybersecurity from the CISO and Deputy CISO.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employ a variety of assets in the management and operation of our rail business. Our rail network covers 23 states in the western two-thirds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100965</wp:posOffset>
            </wp:positionV>
            <wp:extent cx="5143500" cy="4225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TRACK</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rail network includes 32,693 route miles. We own 26,110 miles and operate on the remainder pursuant to trackage rights or leases. The following table describes track miles: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As of December 31,</w:t>
            </w:r>
          </w:p>
        </w:tc>
        <w:tc>
          <w:tcPr>
            <w:tcW w:w="40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2023</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Route</w:t>
            </w:r>
          </w:p>
        </w:tc>
        <w:tc>
          <w:tcPr>
            <w:tcW w:w="40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rPr>
              <w:t>32,693</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32,534</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 main line</w:t>
            </w:r>
          </w:p>
        </w:tc>
        <w:tc>
          <w:tcPr>
            <w:tcW w:w="40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7,117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7,113</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Passing lines and turnouts</w:t>
            </w:r>
          </w:p>
        </w:tc>
        <w:tc>
          <w:tcPr>
            <w:tcW w:w="40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3,466</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3,454</w:t>
            </w:r>
          </w:p>
        </w:tc>
      </w:tr>
      <w:tr>
        <w:trPr>
          <w:trHeight w:val="203"/>
        </w:trPr>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Switching and classification yard lines</w:t>
            </w:r>
          </w:p>
        </w:tc>
        <w:tc>
          <w:tcPr>
            <w:tcW w:w="40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8,852</w:t>
            </w: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8,853</w:t>
            </w:r>
          </w:p>
        </w:tc>
      </w:tr>
      <w:tr>
        <w:trPr>
          <w:trHeight w:val="210"/>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miles</w:t>
            </w:r>
          </w:p>
        </w:tc>
        <w:tc>
          <w:tcPr>
            <w:tcW w:w="4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52,128</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51,954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BUILDING</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own our headquarters building in Omaha, Nebraska. The facility has 1.2 million square feet of space that can accommodate approximately 4,000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HARRIMAN DISPATCHING CENTER</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Harriman Dispatching Center (HDC), located in Omaha, Nebraska, is our primary dispatching facility. It is linked to regional dispatching and locomotive management facilities at various locations along our network. HDC employees coordinate moves of locomotives and trains, manage traffic and train crews on our network, and coordinate interchanges with other railroads. Generally, around 500 employees work on-site in the facility. In the event of a disruption of operations at HDC due to a cyber-attack, flooding or severe weather, pandemic outbreak, or other event, we maintain the capability to conduct critical operations at back-up facilities in different locations.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FACILITIES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our track structure, we operate numerous facilities, including terminals for intermodal and other freight; rail yards for building trains (classification yards), switching, storage-in-transit (the temporary storage of customer goods in rail cars prior to shipment), and other activities; offices to administer and manage our operations; dispatching centers to direct traffic on our rail network; crew on duty locations for train crews along our network; and shops and other facilities for fueling, maintenance, and repair of locomotives and repair and maintenance of rail cars and other equipment. The following table includes the major yards and terminals on our system: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Major Classification Yards</w:t>
            </w:r>
          </w:p>
        </w:tc>
        <w:tc>
          <w:tcPr>
            <w:tcW w:w="728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i w:val="1"/>
                <w:iCs w:val="1"/>
                <w:color w:val="auto"/>
              </w:rPr>
              <w:t>Major Intermodal Terminals</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Platte, Nebraska</w:t>
            </w:r>
          </w:p>
        </w:tc>
        <w:tc>
          <w:tcPr>
            <w:tcW w:w="7280" w:type="dxa"/>
            <w:vAlign w:val="bottom"/>
            <w:shd w:val="clear" w:color="auto" w:fill="CCEEFF"/>
          </w:tcPr>
          <w:p>
            <w:pPr>
              <w:ind w:left="1660"/>
              <w:spacing w:after="0" w:line="196" w:lineRule="exact"/>
              <w:rPr>
                <w:sz w:val="20"/>
                <w:szCs w:val="20"/>
                <w:color w:val="auto"/>
              </w:rPr>
            </w:pPr>
            <w:r>
              <w:rPr>
                <w:rFonts w:ascii="Arial" w:cs="Arial" w:eastAsia="Arial" w:hAnsi="Arial"/>
                <w:sz w:val="18"/>
                <w:szCs w:val="18"/>
                <w:color w:val="auto"/>
              </w:rPr>
              <w:t>Joliet (Global 4), Illinois</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Englewood (Houston), Texas</w:t>
            </w:r>
          </w:p>
        </w:tc>
        <w:tc>
          <w:tcPr>
            <w:tcW w:w="7280" w:type="dxa"/>
            <w:vAlign w:val="bottom"/>
          </w:tcPr>
          <w:p>
            <w:pPr>
              <w:ind w:left="1660"/>
              <w:spacing w:after="0" w:line="202" w:lineRule="exact"/>
              <w:rPr>
                <w:sz w:val="20"/>
                <w:szCs w:val="20"/>
                <w:color w:val="auto"/>
              </w:rPr>
            </w:pPr>
            <w:r>
              <w:rPr>
                <w:rFonts w:ascii="Arial" w:cs="Arial" w:eastAsia="Arial" w:hAnsi="Arial"/>
                <w:sz w:val="18"/>
                <w:szCs w:val="18"/>
                <w:color w:val="auto"/>
              </w:rPr>
              <w:t>Global II (Chicago), Illinois</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Little Rock, Arkansas</w:t>
            </w:r>
          </w:p>
        </w:tc>
        <w:tc>
          <w:tcPr>
            <w:tcW w:w="7280" w:type="dxa"/>
            <w:vAlign w:val="bottom"/>
            <w:shd w:val="clear" w:color="auto" w:fill="CCEEFF"/>
          </w:tcPr>
          <w:p>
            <w:pPr>
              <w:ind w:left="1660"/>
              <w:spacing w:after="0" w:line="202" w:lineRule="exact"/>
              <w:rPr>
                <w:sz w:val="20"/>
                <w:szCs w:val="20"/>
                <w:color w:val="auto"/>
              </w:rPr>
            </w:pPr>
            <w:r>
              <w:rPr>
                <w:rFonts w:ascii="Arial" w:cs="Arial" w:eastAsia="Arial" w:hAnsi="Arial"/>
                <w:sz w:val="18"/>
                <w:szCs w:val="18"/>
                <w:color w:val="auto"/>
              </w:rPr>
              <w:t>East Los Angeles, California</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Livonia, Louisiana</w:t>
            </w:r>
          </w:p>
        </w:tc>
        <w:tc>
          <w:tcPr>
            <w:tcW w:w="7280" w:type="dxa"/>
            <w:vAlign w:val="bottom"/>
          </w:tcPr>
          <w:p>
            <w:pPr>
              <w:ind w:left="1660"/>
              <w:spacing w:after="0" w:line="202" w:lineRule="exact"/>
              <w:rPr>
                <w:sz w:val="20"/>
                <w:szCs w:val="20"/>
                <w:color w:val="auto"/>
              </w:rPr>
            </w:pPr>
            <w:r>
              <w:rPr>
                <w:rFonts w:ascii="Arial" w:cs="Arial" w:eastAsia="Arial" w:hAnsi="Arial"/>
                <w:sz w:val="18"/>
                <w:szCs w:val="18"/>
                <w:color w:val="auto"/>
              </w:rPr>
              <w:t>ICTF (Long Beach), California</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Fort Worth, Texas</w:t>
            </w:r>
          </w:p>
        </w:tc>
        <w:tc>
          <w:tcPr>
            <w:tcW w:w="7280" w:type="dxa"/>
            <w:vAlign w:val="bottom"/>
            <w:shd w:val="clear" w:color="auto" w:fill="CCEEFF"/>
          </w:tcPr>
          <w:p>
            <w:pPr>
              <w:ind w:left="1660"/>
              <w:spacing w:after="0" w:line="202" w:lineRule="exact"/>
              <w:rPr>
                <w:sz w:val="20"/>
                <w:szCs w:val="20"/>
                <w:color w:val="auto"/>
              </w:rPr>
            </w:pPr>
            <w:r>
              <w:rPr>
                <w:rFonts w:ascii="Arial" w:cs="Arial" w:eastAsia="Arial" w:hAnsi="Arial"/>
                <w:sz w:val="18"/>
                <w:szCs w:val="18"/>
                <w:color w:val="auto"/>
              </w:rPr>
              <w:t>Mesquite, Texas</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Roseville, California</w:t>
            </w:r>
          </w:p>
        </w:tc>
        <w:tc>
          <w:tcPr>
            <w:tcW w:w="7280" w:type="dxa"/>
            <w:vAlign w:val="bottom"/>
          </w:tcPr>
          <w:p>
            <w:pPr>
              <w:ind w:left="1660"/>
              <w:spacing w:after="0" w:line="202" w:lineRule="exact"/>
              <w:rPr>
                <w:sz w:val="20"/>
                <w:szCs w:val="20"/>
                <w:color w:val="auto"/>
              </w:rPr>
            </w:pPr>
            <w:r>
              <w:rPr>
                <w:rFonts w:ascii="Arial" w:cs="Arial" w:eastAsia="Arial" w:hAnsi="Arial"/>
                <w:sz w:val="18"/>
                <w:szCs w:val="18"/>
                <w:color w:val="auto"/>
              </w:rPr>
              <w:t>Lathrop, California</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Houston, Texas</w:t>
            </w:r>
          </w:p>
        </w:tc>
        <w:tc>
          <w:tcPr>
            <w:tcW w:w="7280" w:type="dxa"/>
            <w:vAlign w:val="bottom"/>
            <w:shd w:val="clear" w:color="auto" w:fill="CCEEFF"/>
          </w:tcPr>
          <w:p>
            <w:pPr>
              <w:ind w:left="1660"/>
              <w:spacing w:after="0" w:line="202" w:lineRule="exact"/>
              <w:rPr>
                <w:sz w:val="20"/>
                <w:szCs w:val="20"/>
                <w:color w:val="auto"/>
              </w:rPr>
            </w:pPr>
            <w:r>
              <w:rPr>
                <w:rFonts w:ascii="Arial" w:cs="Arial" w:eastAsia="Arial" w:hAnsi="Arial"/>
                <w:sz w:val="18"/>
                <w:szCs w:val="18"/>
                <w:color w:val="auto"/>
              </w:rPr>
              <w:t>City of Industry, California</w:t>
            </w:r>
          </w:p>
        </w:tc>
      </w:tr>
      <w:tr>
        <w:trPr>
          <w:trHeight w:val="203"/>
        </w:trPr>
        <w:tc>
          <w:tcPr>
            <w:tcW w:w="3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West Colton, California</w:t>
            </w:r>
          </w:p>
        </w:tc>
        <w:tc>
          <w:tcPr>
            <w:tcW w:w="7280" w:type="dxa"/>
            <w:vAlign w:val="bottom"/>
            <w:tcBorders>
              <w:bottom w:val="single" w:sz="8" w:color="auto"/>
            </w:tcBorders>
          </w:tcPr>
          <w:p>
            <w:pPr>
              <w:ind w:left="1660"/>
              <w:spacing w:after="0" w:line="202" w:lineRule="exact"/>
              <w:rPr>
                <w:sz w:val="20"/>
                <w:szCs w:val="20"/>
                <w:color w:val="auto"/>
              </w:rPr>
            </w:pPr>
            <w:r>
              <w:rPr>
                <w:rFonts w:ascii="Arial" w:cs="Arial" w:eastAsia="Arial" w:hAnsi="Arial"/>
                <w:sz w:val="18"/>
                <w:szCs w:val="18"/>
                <w:color w:val="auto"/>
              </w:rPr>
              <w:t>Salt Lake City, Utah</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EQUIPMENT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equipment includes owned and leased locomotives and rail cars; heavy maintenance equipment and machinery; other equipment and tools in our shops, offices, and facilities; and vehicles for maintenance, transportation of crews, and other activities. As of December 31, 2023, we owned or leased the following units of equipment: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Average</w:t>
            </w:r>
          </w:p>
        </w:tc>
      </w:tr>
      <w:tr>
        <w:trPr>
          <w:trHeight w:val="219"/>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Locomotives</w:t>
            </w:r>
          </w:p>
        </w:tc>
        <w:tc>
          <w:tcPr>
            <w:tcW w:w="3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Owned</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Leased</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Total</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Age (yrs.)</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Multiple purpose</w:t>
            </w:r>
          </w:p>
        </w:tc>
        <w:tc>
          <w:tcPr>
            <w:tcW w:w="39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5,971</w:t>
            </w:r>
          </w:p>
        </w:tc>
        <w:tc>
          <w:tcPr>
            <w:tcW w:w="11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1,037</w:t>
            </w:r>
          </w:p>
        </w:tc>
        <w:tc>
          <w:tcPr>
            <w:tcW w:w="9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7,008</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Switching</w:t>
            </w:r>
          </w:p>
        </w:tc>
        <w:tc>
          <w:tcPr>
            <w:tcW w:w="3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132</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132</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43.5</w:t>
            </w:r>
          </w:p>
        </w:tc>
      </w:tr>
      <w:tr>
        <w:trPr>
          <w:trHeight w:val="203"/>
        </w:trPr>
        <w:tc>
          <w:tcPr>
            <w:tcW w:w="4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w:t>
            </w:r>
          </w:p>
        </w:tc>
        <w:tc>
          <w:tcPr>
            <w:tcW w:w="11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51.2</w:t>
            </w:r>
          </w:p>
        </w:tc>
      </w:tr>
      <w:tr>
        <w:trPr>
          <w:trHeight w:val="21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locomotives</w:t>
            </w:r>
          </w:p>
        </w:tc>
        <w:tc>
          <w:tcPr>
            <w:tcW w:w="3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6,117</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1,037</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7,154</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196"/>
        </w:trPr>
        <w:tc>
          <w:tcPr>
            <w:tcW w:w="4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3"/>
        </w:trPr>
        <w:tc>
          <w:tcPr>
            <w:tcW w:w="4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jc w:val="right"/>
              <w:ind w:right="10"/>
              <w:spacing w:after="0" w:line="193" w:lineRule="exact"/>
              <w:rPr>
                <w:sz w:val="20"/>
                <w:szCs w:val="20"/>
                <w:color w:val="auto"/>
              </w:rPr>
            </w:pPr>
            <w:r>
              <w:rPr>
                <w:rFonts w:ascii="Arial" w:cs="Arial" w:eastAsia="Arial" w:hAnsi="Arial"/>
                <w:sz w:val="18"/>
                <w:szCs w:val="18"/>
                <w:i w:val="1"/>
                <w:iCs w:val="1"/>
                <w:color w:val="auto"/>
              </w:rPr>
              <w:t>Average</w:t>
            </w:r>
          </w:p>
        </w:tc>
      </w:tr>
      <w:tr>
        <w:trPr>
          <w:trHeight w:val="219"/>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Freight cars</w:t>
            </w:r>
          </w:p>
        </w:tc>
        <w:tc>
          <w:tcPr>
            <w:tcW w:w="3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Owned</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Leased</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Total</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Age (yrs.)</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Covered hoppers</w:t>
            </w:r>
          </w:p>
        </w:tc>
        <w:tc>
          <w:tcPr>
            <w:tcW w:w="39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13,761</w:t>
            </w:r>
          </w:p>
        </w:tc>
        <w:tc>
          <w:tcPr>
            <w:tcW w:w="11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9,474</w:t>
            </w:r>
          </w:p>
        </w:tc>
        <w:tc>
          <w:tcPr>
            <w:tcW w:w="9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23,235</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Open hoppers</w:t>
            </w:r>
          </w:p>
        </w:tc>
        <w:tc>
          <w:tcPr>
            <w:tcW w:w="3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4,846</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775</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5,621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Gondolas</w:t>
            </w:r>
          </w:p>
        </w:tc>
        <w:tc>
          <w:tcPr>
            <w:tcW w:w="3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6,396</w:t>
            </w:r>
          </w:p>
        </w:tc>
        <w:tc>
          <w:tcPr>
            <w:tcW w:w="11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4,492</w:t>
            </w: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10,888</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Boxcars</w:t>
            </w:r>
          </w:p>
        </w:tc>
        <w:tc>
          <w:tcPr>
            <w:tcW w:w="3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3,389</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7,572</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10,961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Refrigerated cars</w:t>
            </w:r>
          </w:p>
        </w:tc>
        <w:tc>
          <w:tcPr>
            <w:tcW w:w="39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2,444</w:t>
            </w:r>
          </w:p>
        </w:tc>
        <w:tc>
          <w:tcPr>
            <w:tcW w:w="11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1,199</w:t>
            </w: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3,643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Flat cars</w:t>
            </w:r>
          </w:p>
        </w:tc>
        <w:tc>
          <w:tcPr>
            <w:tcW w:w="39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2,216</w:t>
            </w:r>
          </w:p>
        </w:tc>
        <w:tc>
          <w:tcPr>
            <w:tcW w:w="11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2,254</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4,470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32.6</w:t>
            </w:r>
          </w:p>
        </w:tc>
      </w:tr>
      <w:tr>
        <w:trPr>
          <w:trHeight w:val="203"/>
        </w:trPr>
        <w:tc>
          <w:tcPr>
            <w:tcW w:w="4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371</w:t>
            </w: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371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35.2</w:t>
            </w:r>
          </w:p>
        </w:tc>
      </w:tr>
      <w:tr>
        <w:trPr>
          <w:trHeight w:val="21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freight cars</w:t>
            </w:r>
          </w:p>
        </w:tc>
        <w:tc>
          <w:tcPr>
            <w:tcW w:w="3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33,052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26,137</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59,189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196"/>
        </w:trPr>
        <w:tc>
          <w:tcPr>
            <w:tcW w:w="4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3"/>
        </w:trPr>
        <w:tc>
          <w:tcPr>
            <w:tcW w:w="4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jc w:val="right"/>
              <w:ind w:right="10"/>
              <w:spacing w:after="0" w:line="193" w:lineRule="exact"/>
              <w:rPr>
                <w:sz w:val="20"/>
                <w:szCs w:val="20"/>
                <w:color w:val="auto"/>
              </w:rPr>
            </w:pPr>
            <w:r>
              <w:rPr>
                <w:rFonts w:ascii="Arial" w:cs="Arial" w:eastAsia="Arial" w:hAnsi="Arial"/>
                <w:sz w:val="18"/>
                <w:szCs w:val="18"/>
                <w:i w:val="1"/>
                <w:iCs w:val="1"/>
                <w:color w:val="auto"/>
              </w:rPr>
              <w:t>Average</w:t>
            </w:r>
          </w:p>
        </w:tc>
      </w:tr>
      <w:tr>
        <w:trPr>
          <w:trHeight w:val="219"/>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Highway revenue equipment</w:t>
            </w:r>
          </w:p>
        </w:tc>
        <w:tc>
          <w:tcPr>
            <w:tcW w:w="3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Owned</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Leased</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Total</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Age (yrs.)</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Containers</w:t>
            </w:r>
          </w:p>
        </w:tc>
        <w:tc>
          <w:tcPr>
            <w:tcW w:w="39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47,439</w:t>
            </w:r>
          </w:p>
        </w:tc>
        <w:tc>
          <w:tcPr>
            <w:tcW w:w="11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545</w:t>
            </w:r>
          </w:p>
        </w:tc>
        <w:tc>
          <w:tcPr>
            <w:tcW w:w="9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47,984</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Chassis</w:t>
            </w:r>
          </w:p>
        </w:tc>
        <w:tc>
          <w:tcPr>
            <w:tcW w:w="39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30,635</w:t>
            </w:r>
          </w:p>
        </w:tc>
        <w:tc>
          <w:tcPr>
            <w:tcW w:w="11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17,705</w:t>
            </w:r>
          </w:p>
        </w:tc>
        <w:tc>
          <w:tcPr>
            <w:tcW w:w="9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48,340</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13.2</w:t>
            </w:r>
          </w:p>
        </w:tc>
      </w:tr>
      <w:tr>
        <w:trPr>
          <w:trHeight w:val="210"/>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highway revenue equipment</w:t>
            </w:r>
          </w:p>
        </w:tc>
        <w:tc>
          <w:tcPr>
            <w:tcW w:w="3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78,074</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18,250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96,324</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429"/>
        </w:trPr>
        <w:tc>
          <w:tcPr>
            <w:tcW w:w="4100" w:type="dxa"/>
            <w:vAlign w:val="bottom"/>
          </w:tcPr>
          <w:p>
            <w:pPr>
              <w:spacing w:after="0"/>
              <w:rPr>
                <w:sz w:val="24"/>
                <w:szCs w:val="24"/>
                <w:color w:val="auto"/>
              </w:rPr>
            </w:pPr>
          </w:p>
        </w:tc>
        <w:tc>
          <w:tcPr>
            <w:tcW w:w="3960" w:type="dxa"/>
            <w:vAlign w:val="bottom"/>
          </w:tcPr>
          <w:p>
            <w:pPr>
              <w:jc w:val="right"/>
              <w:ind w:right="225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8"/>
        </w:trPr>
        <w:tc>
          <w:tcPr>
            <w:tcW w:w="410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assess our need for equipment to run an efficient and reliable network. Many factors cause us to adjust the size of our active fleets, including changes in carload volume, weather events, seasonality, customer preferences, and operational efficiency initiatives. As some of these factors are difficult to assess or can change rapidly, we maintain a buffer to remain agile. Without the surge fleet, our ability to react quickly is hindered as equipment suppliers are limited and lead times to acquire equipment are long and may be in excess of a year. We believe our locomotive and freight car fleets are appropriately sized to meet our current and future business requirements. These fleets serve as the most reliable and efficient equipment to facilitate growth without additional acquisitions. Locomotive and freight car in service utilization percentages for the year ended December 31, 2023, were 69% and 74%,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rail network requires significant annual capital investments for replacement, improvement, and expansion. These investments enhance safety, support the transportation needs of our customers, improve our operational efficiency, and support emission reduction initiatives. Additionally, we add new equipment to our fleet to replace older equipment and to support growth and customer demand.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2023 Capital Program </w:t>
      </w:r>
      <w:r>
        <w:rPr>
          <w:rFonts w:ascii="Arial" w:cs="Arial" w:eastAsia="Arial" w:hAnsi="Arial"/>
          <w:sz w:val="18"/>
          <w:szCs w:val="18"/>
          <w:color w:val="auto"/>
        </w:rPr>
        <w:t>– During 2023, our capital program totaled approximately $3.7 billion. (See the cash capital investments table in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Discussion and Analysis of Financial Condition and Results of Operations - Liquidity and Capital Resources, Item 7, of this report.)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2024 Capital Plan </w:t>
      </w:r>
      <w:r>
        <w:rPr>
          <w:rFonts w:ascii="Arial" w:cs="Arial" w:eastAsia="Arial" w:hAnsi="Arial"/>
          <w:sz w:val="18"/>
          <w:szCs w:val="18"/>
          <w:color w:val="auto"/>
        </w:rPr>
        <w:t>– In 2024, we expect our capital plan to be approximately $3.4 billion, down 8% from 2023. (See further discussion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2024 capital plan in Management’s Discussion and Analysis of Financial Condition and Results of Operations - Liquidity and Capital Resources, Item 7,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Equipment Encumbrances </w:t>
      </w:r>
      <w:r>
        <w:rPr>
          <w:rFonts w:ascii="Arial" w:cs="Arial" w:eastAsia="Arial" w:hAnsi="Arial"/>
          <w:sz w:val="18"/>
          <w:szCs w:val="18"/>
          <w:color w:val="auto"/>
        </w:rPr>
        <w:t>– See Note 14 and 16 to the Financial Statements and Supplementary Data, Item 8.</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Environmental Matters </w:t>
      </w:r>
      <w:r>
        <w:rPr>
          <w:rFonts w:ascii="Arial" w:cs="Arial" w:eastAsia="Arial" w:hAnsi="Arial"/>
          <w:sz w:val="18"/>
          <w:szCs w:val="18"/>
          <w:color w:val="auto"/>
        </w:rPr>
        <w:t>– Certain of our properties are subject to federal, state, and local laws and regulations governing the protection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environment. (See discussion within this report of environmental issues in Business - Governmental and Environmental Regulation, Item 1; Management’s Discussion and Analysis of Financial Condition and Results of Operations - Critical Accounting Estimates - Environmental, Item 7; and Note 17 to the Financial Statements and Supplementary Data, Item 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receive notices from the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this report in Management’s Discussion and Analysis of Financial Condition and Results of Operations - Critical Accounting Estimates - Environmental, Item 7, and Note 17 to the Financial Statements and Supplementary Data, Item 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Antitrust Litigation </w:t>
      </w:r>
      <w:r>
        <w:rPr>
          <w:rFonts w:ascii="Arial" w:cs="Arial" w:eastAsia="Arial" w:hAnsi="Arial"/>
          <w:sz w:val="18"/>
          <w:szCs w:val="18"/>
          <w:color w:val="auto"/>
        </w:rPr>
        <w:t>– As we reported in our Quarterly Report on Form 10-Q for the quarter ended June 30, 2007, 20 rail shippers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whom were represented by the same law firms) filed virtually identical antitrust lawsuits in various federal district courts against us and four other Class I railroads in the U.S. Currently, UPRR and three other Class I railroads are the named defendants in the lawsuits. The original plaintiff filed the first of these claims in the U.S. District Court in New Jersey on May 14, 2007. These suits alleged that the named railroads engaged in price-fixing by establishing common fuel surcharges for certain rail traffic.</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16, 2019, the U.S. Court of Appeals for the District of Columbia Circuit (D.C. Circuit) affirmed the decision of U.S. District Court for the District of Columbia (U.S. District Court) denying class certification (the Certification Denial). Only five plaintiffs remain in this multidistrict litigation (MDL) originally filed in 2007, which remains pending. They are proceeding on a consolidated basis in the U.S. District Court before the Honorable Paul L. Friedman (MDL I). Since the Certification Denial, approximately 106 lawsuits are pending in federal court based on claims identical to those alleged in the class certification case. The Judicial Panel on Multidistrict Litigation consolidated these suits for pretrial proceedings in the U.S. District Court before the Honorable Beryl A. Howell (MDL II).</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reported in our Current Report on Form 8-K, filed on June 10, 2011, the Railroad received a complaint filed in the U.S. District Court for the District of Columbia on June 7, 2011, by Oxbow Carbon &amp; Minerals LLC and related entities (Oxbow). In 2019, Oxbow dismissed certain claims and the claims that remain are the same as the Plaintiffs’ claims in MDL I.</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deny the allegations that our fuel surcharge programs violate the antitrust laws or any other laws. We believe that these lawsuits are without merit, and we will vigorously defend our actions. Therefore, we currently believe that these matters will not have a material adverse effect on any of our results of operations, financial condition, and liquidity.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 and Principal Executive Officers of Our Subsidiaries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of Directors typically elects and designates our executive officers on an annual basis at the board meeting held in conjunction with the Annual Meeting of Shareholders, and they hold office until their successors are elected. Executive officers also may be elected and designated throughout the year, as the Board of Directors considers appropriate. There are no family relationships among the officers, nor is there any arrangement or understanding between any officer and any other person pursuant to officer selection. The following table sets forth certain information current as of February 9, 2024, relating to the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40" w:type="dxa"/>
            <w:vAlign w:val="bottom"/>
            <w:tcBorders>
              <w:top w:val="single" w:sz="8" w:color="auto"/>
            </w:tcBorders>
          </w:tcPr>
          <w:p>
            <w:pPr>
              <w:spacing w:after="0"/>
              <w:rPr>
                <w:sz w:val="17"/>
                <w:szCs w:val="17"/>
                <w:color w:val="auto"/>
              </w:rPr>
            </w:pPr>
          </w:p>
        </w:tc>
        <w:tc>
          <w:tcPr>
            <w:tcW w:w="7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i w:val="1"/>
                <w:iCs w:val="1"/>
                <w:color w:val="auto"/>
                <w:w w:val="98"/>
              </w:rPr>
              <w:t>Business</w:t>
            </w:r>
          </w:p>
        </w:tc>
      </w:tr>
      <w:tr>
        <w:trPr>
          <w:trHeight w:val="203"/>
        </w:trPr>
        <w:tc>
          <w:tcPr>
            <w:tcW w:w="19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99"/>
              </w:rPr>
              <w:t>Experience During</w:t>
            </w:r>
          </w:p>
        </w:tc>
      </w:tr>
      <w:tr>
        <w:trPr>
          <w:trHeight w:val="219"/>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Name</w:t>
            </w:r>
          </w:p>
        </w:tc>
        <w:tc>
          <w:tcPr>
            <w:tcW w:w="7060" w:type="dxa"/>
            <w:vAlign w:val="bottom"/>
            <w:tcBorders>
              <w:bottom w:val="single" w:sz="8" w:color="auto"/>
            </w:tcBorders>
          </w:tcPr>
          <w:p>
            <w:pPr>
              <w:ind w:left="320"/>
              <w:spacing w:after="0"/>
              <w:rPr>
                <w:sz w:val="20"/>
                <w:szCs w:val="20"/>
                <w:color w:val="auto"/>
              </w:rPr>
            </w:pPr>
            <w:r>
              <w:rPr>
                <w:rFonts w:ascii="Arial" w:cs="Arial" w:eastAsia="Arial" w:hAnsi="Arial"/>
                <w:sz w:val="18"/>
                <w:szCs w:val="18"/>
                <w:i w:val="1"/>
                <w:iCs w:val="1"/>
                <w:color w:val="auto"/>
              </w:rPr>
              <w:t>Position</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Age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Past Five Years</w:t>
            </w:r>
          </w:p>
        </w:tc>
      </w:tr>
      <w:tr>
        <w:trPr>
          <w:trHeight w:val="196"/>
        </w:trPr>
        <w:tc>
          <w:tcPr>
            <w:tcW w:w="1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 James Vena</w:t>
            </w:r>
          </w:p>
        </w:tc>
        <w:tc>
          <w:tcPr>
            <w:tcW w:w="70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Chief Executive Officer of UPC and the Railroad</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65</w:t>
            </w:r>
          </w:p>
        </w:tc>
        <w:tc>
          <w:tcPr>
            <w:tcW w:w="1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Elizabeth F. Whited</w:t>
            </w: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President of UPC and the Railroad</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L. Hamann</w:t>
            </w:r>
          </w:p>
        </w:tc>
        <w:tc>
          <w:tcPr>
            <w:tcW w:w="7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Executive Vice President and Chief Financial Officer of UPC and the Railroad</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56</w:t>
            </w:r>
          </w:p>
        </w:tc>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Eric J. Gehringer</w:t>
            </w: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Executive Vice President - Operations of the Railroad</w:t>
            </w:r>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Rahul Jalali</w:t>
            </w:r>
          </w:p>
        </w:tc>
        <w:tc>
          <w:tcPr>
            <w:tcW w:w="7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Executive Vice President and Chief Information Officer of UPC and the Railroad</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50</w:t>
            </w:r>
          </w:p>
        </w:tc>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184"/>
        </w:trPr>
        <w:tc>
          <w:tcPr>
            <w:tcW w:w="1940" w:type="dxa"/>
            <w:vAlign w:val="bottom"/>
          </w:tcPr>
          <w:p>
            <w:pPr>
              <w:spacing w:after="0" w:line="183" w:lineRule="exact"/>
              <w:rPr>
                <w:sz w:val="20"/>
                <w:szCs w:val="20"/>
                <w:color w:val="auto"/>
              </w:rPr>
            </w:pPr>
            <w:r>
              <w:rPr>
                <w:rFonts w:ascii="Arial" w:cs="Arial" w:eastAsia="Arial" w:hAnsi="Arial"/>
                <w:sz w:val="18"/>
                <w:szCs w:val="18"/>
                <w:color w:val="auto"/>
              </w:rPr>
              <w:t>Craig V. Richardson</w:t>
            </w:r>
          </w:p>
        </w:tc>
        <w:tc>
          <w:tcPr>
            <w:tcW w:w="7060" w:type="dxa"/>
            <w:vAlign w:val="bottom"/>
          </w:tcPr>
          <w:p>
            <w:pPr>
              <w:ind w:left="320"/>
              <w:spacing w:after="0" w:line="183" w:lineRule="exact"/>
              <w:rPr>
                <w:sz w:val="20"/>
                <w:szCs w:val="20"/>
                <w:color w:val="auto"/>
              </w:rPr>
            </w:pPr>
            <w:r>
              <w:rPr>
                <w:rFonts w:ascii="Arial" w:cs="Arial" w:eastAsia="Arial" w:hAnsi="Arial"/>
                <w:sz w:val="18"/>
                <w:szCs w:val="18"/>
                <w:color w:val="auto"/>
              </w:rPr>
              <w:t>Executive Vice President, Chief Legal Officer, and Corporate Secretary of UPC and</w:t>
            </w:r>
          </w:p>
        </w:tc>
        <w:tc>
          <w:tcPr>
            <w:tcW w:w="560" w:type="dxa"/>
            <w:vAlign w:val="bottom"/>
          </w:tcPr>
          <w:p>
            <w:pPr>
              <w:jc w:val="center"/>
              <w:spacing w:after="0" w:line="183" w:lineRule="exact"/>
              <w:rPr>
                <w:sz w:val="20"/>
                <w:szCs w:val="20"/>
                <w:color w:val="auto"/>
              </w:rPr>
            </w:pPr>
            <w:r>
              <w:rPr>
                <w:rFonts w:ascii="Arial" w:cs="Arial" w:eastAsia="Arial" w:hAnsi="Arial"/>
                <w:sz w:val="18"/>
                <w:szCs w:val="18"/>
                <w:color w:val="auto"/>
                <w:w w:val="99"/>
              </w:rPr>
              <w:t>62</w:t>
            </w:r>
          </w:p>
        </w:tc>
        <w:tc>
          <w:tcPr>
            <w:tcW w:w="1680" w:type="dxa"/>
            <w:vAlign w:val="bottom"/>
          </w:tcPr>
          <w:p>
            <w:pPr>
              <w:jc w:val="center"/>
              <w:spacing w:after="0" w:line="183" w:lineRule="exact"/>
              <w:rPr>
                <w:sz w:val="20"/>
                <w:szCs w:val="20"/>
                <w:color w:val="auto"/>
              </w:rPr>
            </w:pPr>
            <w:r>
              <w:rPr>
                <w:rFonts w:ascii="Arial" w:cs="Arial" w:eastAsia="Arial" w:hAnsi="Arial"/>
                <w:sz w:val="18"/>
                <w:szCs w:val="18"/>
                <w:color w:val="auto"/>
                <w:w w:val="99"/>
              </w:rPr>
              <w:t>[6]</w:t>
            </w:r>
          </w:p>
        </w:tc>
      </w:tr>
      <w:tr>
        <w:trPr>
          <w:trHeight w:val="221"/>
        </w:trPr>
        <w:tc>
          <w:tcPr>
            <w:tcW w:w="1940" w:type="dxa"/>
            <w:vAlign w:val="bottom"/>
          </w:tcPr>
          <w:p>
            <w:pPr>
              <w:spacing w:after="0"/>
              <w:rPr>
                <w:sz w:val="19"/>
                <w:szCs w:val="19"/>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the Railroad</w:t>
            </w: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Kenny G. Rocker</w:t>
            </w:r>
          </w:p>
        </w:tc>
        <w:tc>
          <w:tcPr>
            <w:tcW w:w="7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Executive Vice President - Marketing and Sales of the Railroad</w:t>
            </w:r>
          </w:p>
        </w:tc>
        <w:tc>
          <w:tcPr>
            <w:tcW w:w="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52</w:t>
            </w:r>
          </w:p>
        </w:tc>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Current Position</w:t>
            </w:r>
          </w:p>
        </w:tc>
      </w:tr>
      <w:tr>
        <w:trPr>
          <w:trHeight w:val="184"/>
        </w:trPr>
        <w:tc>
          <w:tcPr>
            <w:tcW w:w="1940" w:type="dxa"/>
            <w:vAlign w:val="bottom"/>
          </w:tcPr>
          <w:p>
            <w:pPr>
              <w:spacing w:after="0" w:line="183" w:lineRule="exact"/>
              <w:rPr>
                <w:sz w:val="20"/>
                <w:szCs w:val="20"/>
                <w:color w:val="auto"/>
              </w:rPr>
            </w:pPr>
            <w:r>
              <w:rPr>
                <w:rFonts w:ascii="Arial" w:cs="Arial" w:eastAsia="Arial" w:hAnsi="Arial"/>
                <w:sz w:val="18"/>
                <w:szCs w:val="18"/>
                <w:color w:val="auto"/>
              </w:rPr>
              <w:t>Todd M. Rynaski</w:t>
            </w:r>
          </w:p>
        </w:tc>
        <w:tc>
          <w:tcPr>
            <w:tcW w:w="7060" w:type="dxa"/>
            <w:vAlign w:val="bottom"/>
          </w:tcPr>
          <w:p>
            <w:pPr>
              <w:ind w:left="320"/>
              <w:spacing w:after="0" w:line="183" w:lineRule="exact"/>
              <w:rPr>
                <w:sz w:val="20"/>
                <w:szCs w:val="20"/>
                <w:color w:val="auto"/>
              </w:rPr>
            </w:pPr>
            <w:r>
              <w:rPr>
                <w:rFonts w:ascii="Arial" w:cs="Arial" w:eastAsia="Arial" w:hAnsi="Arial"/>
                <w:sz w:val="18"/>
                <w:szCs w:val="18"/>
                <w:color w:val="auto"/>
              </w:rPr>
              <w:t>Senior Vice President and Chief Accounting, Risk, and Compliance Officer of UPC</w:t>
            </w:r>
          </w:p>
        </w:tc>
        <w:tc>
          <w:tcPr>
            <w:tcW w:w="560" w:type="dxa"/>
            <w:vAlign w:val="bottom"/>
          </w:tcPr>
          <w:p>
            <w:pPr>
              <w:jc w:val="center"/>
              <w:spacing w:after="0" w:line="183" w:lineRule="exact"/>
              <w:rPr>
                <w:sz w:val="20"/>
                <w:szCs w:val="20"/>
                <w:color w:val="auto"/>
              </w:rPr>
            </w:pPr>
            <w:r>
              <w:rPr>
                <w:rFonts w:ascii="Arial" w:cs="Arial" w:eastAsia="Arial" w:hAnsi="Arial"/>
                <w:sz w:val="18"/>
                <w:szCs w:val="18"/>
                <w:color w:val="auto"/>
                <w:w w:val="99"/>
              </w:rPr>
              <w:t>53</w:t>
            </w:r>
          </w:p>
        </w:tc>
        <w:tc>
          <w:tcPr>
            <w:tcW w:w="1680" w:type="dxa"/>
            <w:vAlign w:val="bottom"/>
          </w:tcPr>
          <w:p>
            <w:pPr>
              <w:jc w:val="center"/>
              <w:spacing w:after="0" w:line="183" w:lineRule="exact"/>
              <w:rPr>
                <w:sz w:val="20"/>
                <w:szCs w:val="20"/>
                <w:color w:val="auto"/>
              </w:rPr>
            </w:pPr>
            <w:r>
              <w:rPr>
                <w:rFonts w:ascii="Arial" w:cs="Arial" w:eastAsia="Arial" w:hAnsi="Arial"/>
                <w:sz w:val="18"/>
                <w:szCs w:val="18"/>
                <w:color w:val="auto"/>
                <w:w w:val="99"/>
              </w:rPr>
              <w:t>[7]</w:t>
            </w:r>
          </w:p>
        </w:tc>
      </w:tr>
      <w:tr>
        <w:trPr>
          <w:trHeight w:val="221"/>
        </w:trPr>
        <w:tc>
          <w:tcPr>
            <w:tcW w:w="1940" w:type="dxa"/>
            <w:vAlign w:val="bottom"/>
            <w:tcBorders>
              <w:bottom w:val="single" w:sz="8" w:color="auto"/>
            </w:tcBorders>
          </w:tcPr>
          <w:p>
            <w:pPr>
              <w:spacing w:after="0"/>
              <w:rPr>
                <w:sz w:val="19"/>
                <w:szCs w:val="19"/>
                <w:color w:val="auto"/>
              </w:rPr>
            </w:pPr>
          </w:p>
        </w:tc>
        <w:tc>
          <w:tcPr>
            <w:tcW w:w="7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and the Railroad</w:t>
            </w: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bl>
    <w:p>
      <w:pPr>
        <w:spacing w:after="0" w:line="109" w:lineRule="exact"/>
        <w:rPr>
          <w:sz w:val="20"/>
          <w:szCs w:val="20"/>
          <w:color w:val="auto"/>
        </w:rPr>
      </w:pPr>
    </w:p>
    <w:p>
      <w:pPr>
        <w:ind w:left="340" w:hanging="332"/>
        <w:spacing w:after="0" w:line="255"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Mr. Vena was elected Chief Executive Officer of UPC and the Railroad effective August 14, 2023. He previously served as a Senior Advisor to the Chairman of UPC (January 2021 - June 2021) and Chief Operating Officer (January 2019 - December 2020).</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Ms. Whited was elected President of UPC and the Railroad effective August 14, 2023. Ms. Whited most recently served as Executive Vice President - Sustainability and Strategy of UPC and the Railroad (February 2022 - August 2023). She previously served as Executive Vice President and Chief Human Resources Officer (August 2018 - February 2022).</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Ms. Hamann was elected Executive Vice President and Chief Financial Officer of UPC and the Railroad effective January 1, 2020. She previously served as Senior Vice President - Finance (April 2019 - December 2019) and Vice President - Planning &amp; Analysis (October 2017 - March 2019).</w:t>
      </w:r>
    </w:p>
    <w:p>
      <w:pPr>
        <w:jc w:val="both"/>
        <w:ind w:left="340" w:hanging="332"/>
        <w:spacing w:after="0" w:line="246"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Mr. Gehringer was elected Executive Vice President - Operations of the Railroad effective January 1, 2021. Mr. Gehringer previously served as Senior Vice President - Transportation (July 2020 - December 2020), Vice President - Mechanical and Engineering (January 2020 - July 2020), and Vice President - Engineering (March 2018 - January 2020).</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Mr. Jalali was elected Executive Vice President and Chief Information Officer of UPC and the Railroad effective June 1, 2023. Mr. Jalali most recently served as Senior Vice President and Chief Information Officer (November 2020 - May 2023).</w:t>
      </w:r>
    </w:p>
    <w:p>
      <w:pPr>
        <w:jc w:val="both"/>
        <w:ind w:left="340" w:hanging="332"/>
        <w:spacing w:after="0" w:line="246"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Mr. Richardson was elected Executive Vice President, Chief Legal Officer, and Corporate Secretary of UPC and the Railroad effective December 8, 2020. He most recently served as Interim Executive Vice President, Chief Legal Officer, and Corporate Secretary of UPC and the Railroad (September 2020 - November 2020) and Vice President - Commercial and Regulatory Law (July 2018 - August 2020).</w:t>
      </w:r>
    </w:p>
    <w:p>
      <w:pPr>
        <w:spacing w:after="0" w:line="1"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Mr. Rynaski was elected Senior Vice President and Chief Accounting, Risk, and Compliance Officer of UPC and the Railroad effective July 1, 2022. Mr. Rynaski previously served as Vice President and Controller (September 2015 - June 2022).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the Registrant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NYSE under the symbol “UNP”.</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At February 2, 2024, there were 609,777,914 shares of common stock outstanding and 27,949 common shareholders of record. On that date, the closing price of the common stock on the NYSE was $248.33. We paid dividends to our common shareholders during each of the past 124 years.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Comparison Over One- and Three-Year Periods </w:t>
      </w:r>
      <w:r>
        <w:rPr>
          <w:rFonts w:ascii="Arial" w:cs="Arial" w:eastAsia="Arial" w:hAnsi="Arial"/>
          <w:sz w:val="18"/>
          <w:szCs w:val="18"/>
          <w:color w:val="auto"/>
        </w:rPr>
        <w:t>– The following table presents the cumulative total shareholder returns, assuming</w:t>
      </w:r>
      <w:r>
        <w:rPr>
          <w:rFonts w:ascii="Arial" w:cs="Arial" w:eastAsia="Arial" w:hAnsi="Arial"/>
          <w:sz w:val="18"/>
          <w:szCs w:val="18"/>
          <w:b w:val="1"/>
          <w:bCs w:val="1"/>
          <w:color w:val="auto"/>
        </w:rPr>
        <w:t xml:space="preserve"> </w:t>
      </w:r>
      <w:r>
        <w:rPr>
          <w:rFonts w:ascii="Arial" w:cs="Arial" w:eastAsia="Arial" w:hAnsi="Arial"/>
          <w:sz w:val="18"/>
          <w:szCs w:val="18"/>
          <w:color w:val="auto"/>
        </w:rPr>
        <w:t>reinvestment of dividends, over one- and three-year periods for the Corporation (UNP), a peer group index (comprised of CSX Corporation and Norfolk Southern Corporation), the Dow Jones Transportation Index (DJ Trans), and the Standard &amp; Poor’s 500 Stock Index (S&amp;P 500).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Period</w:t>
            </w:r>
          </w:p>
        </w:tc>
        <w:tc>
          <w:tcPr>
            <w:tcW w:w="3020" w:type="dxa"/>
            <w:vAlign w:val="bottom"/>
            <w:tcBorders>
              <w:top w:val="single" w:sz="8" w:color="auto"/>
              <w:bottom w:val="single" w:sz="8" w:color="auto"/>
            </w:tcBorders>
          </w:tcPr>
          <w:p>
            <w:pPr>
              <w:ind w:left="2280"/>
              <w:spacing w:after="0"/>
              <w:rPr>
                <w:sz w:val="20"/>
                <w:szCs w:val="20"/>
                <w:color w:val="auto"/>
              </w:rPr>
            </w:pPr>
            <w:r>
              <w:rPr>
                <w:rFonts w:ascii="Arial" w:cs="Arial" w:eastAsia="Arial" w:hAnsi="Arial"/>
                <w:sz w:val="18"/>
                <w:szCs w:val="18"/>
                <w:i w:val="1"/>
                <w:iCs w:val="1"/>
                <w:color w:val="auto"/>
              </w:rPr>
              <w:t>UNP</w:t>
            </w:r>
          </w:p>
        </w:tc>
        <w:tc>
          <w:tcPr>
            <w:tcW w:w="1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Peer Group</w:t>
            </w:r>
          </w:p>
        </w:tc>
        <w:tc>
          <w:tcPr>
            <w:tcW w:w="15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DJ Trans</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S&amp;P 500</w:t>
            </w:r>
          </w:p>
        </w:tc>
      </w:tr>
      <w:tr>
        <w:trPr>
          <w:trHeight w:val="196"/>
        </w:trPr>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w:t>
            </w:r>
          </w:p>
        </w:tc>
        <w:tc>
          <w:tcPr>
            <w:tcW w:w="3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Year (2023)</w:t>
            </w:r>
          </w:p>
        </w:tc>
        <w:tc>
          <w:tcPr>
            <w:tcW w:w="3020" w:type="dxa"/>
            <w:vAlign w:val="bottom"/>
            <w:shd w:val="clear" w:color="auto" w:fill="CCEEFF"/>
          </w:tcPr>
          <w:p>
            <w:pPr>
              <w:ind w:left="2320"/>
              <w:spacing w:after="0" w:line="196" w:lineRule="exact"/>
              <w:rPr>
                <w:sz w:val="20"/>
                <w:szCs w:val="20"/>
                <w:color w:val="auto"/>
              </w:rPr>
            </w:pPr>
            <w:r>
              <w:rPr>
                <w:rFonts w:ascii="Arial" w:cs="Arial" w:eastAsia="Arial" w:hAnsi="Arial"/>
                <w:sz w:val="18"/>
                <w:szCs w:val="18"/>
                <w:color w:val="auto"/>
              </w:rPr>
              <w:t>21.5%</w:t>
            </w:r>
          </w:p>
        </w:tc>
        <w:tc>
          <w:tcPr>
            <w:tcW w:w="16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6.9%</w:t>
            </w:r>
          </w:p>
        </w:tc>
        <w:tc>
          <w:tcPr>
            <w:tcW w:w="15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20.4%</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r>
      <w:tr>
        <w:trPr>
          <w:trHeight w:val="216"/>
        </w:trPr>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(2021 - 2023)</w:t>
            </w:r>
          </w:p>
        </w:tc>
        <w:tc>
          <w:tcPr>
            <w:tcW w:w="302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26.0%</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Five-Year Performance Comparison </w:t>
      </w:r>
      <w:r>
        <w:rPr>
          <w:rFonts w:ascii="Arial" w:cs="Arial" w:eastAsia="Arial" w:hAnsi="Arial"/>
          <w:sz w:val="18"/>
          <w:szCs w:val="18"/>
          <w:color w:val="auto"/>
        </w:rPr>
        <w:t>– The following graph provides an indicator of cumulative total shareholder returns for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the peer group index (described above), the DJ Trans, and the S&amp;P 500. The graph assumes that $100 was invested in the common stock of Union Pacific Corporation and each index on December 31, 2018, and that all dividends were reinvested. The information below is historical in nature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113665</wp:posOffset>
            </wp:positionV>
            <wp:extent cx="5143500" cy="2383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During 2023, we repurchased 3,657,484 shares of our common stock at an average price of $202.67.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common stock repurchases during each month for the fourth quarter of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right"/>
              <w:ind w:right="190"/>
              <w:spacing w:after="0" w:line="199" w:lineRule="exact"/>
              <w:rPr>
                <w:sz w:val="20"/>
                <w:szCs w:val="20"/>
                <w:color w:val="auto"/>
              </w:rPr>
            </w:pPr>
            <w:r>
              <w:rPr>
                <w:rFonts w:ascii="Arial" w:cs="Arial" w:eastAsia="Arial" w:hAnsi="Arial"/>
                <w:sz w:val="18"/>
                <w:szCs w:val="18"/>
                <w:i w:val="1"/>
                <w:iCs w:val="1"/>
                <w:color w:val="auto"/>
              </w:rPr>
              <w:t>Total Number of Shares</w:t>
            </w:r>
          </w:p>
        </w:tc>
        <w:tc>
          <w:tcPr>
            <w:tcW w:w="206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Maximum Number of</w:t>
            </w:r>
          </w:p>
        </w:tc>
      </w:tr>
      <w:tr>
        <w:trPr>
          <w:trHeight w:val="203"/>
        </w:trPr>
        <w:tc>
          <w:tcPr>
            <w:tcW w:w="2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i w:val="1"/>
                <w:iCs w:val="1"/>
                <w:color w:val="auto"/>
              </w:rPr>
              <w:t>Purchased as Part of a</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Shares Remaining</w:t>
            </w:r>
          </w:p>
        </w:tc>
      </w:tr>
      <w:tr>
        <w:trPr>
          <w:trHeight w:val="203"/>
        </w:trPr>
        <w:tc>
          <w:tcPr>
            <w:tcW w:w="2240" w:type="dxa"/>
            <w:vAlign w:val="bottom"/>
          </w:tcPr>
          <w:p>
            <w:pPr>
              <w:spacing w:after="0"/>
              <w:rPr>
                <w:sz w:val="17"/>
                <w:szCs w:val="17"/>
                <w:color w:val="auto"/>
              </w:rPr>
            </w:pPr>
          </w:p>
        </w:tc>
        <w:tc>
          <w:tcPr>
            <w:tcW w:w="2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Total Number of Shares</w:t>
            </w:r>
          </w:p>
        </w:tc>
        <w:tc>
          <w:tcPr>
            <w:tcW w:w="1860" w:type="dxa"/>
            <w:vAlign w:val="bottom"/>
            <w:gridSpan w:val="2"/>
          </w:tcPr>
          <w:p>
            <w:pPr>
              <w:jc w:val="right"/>
              <w:ind w:right="90"/>
              <w:spacing w:after="0" w:line="202" w:lineRule="exact"/>
              <w:rPr>
                <w:sz w:val="20"/>
                <w:szCs w:val="20"/>
                <w:color w:val="auto"/>
              </w:rPr>
            </w:pPr>
            <w:r>
              <w:rPr>
                <w:rFonts w:ascii="Arial" w:cs="Arial" w:eastAsia="Arial" w:hAnsi="Arial"/>
                <w:sz w:val="18"/>
                <w:szCs w:val="18"/>
                <w:i w:val="1"/>
                <w:iCs w:val="1"/>
                <w:color w:val="auto"/>
              </w:rPr>
              <w:t>Average Price Paid</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i w:val="1"/>
                <w:iCs w:val="1"/>
                <w:color w:val="auto"/>
              </w:rPr>
              <w:t>Publicly Announced Plan or</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Under the Plan or</w:t>
            </w:r>
          </w:p>
        </w:tc>
      </w:tr>
      <w:tr>
        <w:trPr>
          <w:trHeight w:val="219"/>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Period</w:t>
            </w:r>
          </w:p>
        </w:tc>
        <w:tc>
          <w:tcPr>
            <w:tcW w:w="2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Purchased [a]</w:t>
            </w: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Per Share</w:t>
            </w:r>
          </w:p>
        </w:tc>
        <w:tc>
          <w:tcPr>
            <w:tcW w:w="2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Program</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Program [b]</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Oct. 1 through Oct. 31</w:t>
            </w:r>
          </w:p>
        </w:tc>
        <w:tc>
          <w:tcPr>
            <w:tcW w:w="24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222.76</w:t>
            </w:r>
          </w:p>
        </w:tc>
        <w:tc>
          <w:tcPr>
            <w:tcW w:w="26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80,392,027</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Nov. 1 through Nov. 30</w:t>
            </w:r>
          </w:p>
        </w:tc>
        <w:tc>
          <w:tcPr>
            <w:tcW w:w="2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3,069</w:t>
            </w:r>
          </w:p>
        </w:tc>
        <w:tc>
          <w:tcPr>
            <w:tcW w:w="540" w:type="dxa"/>
            <w:vAlign w:val="bottom"/>
          </w:tcPr>
          <w:p>
            <w:pPr>
              <w:spacing w:after="0"/>
              <w:rPr>
                <w:sz w:val="17"/>
                <w:szCs w:val="17"/>
                <w:color w:val="auto"/>
              </w:rPr>
            </w:pP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219.57</w:t>
            </w:r>
          </w:p>
        </w:tc>
        <w:tc>
          <w:tcPr>
            <w:tcW w:w="2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80,392,027</w:t>
            </w:r>
          </w:p>
        </w:tc>
      </w:tr>
      <w:tr>
        <w:trPr>
          <w:trHeight w:val="216"/>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 1 through Dec. 31</w:t>
            </w:r>
          </w:p>
        </w:tc>
        <w:tc>
          <w:tcPr>
            <w:tcW w:w="2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3,573</w:t>
            </w: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235.05</w:t>
            </w:r>
          </w:p>
        </w:tc>
        <w:tc>
          <w:tcPr>
            <w:tcW w:w="2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80,392,027</w:t>
            </w:r>
          </w:p>
        </w:tc>
      </w:tr>
      <w:tr>
        <w:trPr>
          <w:trHeight w:val="210"/>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6,808</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227.77</w:t>
            </w:r>
          </w:p>
        </w:tc>
        <w:tc>
          <w:tcPr>
            <w:tcW w:w="2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109" w:lineRule="exact"/>
        <w:rPr>
          <w:sz w:val="20"/>
          <w:szCs w:val="20"/>
          <w:color w:val="auto"/>
        </w:rPr>
      </w:pPr>
    </w:p>
    <w:p>
      <w:pPr>
        <w:jc w:val="both"/>
        <w:ind w:left="340" w:hanging="332"/>
        <w:spacing w:after="0" w:line="252"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approximately 6,808 shares delivered or attested to UPC by employees to pay stock option exercise prices, satisfy excess tax withholding obligations for stock option exercises or vesting of retention units, and pay withholding obligations for vesting of retention shares.</w:t>
      </w:r>
    </w:p>
    <w:p>
      <w:pPr>
        <w:spacing w:after="0" w:line="1" w:lineRule="exact"/>
        <w:rPr>
          <w:rFonts w:ascii="Arial" w:cs="Arial" w:eastAsia="Arial" w:hAnsi="Arial"/>
          <w:sz w:val="16"/>
          <w:szCs w:val="16"/>
          <w:i w:val="1"/>
          <w:iCs w:val="1"/>
          <w:color w:val="auto"/>
        </w:rPr>
      </w:pPr>
    </w:p>
    <w:p>
      <w:pPr>
        <w:jc w:val="both"/>
        <w:ind w:left="340" w:hanging="332"/>
        <w:spacing w:after="0" w:line="256"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2022, our Board of Directors authorized the repurchase of up to 100 million shares of our common stock by March 31, 2025, replacing our previous repurchase program. These repurchases may be made on the open market or through other transactions. Our management has sole discretion with respect to determining the timing and amount of these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applicable notes to the Financial Statements and Supplementary Data, Item 8, and other information in this report, including Risk Factors set forth in Item 1A and Critical Accounting Estimates and Cautionary Information at the end of this Item 7. The following section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Results</w:t>
      </w:r>
    </w:p>
    <w:p>
      <w:pPr>
        <w:spacing w:after="0" w:line="198" w:lineRule="exact"/>
        <w:rPr>
          <w:sz w:val="20"/>
          <w:szCs w:val="20"/>
          <w:color w:val="auto"/>
        </w:rPr>
      </w:pPr>
    </w:p>
    <w:p>
      <w:pPr>
        <w:jc w:val="both"/>
        <w:ind w:left="340" w:hanging="332"/>
        <w:spacing w:after="0" w:line="24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 We initiated changes to our safety program that focused on training, culture, and refreshing how teams communicate and look</w:t>
      </w:r>
      <w:r>
        <w:rPr>
          <w:rFonts w:ascii="Arial" w:cs="Arial" w:eastAsia="Arial" w:hAnsi="Arial"/>
          <w:sz w:val="18"/>
          <w:szCs w:val="18"/>
          <w:b w:val="1"/>
          <w:bCs w:val="1"/>
          <w:color w:val="auto"/>
        </w:rPr>
        <w:t xml:space="preserve"> </w:t>
      </w:r>
      <w:r>
        <w:rPr>
          <w:rFonts w:ascii="Arial" w:cs="Arial" w:eastAsia="Arial" w:hAnsi="Arial"/>
          <w:sz w:val="18"/>
          <w:szCs w:val="18"/>
          <w:color w:val="auto"/>
        </w:rPr>
        <w:t>out for each other. An analysis of historical injury data identified a large portion of our reportable injuries involve a failure to comply with a small number of critical operating rules. These critical rules are the foundation of our new program that is being implemented. While our reportable personal injury incidents rate per 200,000 employee-hours deteriorated 4% from 2022, we improved in the latter part of the year.</w:t>
      </w:r>
    </w:p>
    <w:p>
      <w:pPr>
        <w:spacing w:after="0" w:line="162" w:lineRule="exact"/>
        <w:rPr>
          <w:rFonts w:ascii="Arial" w:cs="Arial" w:eastAsia="Arial" w:hAnsi="Arial"/>
          <w:sz w:val="18"/>
          <w:szCs w:val="18"/>
          <w:color w:val="auto"/>
        </w:rPr>
      </w:pPr>
    </w:p>
    <w:p>
      <w:pPr>
        <w:jc w:val="both"/>
        <w:ind w:left="340"/>
        <w:spacing w:after="0" w:line="247" w:lineRule="auto"/>
        <w:rPr>
          <w:rFonts w:ascii="Arial" w:cs="Arial" w:eastAsia="Arial" w:hAnsi="Arial"/>
          <w:sz w:val="18"/>
          <w:szCs w:val="18"/>
          <w:color w:val="auto"/>
        </w:rPr>
      </w:pPr>
      <w:r>
        <w:rPr>
          <w:rFonts w:ascii="Arial" w:cs="Arial" w:eastAsia="Arial" w:hAnsi="Arial"/>
          <w:sz w:val="18"/>
          <w:szCs w:val="18"/>
          <w:color w:val="auto"/>
        </w:rPr>
        <w:t>We continued to refine our proprietary software called Precision Train Builder to evaluate train and route characteristics to enable proactive intervention by our Operating Practices Command Center to prevent derailments. In addition, the software allows the team to simulate in-train forces to avoid train handling that would generate forces greater than tolerance limits. These efforts helped to drive our reportable derailment incident rate per million train miles down 6% year-over-year.</w:t>
      </w:r>
    </w:p>
    <w:p>
      <w:pPr>
        <w:spacing w:after="0" w:line="160"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Further supporting our efforts, in March, the AAR announced a set of key safety actions. These include the installation of additional hot wheel bearing wayside detectors and enhanced standards for how we proactively use and share critical data. In addition, the industry is expanding efforts in first responder training and deploying technology to provide real-time railcar condition monitoring.</w:t>
      </w:r>
    </w:p>
    <w:p>
      <w:pPr>
        <w:spacing w:after="0" w:line="155"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 Car trip plan compliance for both intermodal and manifest/automotive products improved compared to 2022.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we improved network fluidity as reflected in faster freight car velocity and lower terminal dwell. We graduated over 1,900 train, engine, and yard employees to backfill attrition, cover absences resulting from recently negotiated sick leave benefits, and added employees in areas of critical need to address operational challenges and support our service product.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34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 The year began with weather disruptions across the network that impacted our operations. We deployed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locomotives and aggressively hired train, engine, and yard employees to alleviate these operational challenges. Despite the challenges, we continued to focus on using our resources effectively and productively, which resulted in sequential improvement in many of our operating metrics.</w:t>
      </w:r>
    </w:p>
    <w:p>
      <w:pPr>
        <w:spacing w:after="0" w:line="160"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Financial Results </w:t>
      </w:r>
      <w:r>
        <w:rPr>
          <w:rFonts w:ascii="Arial" w:cs="Arial" w:eastAsia="Arial" w:hAnsi="Arial"/>
          <w:sz w:val="18"/>
          <w:szCs w:val="18"/>
          <w:color w:val="auto"/>
        </w:rPr>
        <w:t>– Soft consumer markets, inflationary pressures, new labor agreements, fluctuating fuel prices, operational issues,</w:t>
      </w:r>
      <w:r>
        <w:rPr>
          <w:rFonts w:ascii="Arial" w:cs="Arial" w:eastAsia="Arial" w:hAnsi="Arial"/>
          <w:sz w:val="18"/>
          <w:szCs w:val="18"/>
          <w:b w:val="1"/>
          <w:bCs w:val="1"/>
          <w:color w:val="auto"/>
        </w:rPr>
        <w:t xml:space="preserve"> </w:t>
      </w:r>
      <w:r>
        <w:rPr>
          <w:rFonts w:ascii="Arial" w:cs="Arial" w:eastAsia="Arial" w:hAnsi="Arial"/>
          <w:sz w:val="18"/>
          <w:szCs w:val="18"/>
          <w:color w:val="auto"/>
        </w:rPr>
        <w:t>and first quarter weather disruptions negatively impacted our financial results. Operating income of $9.1 billion declined 8% from 2022, and operating ratio was 62.3%, deteriorating 2.2 points from 2022. Net income of $6.4 billion translated into earnings of $10.45 per diluted share, down 7% from 2022.</w:t>
      </w:r>
    </w:p>
    <w:p>
      <w:pPr>
        <w:spacing w:after="0" w:line="160" w:lineRule="exact"/>
        <w:rPr>
          <w:sz w:val="20"/>
          <w:szCs w:val="20"/>
          <w:color w:val="auto"/>
        </w:rPr>
      </w:pPr>
    </w:p>
    <w:p>
      <w:pPr>
        <w:ind w:left="340" w:right="40"/>
        <w:spacing w:after="0" w:line="247" w:lineRule="auto"/>
        <w:rPr>
          <w:sz w:val="20"/>
          <w:szCs w:val="20"/>
          <w:color w:val="auto"/>
        </w:rPr>
      </w:pPr>
      <w:r>
        <w:rPr>
          <w:rFonts w:ascii="Arial" w:cs="Arial" w:eastAsia="Arial" w:hAnsi="Arial"/>
          <w:sz w:val="18"/>
          <w:szCs w:val="18"/>
          <w:color w:val="auto"/>
        </w:rPr>
        <w:t>Despite the challenging year, we generated $8.4 billion of cash provided by operating activities, yielded free cash flow of $1.5 billion after reductions of $3.7 billion for cash used in investing activities and $3.2 billion in dividends. Both cash provided by operating activities and free cash flow were lowered by $454 million of payments related to the 2022 one-time charge for agreements reached with our labor unions and the ratification charge for a crew staffing agreement reached in the second quarter of 2023.</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Free cash flow is defined as cash provided by operating activities less cash used in investing activities and dividends paid. Free cash flow is not considered a financial measure under GAAP by SEC Regulation G and Item 10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 The following table reconciles cash provided by operating activities (GAAP measure) to free cash flow (non-GAAP measure):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7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7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8,379</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9,362</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9,032</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7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(3,667)</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(3,471)</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(2,709)</w:t>
            </w:r>
          </w:p>
        </w:tc>
      </w:tr>
      <w:tr>
        <w:trPr>
          <w:trHeight w:val="216"/>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7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(3,173)</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09"/>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w:t>
            </w: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1,539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Outlook</w:t>
      </w:r>
    </w:p>
    <w:p>
      <w:pPr>
        <w:spacing w:after="0" w:line="198" w:lineRule="exact"/>
        <w:rPr>
          <w:sz w:val="20"/>
          <w:szCs w:val="20"/>
          <w:color w:val="auto"/>
        </w:rPr>
      </w:pPr>
    </w:p>
    <w:p>
      <w:pPr>
        <w:jc w:val="both"/>
        <w:ind w:left="340" w:hanging="332"/>
        <w:spacing w:after="0" w:line="23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 Our goal is to be an industry leader in safety. We plan to improve the safety culture through our Courage to Care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Courage to Care is reflected in actions such as giving and receiving feedback on unsafe behavior, finding and eliminating risk, and improving the safety of the work environment, so that everyone returns home safely. An enhanced safety management program focused on the critical rules that most impact safety will be rolled out to all employees in 2024. In addition, train, engine, and yard employees will be expected to attend a full day safety training class to reinforce these critical rules. We will continue using a comprehensive safety management approach utilizing technology, hazard identification and risk assessments, employee engagement, training, quality control, and targeted capital investments. In addition, our Operating Practices Command Center will help position us to implement predictive</w:t>
      </w:r>
    </w:p>
    <w:p>
      <w:pPr>
        <w:spacing w:after="0" w:line="5"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technology to reduce variability by seeking to identify causes of mainline service interruptions and develop solutions in addition to assisting employees with understanding best practices for handling trains. We plan to utilize data to identify and mitigate exposure to risk, detect rail defects, improve or close crossings, and educate the public and law enforcement agencies about crossing safety through a combination of our own programs (including risk assessment strategies), industry programs, and local community activities across the network. Operating a safe railroad benefits all our stakeholders: employees, customers, shareholders, and the communities we serve, while protecting the environment for future generations.</w:t>
      </w:r>
    </w:p>
    <w:p>
      <w:pPr>
        <w:spacing w:after="0" w:line="168" w:lineRule="exact"/>
        <w:rPr>
          <w:sz w:val="20"/>
          <w:szCs w:val="20"/>
          <w:color w:val="auto"/>
        </w:rPr>
      </w:pPr>
    </w:p>
    <w:p>
      <w:pPr>
        <w:jc w:val="both"/>
        <w:ind w:left="34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 We are committed to delivering the service we sold to our customers. As we meet with customers to agree on their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needs and outcomes, we will measure ourselves against the best service we provided them over the past three years and use that as a guide for meeting their expectations. We will engage with customers to understand how we win together.</w:t>
      </w:r>
    </w:p>
    <w:p>
      <w:pPr>
        <w:spacing w:after="0" w:line="168"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 To provide our customers with the service we sold, we must run a fluid network. Network fluidity enables us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utilize all our resources and provides the capacity to respond in an ever-changing environment. We will continue to transform our railroad to further improve our service product, improve resource utilization, and lower our overall cost structure.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ind w:left="34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Business Volumes </w:t>
      </w:r>
      <w:r>
        <w:rPr>
          <w:rFonts w:ascii="Arial" w:cs="Arial" w:eastAsia="Arial" w:hAnsi="Arial"/>
          <w:sz w:val="18"/>
          <w:szCs w:val="18"/>
          <w:color w:val="auto"/>
        </w:rPr>
        <w:t>– Macroeconomic uncertainties remain in 2024 that could have a material impact on our 2024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Current forecasts for 2024 industrial production are flat versus 2023. In addition, other factors, such as changes in domestic and foreign monetary policy (including rising interest rates), may affect economic activity and demand for rail transportation; natural gas prices, weather conditions, and demand for other energy sources may impact the coal market; crude oil prices and spreads may drive demand for petroleum products and drilling materials; available truck capacity could impact our intermodal business; and international trade agreements could promote or hinder trade. Lower coal demand and some lost international intermodal business are expected to negatively impact volume. Fuel prices may continue to fluctuate in the current economic environment. As prices fluctuate, there will be a timing impact on earnings, as our fuel surcharge programs trail increases or decreases in fuel prices by approximately two months. Regardless of external factors, we will focus on operating a safe railroad and delivering the service we sold to our customers as well as effective asset utilization, cost control, and seeking new business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310"/>
              <w:spacing w:after="0" w:line="199" w:lineRule="exact"/>
              <w:rPr>
                <w:sz w:val="20"/>
                <w:szCs w:val="20"/>
                <w:color w:val="auto"/>
              </w:rPr>
            </w:pPr>
            <w:r>
              <w:rPr>
                <w:rFonts w:ascii="Arial" w:cs="Arial" w:eastAsia="Arial" w:hAnsi="Arial"/>
                <w:sz w:val="18"/>
                <w:szCs w:val="18"/>
                <w:b w:val="1"/>
                <w:bCs w:val="1"/>
                <w:i w:val="1"/>
                <w:iCs w:val="1"/>
                <w:color w:val="auto"/>
              </w:rPr>
              <w:t>% Change</w:t>
            </w:r>
          </w:p>
        </w:tc>
        <w:tc>
          <w:tcPr>
            <w:tcW w:w="1380" w:type="dxa"/>
            <w:vAlign w:val="bottom"/>
            <w:tcBorders>
              <w:top w:val="single" w:sz="8" w:color="auto"/>
            </w:tcBorders>
          </w:tcPr>
          <w:p>
            <w:pPr>
              <w:jc w:val="right"/>
              <w:ind w:right="130"/>
              <w:spacing w:after="0" w:line="199" w:lineRule="exact"/>
              <w:rPr>
                <w:sz w:val="20"/>
                <w:szCs w:val="20"/>
                <w:color w:val="auto"/>
              </w:rPr>
            </w:pPr>
            <w:r>
              <w:rPr>
                <w:rFonts w:ascii="Arial" w:cs="Arial" w:eastAsia="Arial" w:hAnsi="Arial"/>
                <w:sz w:val="18"/>
                <w:szCs w:val="18"/>
                <w:i w:val="1"/>
                <w:iCs w:val="1"/>
                <w:color w:val="auto"/>
              </w:rPr>
              <w:t>% Change</w:t>
            </w:r>
          </w:p>
        </w:tc>
      </w:tr>
      <w:tr>
        <w:trPr>
          <w:trHeight w:val="21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2021</w:t>
            </w:r>
          </w:p>
        </w:tc>
        <w:tc>
          <w:tcPr>
            <w:tcW w:w="1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i w:val="1"/>
                <w:iCs w:val="1"/>
                <w:color w:val="auto"/>
              </w:rPr>
              <w:t>2023 v 2022</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 v 2021</w:t>
            </w: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Freight revenues</w:t>
            </w:r>
          </w:p>
        </w:tc>
        <w:tc>
          <w:tcPr>
            <w:tcW w:w="16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22,571</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23,159</w:t>
            </w:r>
          </w:p>
        </w:tc>
        <w:tc>
          <w:tcPr>
            <w:tcW w:w="3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20,244</w:t>
            </w:r>
          </w:p>
        </w:tc>
        <w:tc>
          <w:tcPr>
            <w:tcW w:w="16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(3)%</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Other subsidiary revenues</w:t>
            </w:r>
          </w:p>
        </w:tc>
        <w:tc>
          <w:tcPr>
            <w:tcW w:w="16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872</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884</w:t>
            </w:r>
          </w:p>
        </w:tc>
        <w:tc>
          <w:tcPr>
            <w:tcW w:w="32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741</w:t>
            </w: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Accessorial revenues</w:t>
            </w:r>
          </w:p>
        </w:tc>
        <w:tc>
          <w:tcPr>
            <w:tcW w:w="16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584</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779</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752</w:t>
            </w:r>
          </w:p>
        </w:tc>
        <w:tc>
          <w:tcPr>
            <w:tcW w:w="16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(25)</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w:t>
            </w:r>
          </w:p>
        </w:tc>
      </w:tr>
      <w:tr>
        <w:trPr>
          <w:trHeight w:val="203"/>
        </w:trPr>
        <w:tc>
          <w:tcPr>
            <w:tcW w:w="3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92</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67</w:t>
            </w:r>
          </w:p>
        </w:tc>
        <w:tc>
          <w:tcPr>
            <w:tcW w:w="16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74</w:t>
            </w:r>
          </w:p>
        </w:tc>
        <w:tc>
          <w:tcPr>
            <w:tcW w:w="13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(21)</w:t>
            </w:r>
          </w:p>
        </w:tc>
      </w:tr>
      <w:tr>
        <w:trPr>
          <w:trHeight w:val="196"/>
        </w:trPr>
        <w:tc>
          <w:tcPr>
            <w:tcW w:w="3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24,119</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24,875</w:t>
            </w:r>
          </w:p>
        </w:tc>
        <w:tc>
          <w:tcPr>
            <w:tcW w:w="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21,804</w:t>
            </w:r>
          </w:p>
        </w:tc>
        <w:tc>
          <w:tcPr>
            <w:tcW w:w="16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(3)%</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 (carloads) and average revenue per car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Freight revenues decreased 3% year-over-year to $22.6 billion driven by lower fuel surcharge revenues, negative mix of traffic (decreased lumber shipments and increased short haul rock shipments), and a 1% decrease in volume, partially offset by core pricing gains. Volume decreases were primarily driven by weaker demand for intermodal and coal shipments. These declines were partially offset by a domestic intermodal contract win, increased production and inventory replenishment in the automotive industry, growth in petroleum and LPG shipments, and strength in rock shipments.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fuel surcharge programs generated freight revenues of $3.0 billion and $3.7 billion in 2023 and 2022, respectively. Fuel surcharge revenues in 2023 decreased $0.7 billion due to a 15% decrease in fuel prices and lower volume, partially offset by the impact of fluctuating fuel prices (it can generally take up to two months for changing fuel prices to affect fuel surcharge recoveries).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2023, other subsidiary revenues decreased compared to 2022 primarily driven by weaker demand for intermodal shipments at our Loup subsidiary. Accessorial revenues decreased in 2023 compared to 2022 driven by decreased intermodal accessorial and container revenues due to lower volume and improvements in the global supply chain as reflected in better equipment cycle times. Other revenues increased year-over-year.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i w:val="1"/>
                <w:iCs w:val="1"/>
                <w:color w:val="auto"/>
              </w:rPr>
              <w:t>Freight Revenues</w:t>
            </w:r>
          </w:p>
        </w:tc>
        <w:tc>
          <w:tcPr>
            <w:tcW w:w="1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310"/>
              <w:spacing w:after="0" w:line="199" w:lineRule="exact"/>
              <w:rPr>
                <w:sz w:val="20"/>
                <w:szCs w:val="20"/>
                <w:color w:val="auto"/>
              </w:rPr>
            </w:pPr>
            <w:r>
              <w:rPr>
                <w:rFonts w:ascii="Arial" w:cs="Arial" w:eastAsia="Arial" w:hAnsi="Arial"/>
                <w:sz w:val="18"/>
                <w:szCs w:val="18"/>
                <w:b w:val="1"/>
                <w:bCs w:val="1"/>
                <w:i w:val="1"/>
                <w:iCs w:val="1"/>
                <w:color w:val="auto"/>
              </w:rPr>
              <w:t>% Change</w:t>
            </w:r>
          </w:p>
        </w:tc>
        <w:tc>
          <w:tcPr>
            <w:tcW w:w="1380" w:type="dxa"/>
            <w:vAlign w:val="bottom"/>
            <w:tcBorders>
              <w:top w:val="single" w:sz="8" w:color="auto"/>
            </w:tcBorders>
          </w:tcPr>
          <w:p>
            <w:pPr>
              <w:jc w:val="right"/>
              <w:ind w:right="130"/>
              <w:spacing w:after="0" w:line="199" w:lineRule="exact"/>
              <w:rPr>
                <w:sz w:val="20"/>
                <w:szCs w:val="20"/>
                <w:color w:val="auto"/>
              </w:rPr>
            </w:pPr>
            <w:r>
              <w:rPr>
                <w:rFonts w:ascii="Arial" w:cs="Arial" w:eastAsia="Arial" w:hAnsi="Arial"/>
                <w:sz w:val="18"/>
                <w:szCs w:val="18"/>
                <w:i w:val="1"/>
                <w:iCs w:val="1"/>
                <w:color w:val="auto"/>
              </w:rPr>
              <w:t>% 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8"/>
                <w:szCs w:val="18"/>
                <w:i w:val="1"/>
                <w:iCs w:val="1"/>
                <w:color w:val="auto"/>
              </w:rPr>
              <w:t>Millions</w:t>
            </w:r>
          </w:p>
        </w:tc>
        <w:tc>
          <w:tcPr>
            <w:tcW w:w="13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2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i w:val="1"/>
                <w:iCs w:val="1"/>
                <w:color w:val="auto"/>
              </w:rPr>
              <w:t>2021</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i w:val="1"/>
                <w:iCs w:val="1"/>
                <w:color w:val="auto"/>
              </w:rPr>
              <w:t>2023 v 2022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2022 v 2021</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3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3,644</w:t>
            </w:r>
          </w:p>
        </w:tc>
        <w:tc>
          <w:tcPr>
            <w:tcW w:w="34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3,598</w:t>
            </w:r>
          </w:p>
        </w:tc>
        <w:tc>
          <w:tcPr>
            <w:tcW w:w="3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3,181</w:t>
            </w:r>
          </w:p>
        </w:tc>
        <w:tc>
          <w:tcPr>
            <w:tcW w:w="164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1 %</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757</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712</w:t>
            </w:r>
          </w:p>
        </w:tc>
        <w:tc>
          <w:tcPr>
            <w:tcW w:w="32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697</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6</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1,041</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1,093</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998</w:t>
            </w:r>
          </w:p>
        </w:tc>
        <w:tc>
          <w:tcPr>
            <w:tcW w:w="16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(5)</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1,916</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2,134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1,780</w:t>
            </w:r>
          </w:p>
        </w:tc>
        <w:tc>
          <w:tcPr>
            <w:tcW w:w="16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(10)</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7,358</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7,537</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6,656</w:t>
            </w:r>
          </w:p>
        </w:tc>
        <w:tc>
          <w:tcPr>
            <w:tcW w:w="16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(2)</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30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2,176</w:t>
            </w:r>
          </w:p>
        </w:tc>
        <w:tc>
          <w:tcPr>
            <w:tcW w:w="34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2,158</w:t>
            </w:r>
          </w:p>
        </w:tc>
        <w:tc>
          <w:tcPr>
            <w:tcW w:w="320" w:type="dxa"/>
            <w:vAlign w:val="bottom"/>
          </w:tcPr>
          <w:p>
            <w:pPr>
              <w:spacing w:after="0"/>
              <w:rPr>
                <w:sz w:val="17"/>
                <w:szCs w:val="17"/>
                <w:color w:val="auto"/>
              </w:rPr>
            </w:pPr>
          </w:p>
        </w:tc>
        <w:tc>
          <w:tcPr>
            <w:tcW w:w="8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1,943</w:t>
            </w:r>
          </w:p>
        </w:tc>
        <w:tc>
          <w:tcPr>
            <w:tcW w:w="16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2,194</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2,196</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1,811</w:t>
            </w:r>
          </w:p>
        </w:tc>
        <w:tc>
          <w:tcPr>
            <w:tcW w:w="16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1,347</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1,465</w:t>
            </w:r>
          </w:p>
        </w:tc>
        <w:tc>
          <w:tcPr>
            <w:tcW w:w="32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1,357</w:t>
            </w:r>
          </w:p>
        </w:tc>
        <w:tc>
          <w:tcPr>
            <w:tcW w:w="16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(8)</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2,521</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2,386</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2,212</w:t>
            </w:r>
          </w:p>
        </w:tc>
        <w:tc>
          <w:tcPr>
            <w:tcW w:w="16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6</w:t>
            </w:r>
          </w:p>
        </w:tc>
        <w:tc>
          <w:tcPr>
            <w:tcW w:w="13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8,238</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8,205</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7,323</w:t>
            </w:r>
          </w:p>
        </w:tc>
        <w:tc>
          <w:tcPr>
            <w:tcW w:w="16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2,421</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2,257</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1,761</w:t>
            </w:r>
          </w:p>
        </w:tc>
        <w:tc>
          <w:tcPr>
            <w:tcW w:w="164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b w:val="1"/>
                <w:bCs w:val="1"/>
                <w:color w:val="auto"/>
              </w:rPr>
              <w:t>7</w:t>
            </w:r>
          </w:p>
        </w:tc>
        <w:tc>
          <w:tcPr>
            <w:tcW w:w="13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4,554</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5,160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4,504</w:t>
            </w:r>
          </w:p>
        </w:tc>
        <w:tc>
          <w:tcPr>
            <w:tcW w:w="16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(12)</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6,975</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7,417</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6,265</w:t>
            </w:r>
          </w:p>
        </w:tc>
        <w:tc>
          <w:tcPr>
            <w:tcW w:w="16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(6)</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22,571</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23,159</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20,244</w:t>
            </w:r>
          </w:p>
        </w:tc>
        <w:tc>
          <w:tcPr>
            <w:tcW w:w="16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820" w:type="dxa"/>
            <w:vAlign w:val="bottom"/>
          </w:tcPr>
          <w:p>
            <w:pPr>
              <w:spacing w:after="0" w:line="179" w:lineRule="exact"/>
              <w:rPr>
                <w:sz w:val="20"/>
                <w:szCs w:val="20"/>
                <w:color w:val="auto"/>
              </w:rPr>
            </w:pPr>
            <w:r>
              <w:rPr>
                <w:rFonts w:ascii="Arial" w:cs="Arial" w:eastAsia="Arial" w:hAnsi="Arial"/>
                <w:sz w:val="18"/>
                <w:szCs w:val="18"/>
                <w:b w:val="1"/>
                <w:bCs w:val="1"/>
                <w:i w:val="1"/>
                <w:iCs w:val="1"/>
                <w:color w:val="auto"/>
              </w:rPr>
              <w:t>Revenue Carloads</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jc w:val="right"/>
              <w:ind w:right="330"/>
              <w:spacing w:after="0" w:line="179" w:lineRule="exact"/>
              <w:rPr>
                <w:sz w:val="20"/>
                <w:szCs w:val="20"/>
                <w:color w:val="auto"/>
              </w:rPr>
            </w:pPr>
            <w:r>
              <w:rPr>
                <w:rFonts w:ascii="Arial" w:cs="Arial" w:eastAsia="Arial" w:hAnsi="Arial"/>
                <w:sz w:val="18"/>
                <w:szCs w:val="18"/>
                <w:b w:val="1"/>
                <w:bCs w:val="1"/>
                <w:i w:val="1"/>
                <w:iCs w:val="1"/>
                <w:color w:val="auto"/>
              </w:rPr>
              <w:t>% Change</w:t>
            </w:r>
          </w:p>
        </w:tc>
        <w:tc>
          <w:tcPr>
            <w:tcW w:w="1380" w:type="dxa"/>
            <w:vAlign w:val="bottom"/>
          </w:tcPr>
          <w:p>
            <w:pPr>
              <w:jc w:val="right"/>
              <w:ind w:right="130"/>
              <w:spacing w:after="0" w:line="179" w:lineRule="exact"/>
              <w:rPr>
                <w:sz w:val="20"/>
                <w:szCs w:val="20"/>
                <w:color w:val="auto"/>
              </w:rPr>
            </w:pPr>
            <w:r>
              <w:rPr>
                <w:rFonts w:ascii="Arial" w:cs="Arial" w:eastAsia="Arial" w:hAnsi="Arial"/>
                <w:sz w:val="18"/>
                <w:szCs w:val="18"/>
                <w:i w:val="1"/>
                <w:iCs w:val="1"/>
                <w:color w:val="auto"/>
              </w:rPr>
              <w:t>% Change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8"/>
                <w:szCs w:val="18"/>
                <w:i w:val="1"/>
                <w:iCs w:val="1"/>
                <w:color w:val="auto"/>
              </w:rPr>
              <w:t>Thousands</w:t>
            </w:r>
          </w:p>
        </w:tc>
        <w:tc>
          <w:tcPr>
            <w:tcW w:w="13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i w:val="1"/>
                <w:iCs w:val="1"/>
                <w:color w:val="auto"/>
              </w:rPr>
              <w:t>2021</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i w:val="1"/>
                <w:iCs w:val="1"/>
                <w:color w:val="auto"/>
              </w:rPr>
              <w:t>2023 v 2022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2022 v 2021</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798</w:t>
            </w: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798</w:t>
            </w: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805</w:t>
            </w:r>
          </w:p>
        </w:tc>
        <w:tc>
          <w:tcPr>
            <w:tcW w:w="164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3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191</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190</w:t>
            </w:r>
          </w:p>
        </w:tc>
        <w:tc>
          <w:tcPr>
            <w:tcW w:w="32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201</w:t>
            </w: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175</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189</w:t>
            </w:r>
          </w:p>
        </w:tc>
        <w:tc>
          <w:tcPr>
            <w:tcW w:w="16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b w:val="1"/>
                <w:bCs w:val="1"/>
                <w:color w:val="auto"/>
              </w:rPr>
              <w:t>(6)</w:t>
            </w:r>
          </w:p>
        </w:tc>
        <w:tc>
          <w:tcPr>
            <w:tcW w:w="1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867</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885</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819</w:t>
            </w:r>
          </w:p>
        </w:tc>
        <w:tc>
          <w:tcPr>
            <w:tcW w:w="16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2,031</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2,060</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2,014</w:t>
            </w:r>
          </w:p>
        </w:tc>
        <w:tc>
          <w:tcPr>
            <w:tcW w:w="16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30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645</w:t>
            </w:r>
          </w:p>
        </w:tc>
        <w:tc>
          <w:tcPr>
            <w:tcW w:w="34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637</w:t>
            </w:r>
          </w:p>
        </w:tc>
        <w:tc>
          <w:tcPr>
            <w:tcW w:w="320" w:type="dxa"/>
            <w:vAlign w:val="bottom"/>
          </w:tcPr>
          <w:p>
            <w:pPr>
              <w:spacing w:after="0"/>
              <w:rPr>
                <w:sz w:val="17"/>
                <w:szCs w:val="17"/>
                <w:color w:val="auto"/>
              </w:rPr>
            </w:pPr>
          </w:p>
        </w:tc>
        <w:tc>
          <w:tcPr>
            <w:tcW w:w="8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606</w:t>
            </w:r>
          </w:p>
        </w:tc>
        <w:tc>
          <w:tcPr>
            <w:tcW w:w="16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793</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697</w:t>
            </w:r>
          </w:p>
        </w:tc>
        <w:tc>
          <w:tcPr>
            <w:tcW w:w="16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1</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3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213</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241</w:t>
            </w:r>
          </w:p>
        </w:tc>
        <w:tc>
          <w:tcPr>
            <w:tcW w:w="32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250</w:t>
            </w:r>
          </w:p>
        </w:tc>
        <w:tc>
          <w:tcPr>
            <w:tcW w:w="16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(12)</w:t>
            </w: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582</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552</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559</w:t>
            </w:r>
          </w:p>
        </w:tc>
        <w:tc>
          <w:tcPr>
            <w:tcW w:w="164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b w:val="1"/>
                <w:bCs w:val="1"/>
                <w:color w:val="auto"/>
              </w:rPr>
              <w:t>5</w:t>
            </w:r>
          </w:p>
        </w:tc>
        <w:tc>
          <w:tcPr>
            <w:tcW w:w="13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2,233</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2,215</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2,112</w:t>
            </w:r>
          </w:p>
        </w:tc>
        <w:tc>
          <w:tcPr>
            <w:tcW w:w="16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820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778</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701</w:t>
            </w:r>
          </w:p>
        </w:tc>
        <w:tc>
          <w:tcPr>
            <w:tcW w:w="164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b w:val="1"/>
                <w:bCs w:val="1"/>
                <w:color w:val="auto"/>
              </w:rPr>
              <w:t>5</w:t>
            </w:r>
          </w:p>
        </w:tc>
        <w:tc>
          <w:tcPr>
            <w:tcW w:w="13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3,028</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3,116</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3,211</w:t>
            </w:r>
          </w:p>
        </w:tc>
        <w:tc>
          <w:tcPr>
            <w:tcW w:w="16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(3)</w:t>
            </w:r>
          </w:p>
        </w:tc>
        <w:tc>
          <w:tcPr>
            <w:tcW w:w="13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3,848</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3,894</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3,912</w:t>
            </w:r>
          </w:p>
        </w:tc>
        <w:tc>
          <w:tcPr>
            <w:tcW w:w="16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8,112</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8,169</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8,038</w:t>
            </w:r>
          </w:p>
        </w:tc>
        <w:tc>
          <w:tcPr>
            <w:tcW w:w="16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jc w:val="right"/>
              <w:ind w:right="310"/>
              <w:spacing w:after="0" w:line="179" w:lineRule="exact"/>
              <w:rPr>
                <w:sz w:val="20"/>
                <w:szCs w:val="20"/>
                <w:color w:val="auto"/>
              </w:rPr>
            </w:pPr>
            <w:r>
              <w:rPr>
                <w:rFonts w:ascii="Arial" w:cs="Arial" w:eastAsia="Arial" w:hAnsi="Arial"/>
                <w:sz w:val="18"/>
                <w:szCs w:val="18"/>
                <w:b w:val="1"/>
                <w:bCs w:val="1"/>
                <w:i w:val="1"/>
                <w:iCs w:val="1"/>
                <w:color w:val="auto"/>
              </w:rPr>
              <w:t>% Change</w:t>
            </w:r>
          </w:p>
        </w:tc>
        <w:tc>
          <w:tcPr>
            <w:tcW w:w="1380" w:type="dxa"/>
            <w:vAlign w:val="bottom"/>
          </w:tcPr>
          <w:p>
            <w:pPr>
              <w:jc w:val="right"/>
              <w:ind w:right="130"/>
              <w:spacing w:after="0" w:line="179" w:lineRule="exact"/>
              <w:rPr>
                <w:sz w:val="20"/>
                <w:szCs w:val="20"/>
                <w:color w:val="auto"/>
              </w:rPr>
            </w:pPr>
            <w:r>
              <w:rPr>
                <w:rFonts w:ascii="Arial" w:cs="Arial" w:eastAsia="Arial" w:hAnsi="Arial"/>
                <w:sz w:val="18"/>
                <w:szCs w:val="18"/>
                <w:i w:val="1"/>
                <w:iCs w:val="1"/>
                <w:color w:val="auto"/>
              </w:rPr>
              <w:t>% Change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Average Revenue per Car</w:t>
            </w:r>
          </w:p>
        </w:tc>
        <w:tc>
          <w:tcPr>
            <w:tcW w:w="13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2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i w:val="1"/>
                <w:iCs w:val="1"/>
                <w:color w:val="auto"/>
              </w:rPr>
              <w:t>2021</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i w:val="1"/>
                <w:iCs w:val="1"/>
                <w:color w:val="auto"/>
              </w:rPr>
              <w:t>2023 v 2022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2022 v 2021</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3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4,567</w:t>
            </w:r>
          </w:p>
        </w:tc>
        <w:tc>
          <w:tcPr>
            <w:tcW w:w="34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4,509</w:t>
            </w:r>
          </w:p>
        </w:tc>
        <w:tc>
          <w:tcPr>
            <w:tcW w:w="3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3,953</w:t>
            </w:r>
          </w:p>
        </w:tc>
        <w:tc>
          <w:tcPr>
            <w:tcW w:w="16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3,962</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3,749</w:t>
            </w:r>
          </w:p>
        </w:tc>
        <w:tc>
          <w:tcPr>
            <w:tcW w:w="32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3,470</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6</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5,929</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5,844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5,279</w:t>
            </w:r>
          </w:p>
        </w:tc>
        <w:tc>
          <w:tcPr>
            <w:tcW w:w="16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1</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2,211</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2,410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2,173</w:t>
            </w:r>
          </w:p>
        </w:tc>
        <w:tc>
          <w:tcPr>
            <w:tcW w:w="16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(8)</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3,623</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3,658</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3,305</w:t>
            </w:r>
          </w:p>
        </w:tc>
        <w:tc>
          <w:tcPr>
            <w:tcW w:w="16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30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3,374</w:t>
            </w:r>
          </w:p>
        </w:tc>
        <w:tc>
          <w:tcPr>
            <w:tcW w:w="34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3,388</w:t>
            </w:r>
          </w:p>
        </w:tc>
        <w:tc>
          <w:tcPr>
            <w:tcW w:w="320" w:type="dxa"/>
            <w:vAlign w:val="bottom"/>
          </w:tcPr>
          <w:p>
            <w:pPr>
              <w:spacing w:after="0"/>
              <w:rPr>
                <w:sz w:val="17"/>
                <w:szCs w:val="17"/>
                <w:color w:val="auto"/>
              </w:rPr>
            </w:pPr>
          </w:p>
        </w:tc>
        <w:tc>
          <w:tcPr>
            <w:tcW w:w="8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3,207</w:t>
            </w:r>
          </w:p>
        </w:tc>
        <w:tc>
          <w:tcPr>
            <w:tcW w:w="16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2,765</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2,797</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2,598</w:t>
            </w:r>
          </w:p>
        </w:tc>
        <w:tc>
          <w:tcPr>
            <w:tcW w:w="16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(1)</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6,310</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6,092</w:t>
            </w:r>
          </w:p>
        </w:tc>
        <w:tc>
          <w:tcPr>
            <w:tcW w:w="32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5,424</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4,335</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4,320</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3,956</w:t>
            </w:r>
          </w:p>
        </w:tc>
        <w:tc>
          <w:tcPr>
            <w:tcW w:w="16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3,689</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3,704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3,467</w:t>
            </w:r>
          </w:p>
        </w:tc>
        <w:tc>
          <w:tcPr>
            <w:tcW w:w="16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2,955</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2,902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2,511</w:t>
            </w:r>
          </w:p>
        </w:tc>
        <w:tc>
          <w:tcPr>
            <w:tcW w:w="164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b w:val="1"/>
                <w:bCs w:val="1"/>
                <w:color w:val="auto"/>
              </w:rPr>
              <w:t>2</w:t>
            </w:r>
          </w:p>
        </w:tc>
        <w:tc>
          <w:tcPr>
            <w:tcW w:w="13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1,504</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1,656</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1,403</w:t>
            </w:r>
          </w:p>
        </w:tc>
        <w:tc>
          <w:tcPr>
            <w:tcW w:w="16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(9)</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1,813</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1,905</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1,601</w:t>
            </w:r>
          </w:p>
        </w:tc>
        <w:tc>
          <w:tcPr>
            <w:tcW w:w="16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(5)</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Average</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2,782</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2,835</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2,519</w:t>
            </w:r>
          </w:p>
        </w:tc>
        <w:tc>
          <w:tcPr>
            <w:tcW w:w="16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07"/>
        </w:trPr>
        <w:tc>
          <w:tcPr>
            <w:tcW w:w="76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w:t>
            </w:r>
          </w:p>
        </w:tc>
        <w:tc>
          <w:tcPr>
            <w:tcW w:w="2320" w:type="dxa"/>
            <w:vAlign w:val="bottom"/>
          </w:tcPr>
          <w:p>
            <w:pPr>
              <w:ind w:left="660"/>
              <w:spacing w:after="0"/>
              <w:rPr>
                <w:sz w:val="20"/>
                <w:szCs w:val="20"/>
                <w:color w:val="auto"/>
              </w:rPr>
            </w:pPr>
            <w:r>
              <w:rPr>
                <w:rFonts w:ascii="Arial" w:cs="Arial" w:eastAsia="Arial" w:hAnsi="Arial"/>
                <w:sz w:val="18"/>
                <w:szCs w:val="18"/>
                <w:b w:val="1"/>
                <w:bCs w:val="1"/>
                <w:color w:val="auto"/>
                <w:w w:val="98"/>
              </w:rPr>
              <w:t>2023 Bulk Carloads</w:t>
            </w: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refrigerated,  and  coal  and  renewables.  Freight  revenues  from  bulk  shipments</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decreased in 2023 compared to 2022 due to lower fuel surcharge revenues, lower</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volume, and negative mix from fewer food and refrigerated shipments, partially offset</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by core pricing gains. Volume declined 1% compared to 2022 driven by reduced use of</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coal in electricity generation because of low natural gas prices and mild winter weather</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in the second half of the year. Volume for coal and renewables and food and</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refrigerated shipments were negatively impacted by outages and service challenges</w:t>
            </w:r>
          </w:p>
        </w:tc>
        <w:tc>
          <w:tcPr>
            <w:tcW w:w="2320" w:type="dxa"/>
            <w:vAlign w:val="bottom"/>
          </w:tcPr>
          <w:p>
            <w:pPr>
              <w:spacing w:after="0"/>
              <w:rPr>
                <w:sz w:val="17"/>
                <w:szCs w:val="17"/>
                <w:color w:val="auto"/>
              </w:rPr>
            </w:pPr>
          </w:p>
        </w:tc>
      </w:tr>
      <w:tr>
        <w:trPr>
          <w:trHeight w:val="203"/>
        </w:trPr>
        <w:tc>
          <w:tcPr>
            <w:tcW w:w="7620" w:type="dxa"/>
            <w:vAlign w:val="bottom"/>
            <w:gridSpan w:val="2"/>
          </w:tcPr>
          <w:p>
            <w:pPr>
              <w:spacing w:after="0" w:line="202" w:lineRule="exact"/>
              <w:rPr>
                <w:sz w:val="20"/>
                <w:szCs w:val="20"/>
                <w:color w:val="auto"/>
              </w:rPr>
            </w:pPr>
            <w:r>
              <w:rPr>
                <w:rFonts w:ascii="Arial" w:cs="Arial" w:eastAsia="Arial" w:hAnsi="Arial"/>
                <w:sz w:val="18"/>
                <w:szCs w:val="18"/>
                <w:color w:val="auto"/>
              </w:rPr>
              <w:t>due to repeated snow events in Wyoming and flooding in California in the first quarter</w:t>
            </w:r>
          </w:p>
        </w:tc>
        <w:tc>
          <w:tcPr>
            <w:tcW w:w="2320" w:type="dxa"/>
            <w:vAlign w:val="bottom"/>
          </w:tcPr>
          <w:p>
            <w:pPr>
              <w:spacing w:after="0"/>
              <w:rPr>
                <w:sz w:val="17"/>
                <w:szCs w:val="17"/>
                <w:color w:val="auto"/>
              </w:rPr>
            </w:pPr>
          </w:p>
        </w:tc>
      </w:tr>
      <w:tr>
        <w:trPr>
          <w:trHeight w:val="239"/>
        </w:trPr>
        <w:tc>
          <w:tcPr>
            <w:tcW w:w="7620" w:type="dxa"/>
            <w:vAlign w:val="bottom"/>
            <w:gridSpan w:val="2"/>
          </w:tcPr>
          <w:p>
            <w:pPr>
              <w:spacing w:after="0"/>
              <w:rPr>
                <w:sz w:val="20"/>
                <w:szCs w:val="20"/>
                <w:color w:val="auto"/>
              </w:rPr>
            </w:pPr>
            <w:r>
              <w:rPr>
                <w:rFonts w:ascii="Arial" w:cs="Arial" w:eastAsia="Arial" w:hAnsi="Arial"/>
                <w:sz w:val="18"/>
                <w:szCs w:val="18"/>
                <w:color w:val="auto"/>
              </w:rPr>
              <w:t>of 2023.</w:t>
            </w: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-1167765</wp:posOffset>
            </wp:positionV>
            <wp:extent cx="2571750" cy="1714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380"/>
        <w:spacing w:after="0" w:line="239"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minerals, forest products, and energy and specialized markets. Freight revenues from industrial shipments increased slightly in 2023 versus 2022 due to core pricing gains and volume increases, offset by negative mix of traffic, driven by increased short haul rock shipments and decreased lumber shipments, and lower fuel surcharge revenues. Volume increased 1% compared to 2022. The growth was driven by petroleum and LPG shipments and metals and minerals due to strong demand for rock. Partially offsetting that growth were decreases in forest products due to the softening housing market and fewer shipments of brown paper as demand for non-durable goods declined.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2023 Industrial Carloads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16510</wp:posOffset>
            </wp:positionV>
            <wp:extent cx="2571750" cy="1714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pacing w:after="0" w:line="2065" w:lineRule="exact"/>
        <w:rPr>
          <w:sz w:val="20"/>
          <w:szCs w:val="20"/>
          <w:color w:val="auto"/>
        </w:rPr>
      </w:pPr>
    </w:p>
    <w:p>
      <w:pPr>
        <w:sectPr>
          <w:pgSz w:w="11900" w:h="16838" w:orient="portrait"/>
          <w:cols w:equalWidth="0" w:num="2">
            <w:col w:w="7340" w:space="720"/>
            <w:col w:w="318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400"/>
        <w:spacing w:after="0"/>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in intermodal containers, both domestic and international. Freight revenues from premium shipments decreased driven by lower fuel surcharges and volume declines, partially offset by core pricing gains. Intermodal shipments declined 3% compared to 2022 as high inventories and inflationary pressures impacted consumer demand, partially offset by a domestic contract win. Despite the negative effects of the United Auto Workers strike, automotive shipments increased 5% compared to 2022 driven by increased production as dealers replenished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2023 Premium Carloads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16510</wp:posOffset>
            </wp:positionV>
            <wp:extent cx="2571750" cy="1714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pacing w:after="0" w:line="1660" w:lineRule="exact"/>
        <w:rPr>
          <w:sz w:val="20"/>
          <w:szCs w:val="20"/>
          <w:color w:val="auto"/>
        </w:rPr>
      </w:pPr>
    </w:p>
    <w:p>
      <w:pPr>
        <w:sectPr>
          <w:pgSz w:w="11900" w:h="16838" w:orient="portrait"/>
          <w:cols w:equalWidth="0" w:num="2">
            <w:col w:w="7360" w:space="720"/>
            <w:col w:w="316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Each of our commodity groups includes revenues from shipments to and from Mexico. Revenues from Mexico shipments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$2.8 billion in 2023, up 2% compared to 2022, driven by a 4% volume increase, partially offset by a 2% decrease in average revenue per car due to lower fuel surcharge revenues. The volume increase was driven by higher intermodal and automotive shipments, partially offset by fewer beer shipments. The closure of the Eagle Pass and El Paso border crossings in the fourth quarter had a slightly negative impact on the overall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250"/>
              <w:spacing w:after="0" w:line="199" w:lineRule="exact"/>
              <w:rPr>
                <w:sz w:val="20"/>
                <w:szCs w:val="20"/>
                <w:color w:val="auto"/>
              </w:rPr>
            </w:pPr>
            <w:r>
              <w:rPr>
                <w:rFonts w:ascii="Arial" w:cs="Arial" w:eastAsia="Arial" w:hAnsi="Arial"/>
                <w:sz w:val="18"/>
                <w:szCs w:val="18"/>
                <w:b w:val="1"/>
                <w:bCs w:val="1"/>
                <w:i w:val="1"/>
                <w:iCs w:val="1"/>
                <w:color w:val="auto"/>
              </w:rPr>
              <w:t>% Change</w:t>
            </w:r>
          </w:p>
        </w:tc>
        <w:tc>
          <w:tcPr>
            <w:tcW w:w="1380" w:type="dxa"/>
            <w:vAlign w:val="bottom"/>
            <w:tcBorders>
              <w:top w:val="single" w:sz="8" w:color="auto"/>
            </w:tcBorders>
          </w:tcPr>
          <w:p>
            <w:pPr>
              <w:jc w:val="right"/>
              <w:ind w:right="130"/>
              <w:spacing w:after="0" w:line="199" w:lineRule="exact"/>
              <w:rPr>
                <w:sz w:val="20"/>
                <w:szCs w:val="20"/>
                <w:color w:val="auto"/>
              </w:rPr>
            </w:pPr>
            <w:r>
              <w:rPr>
                <w:rFonts w:ascii="Arial" w:cs="Arial" w:eastAsia="Arial" w:hAnsi="Arial"/>
                <w:sz w:val="18"/>
                <w:szCs w:val="18"/>
                <w:i w:val="1"/>
                <w:iCs w:val="1"/>
                <w:color w:val="auto"/>
              </w:rPr>
              <w:t>% Change</w:t>
            </w:r>
          </w:p>
        </w:tc>
      </w:tr>
      <w:tr>
        <w:trPr>
          <w:trHeight w:val="21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2021</w:t>
            </w: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2023 v 2022</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 v 2021</w:t>
            </w: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benefits</w:t>
            </w:r>
          </w:p>
        </w:tc>
        <w:tc>
          <w:tcPr>
            <w:tcW w:w="1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4,818</w:t>
            </w:r>
          </w:p>
        </w:tc>
        <w:tc>
          <w:tcPr>
            <w:tcW w:w="3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4,645</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4,158</w:t>
            </w:r>
          </w:p>
        </w:tc>
        <w:tc>
          <w:tcPr>
            <w:tcW w:w="15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4%</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Fuel</w:t>
            </w:r>
          </w:p>
        </w:tc>
        <w:tc>
          <w:tcPr>
            <w:tcW w:w="134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2,891</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3,439</w:t>
            </w:r>
          </w:p>
        </w:tc>
        <w:tc>
          <w:tcPr>
            <w:tcW w:w="34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2,049</w:t>
            </w:r>
          </w:p>
        </w:tc>
        <w:tc>
          <w:tcPr>
            <w:tcW w:w="15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(16)</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68</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services and materials</w:t>
            </w:r>
          </w:p>
        </w:tc>
        <w:tc>
          <w:tcPr>
            <w:tcW w:w="1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2,616</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7</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134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2,318</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2,246</w:t>
            </w:r>
          </w:p>
        </w:tc>
        <w:tc>
          <w:tcPr>
            <w:tcW w:w="340" w:type="dxa"/>
            <w:vAlign w:val="bottom"/>
          </w:tcPr>
          <w:p>
            <w:pPr>
              <w:spacing w:after="0"/>
              <w:rPr>
                <w:sz w:val="17"/>
                <w:szCs w:val="17"/>
                <w:color w:val="auto"/>
              </w:rPr>
            </w:pP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2,208</w:t>
            </w:r>
          </w:p>
        </w:tc>
        <w:tc>
          <w:tcPr>
            <w:tcW w:w="15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w:t>
            </w:r>
          </w:p>
        </w:tc>
        <w:tc>
          <w:tcPr>
            <w:tcW w:w="13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and other rents</w:t>
            </w:r>
          </w:p>
        </w:tc>
        <w:tc>
          <w:tcPr>
            <w:tcW w:w="1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947</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898</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859</w:t>
            </w:r>
          </w:p>
        </w:tc>
        <w:tc>
          <w:tcPr>
            <w:tcW w:w="15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5</w:t>
            </w:r>
          </w:p>
        </w:tc>
        <w:tc>
          <w:tcPr>
            <w:tcW w:w="13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1,447</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1,288</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1,176</w:t>
            </w:r>
          </w:p>
        </w:tc>
        <w:tc>
          <w:tcPr>
            <w:tcW w:w="15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12</w:t>
            </w:r>
          </w:p>
        </w:tc>
        <w:tc>
          <w:tcPr>
            <w:tcW w:w="1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10</w:t>
            </w:r>
          </w:p>
        </w:tc>
      </w:tr>
      <w:tr>
        <w:trPr>
          <w:trHeight w:val="196"/>
        </w:trPr>
        <w:tc>
          <w:tcPr>
            <w:tcW w:w="3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15,037</w:t>
            </w:r>
          </w:p>
        </w:tc>
        <w:tc>
          <w:tcPr>
            <w:tcW w:w="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14,958</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12,466</w:t>
            </w:r>
          </w:p>
        </w:tc>
        <w:tc>
          <w:tcPr>
            <w:tcW w:w="15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197"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right="400"/>
        <w:spacing w:after="0"/>
        <w:rPr>
          <w:sz w:val="20"/>
          <w:szCs w:val="20"/>
          <w:color w:val="auto"/>
        </w:rPr>
      </w:pPr>
      <w:r>
        <w:rPr>
          <w:rFonts w:ascii="Arial" w:cs="Arial" w:eastAsia="Arial" w:hAnsi="Arial"/>
          <w:sz w:val="18"/>
          <w:szCs w:val="18"/>
          <w:color w:val="auto"/>
        </w:rPr>
        <w:t>Operating expenses increased $ 79 million, or 1%, in 2023 compared to 2022 driven by inflation; operational challenges in the first half of the year, including additional costs related to weather; increased workforce levels, including the impact of increased sick leave benefits provided to our craft professionals; higher casualty costs; and the ratification charge for a crew staffing agreement reached in the second quarter of 2023, partially offset by lower fuel prices, a one-time charge in 2022 for agreements reached with our labor unions, and volume related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2023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8890</wp:posOffset>
            </wp:positionV>
            <wp:extent cx="2571750" cy="1714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0" cy="1714500"/>
                    </a:xfrm>
                    <a:prstGeom prst="rect">
                      <a:avLst/>
                    </a:prstGeom>
                    <a:noFill/>
                  </pic:spPr>
                </pic:pic>
              </a:graphicData>
            </a:graphic>
          </wp:anchor>
        </w:drawing>
      </w:r>
    </w:p>
    <w:p>
      <w:pPr>
        <w:spacing w:after="0" w:line="1441" w:lineRule="exact"/>
        <w:rPr>
          <w:sz w:val="20"/>
          <w:szCs w:val="20"/>
          <w:color w:val="auto"/>
        </w:rPr>
      </w:pPr>
    </w:p>
    <w:p>
      <w:pPr>
        <w:sectPr>
          <w:pgSz w:w="11900" w:h="16838" w:orient="portrait"/>
          <w:cols w:equalWidth="0" w:num="2">
            <w:col w:w="7400" w:space="720"/>
            <w:col w:w="31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In 2023, expenses increased 4% compared to 2022. The employee level increase of 3% includes a 4% increase in train, engine, and yard employees to backfill attrition, cover absences resulting from recent negotiated sick leave benefits, and add employees in areas of critical need to address operational challenges and support our service product. The wage growth, costs for training, and the ratification charge for a crew staffing agreement reached in the second quarter of 2023, partially offset by the 2022 one-time charge for agreements reached with our labor unions, lower incentive compensation, and lower volume drove the increase in compensation and benefits for 2023 compared to 2022.</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2022 due to a decrease in locomotive diesel fuel prices, which averaged $ 3.09 per gallon (including taxes and transportation costs) in 2023 compared to $3.65 per gallon in 2022, resulting in a $0.5 billion decrease in expense (excluding any impact from decreased volume year-over-year), and a 1% decrease in gross ton-miles, partially offset by a 1% deterioration to the fuel consumption rate in 2023 (computed as gallons of fuel consumed divided by gross ton-miles).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expenses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increased 7% in 2023 compared to 2022 driven by higher locomotive maintenance expenses due to inflation, increased locomotive overhauls, and a larger active fleet in the first half of 2023 to assist in recovering the network, partially offset by decreased volume-related drayage costs incurred at one of our subsidiaries.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up 3% in 2023 compared to 2022 due to a higher depreciable asset base.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expenses, offset by equity income from certain equity method investments. Equipment and other rents expense increased 5% compared to 2022 due to lower equity income and inflation, partially offset by greater network fluidity and lower volume.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expenses include state and local taxes; freight, equipment, and property damage; utilities; insurance;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injury; environmental; employee travel; telephone and cellular; computer software; bad debt; and other general expenses. Other expenses increased 12% in 2023 compared to 2022 driven by casualty expenses, including higher personal injury expense, environmental remediation, and damaged freight, and one-time write-offs.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Items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50"/>
              <w:spacing w:after="0" w:line="199" w:lineRule="exact"/>
              <w:rPr>
                <w:sz w:val="20"/>
                <w:szCs w:val="20"/>
                <w:color w:val="auto"/>
              </w:rPr>
            </w:pPr>
            <w:r>
              <w:rPr>
                <w:rFonts w:ascii="Arial" w:cs="Arial" w:eastAsia="Arial" w:hAnsi="Arial"/>
                <w:sz w:val="18"/>
                <w:szCs w:val="18"/>
                <w:b w:val="1"/>
                <w:bCs w:val="1"/>
                <w:i w:val="1"/>
                <w:iCs w:val="1"/>
                <w:color w:val="auto"/>
              </w:rPr>
              <w:t>% Change</w:t>
            </w:r>
          </w:p>
        </w:tc>
        <w:tc>
          <w:tcPr>
            <w:tcW w:w="126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 Change</w:t>
            </w:r>
          </w:p>
        </w:tc>
      </w:tr>
      <w:tr>
        <w:trPr>
          <w:trHeight w:val="21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2021</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2023 v 2022</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2022 v 2021</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net</w:t>
            </w:r>
          </w:p>
        </w:tc>
        <w:tc>
          <w:tcPr>
            <w:tcW w:w="18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491</w:t>
            </w:r>
          </w:p>
        </w:tc>
        <w:tc>
          <w:tcPr>
            <w:tcW w:w="4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426</w:t>
            </w:r>
          </w:p>
        </w:tc>
        <w:tc>
          <w:tcPr>
            <w:tcW w:w="4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297</w:t>
            </w:r>
          </w:p>
        </w:tc>
        <w:tc>
          <w:tcPr>
            <w:tcW w:w="14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15%</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(1,340)</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(1,271)</w:t>
            </w: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(1,157)</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w:t>
            </w: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w:t>
            </w:r>
          </w:p>
        </w:tc>
      </w:tr>
      <w:tr>
        <w:trPr>
          <w:trHeight w:val="203"/>
        </w:trPr>
        <w:tc>
          <w:tcPr>
            <w:tcW w:w="3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(1,854)</w:t>
            </w:r>
          </w:p>
        </w:tc>
        <w:tc>
          <w:tcPr>
            <w:tcW w:w="4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(2,074)</w:t>
            </w:r>
          </w:p>
        </w:tc>
        <w:tc>
          <w:tcPr>
            <w:tcW w:w="4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(1,955)</w:t>
            </w:r>
          </w:p>
        </w:tc>
        <w:tc>
          <w:tcPr>
            <w:tcW w:w="14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(11)%</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increased in 2023 compared to 2022 driven by a one-time $107 million real estate transaction,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gains from real estate sales. Real estate sales in 2022 included a $79 million gain from a land sale to the Illinois State Toll Highway Authority and a $35 million gain from a land sale to the Colorado Department of Transportation. See Note 6 to the Financial Statements and Supplementary Data, Item 8, for additional detail.</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increased in 2023 compared to 2022 due to an increased weighted-average debt level of $33.2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$32.1 billion in 2022. The effective interest rate was 4.0% in both periods.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decreased in 2023 compared to 2022 due to lower pre-tax income and deferred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2023, the states of Nebraska, Iowa, Kansas, and Arkansas enacted legislation to reduce their corporate income tax rates for future years resulting in a $114 million reduction of our deferred tax expense. 2022 income tax expense included reductions of $95 million in deferred tax expense from Nebraska, Iowa, Arkansas, and Idaho reducing their corporate income tax rates. Our effective tax rates for 2023 and 2022 were 22.5% and 22.9%,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report a number of key performance measures weekly to the STB. We provide this data on our website at www.up.com/investor/aar-stb_reports/index.htm.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and help us deliver the service product we sold to our customers.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b w:val="1"/>
                <w:bCs w:val="1"/>
                <w:i w:val="1"/>
                <w:iCs w:val="1"/>
                <w:color w:val="auto"/>
              </w:rPr>
              <w:t>% Change</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 Change</w:t>
            </w:r>
          </w:p>
        </w:tc>
        <w:tc>
          <w:tcPr>
            <w:tcW w:w="240" w:type="dxa"/>
            <w:vAlign w:val="bottom"/>
            <w:tcBorders>
              <w:top w:val="single" w:sz="8" w:color="auto"/>
            </w:tcBorders>
          </w:tcPr>
          <w:p>
            <w:pPr>
              <w:spacing w:after="0"/>
              <w:rPr>
                <w:sz w:val="17"/>
                <w:szCs w:val="17"/>
                <w:color w:val="auto"/>
              </w:rPr>
            </w:pPr>
          </w:p>
        </w:tc>
      </w:tr>
      <w:tr>
        <w:trPr>
          <w:trHeight w:val="219"/>
        </w:trPr>
        <w:tc>
          <w:tcPr>
            <w:tcW w:w="4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2023</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2022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2023 v 2022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2022 v 2021</w:t>
            </w:r>
          </w:p>
        </w:tc>
        <w:tc>
          <w:tcPr>
            <w:tcW w:w="240" w:type="dxa"/>
            <w:vAlign w:val="bottom"/>
            <w:tcBorders>
              <w:bottom w:val="single" w:sz="8" w:color="auto"/>
            </w:tcBorders>
          </w:tcPr>
          <w:p>
            <w:pPr>
              <w:spacing w:after="0"/>
              <w:rPr>
                <w:sz w:val="19"/>
                <w:szCs w:val="19"/>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ton-miles (GTMs) (billions)</w:t>
            </w:r>
          </w:p>
        </w:tc>
        <w:tc>
          <w:tcPr>
            <w:tcW w:w="136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rPr>
              <w:t>837.5</w:t>
            </w:r>
          </w:p>
        </w:tc>
        <w:tc>
          <w:tcPr>
            <w:tcW w:w="122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843.4</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817.9</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r>
      <w:tr>
        <w:trPr>
          <w:trHeight w:val="202"/>
        </w:trPr>
        <w:tc>
          <w:tcPr>
            <w:tcW w:w="4680" w:type="dxa"/>
            <w:vAlign w:val="bottom"/>
          </w:tcPr>
          <w:p>
            <w:pPr>
              <w:spacing w:after="0" w:line="202" w:lineRule="exact"/>
              <w:rPr>
                <w:sz w:val="20"/>
                <w:szCs w:val="20"/>
                <w:color w:val="auto"/>
              </w:rPr>
            </w:pPr>
            <w:r>
              <w:rPr>
                <w:rFonts w:ascii="Arial" w:cs="Arial" w:eastAsia="Arial" w:hAnsi="Arial"/>
                <w:sz w:val="18"/>
                <w:szCs w:val="18"/>
                <w:color w:val="auto"/>
              </w:rPr>
              <w:t>Revenue ton-miles (billions)</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413.3</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420.8</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411.3</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7"/>
                <w:szCs w:val="17"/>
                <w:color w:val="auto"/>
              </w:rPr>
            </w:pP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Freight car velocity (daily miles per car) [a]</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204</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191</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Average train speed (miles per hour) [a]</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24.2</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23.8</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terminal dwell time (hours) [a]</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23.4</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24.4</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Locomotive productivity (GTMs per horsepower day)</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129</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125</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Train length (feet)</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9,356</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9,329</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9,334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Intermodal car trip plan compliance (%) [b]</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78</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67</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3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pts</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line="202" w:lineRule="exact"/>
              <w:rPr>
                <w:sz w:val="20"/>
                <w:szCs w:val="20"/>
                <w:color w:val="auto"/>
              </w:rPr>
            </w:pPr>
            <w:r>
              <w:rPr>
                <w:rFonts w:ascii="Arial" w:cs="Arial" w:eastAsia="Arial" w:hAnsi="Arial"/>
                <w:sz w:val="18"/>
                <w:szCs w:val="18"/>
                <w:color w:val="auto"/>
                <w:w w:val="91"/>
              </w:rPr>
              <w:t>pts</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Manifest/Automotive car trip plan compliance (%) [b]</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65</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59</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pts</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pts</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Workforce productivity (car miles per employee)</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1,000</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1,036</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1,038</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7"/>
                <w:szCs w:val="17"/>
                <w:color w:val="auto"/>
              </w:rPr>
            </w:pP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employees (average)</w:t>
            </w:r>
          </w:p>
        </w:tc>
        <w:tc>
          <w:tcPr>
            <w:tcW w:w="13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31,490</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30,717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29,905</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r>
      <w:tr>
        <w:trPr>
          <w:trHeight w:val="203"/>
        </w:trPr>
        <w:tc>
          <w:tcPr>
            <w:tcW w:w="4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ratio (%)</w:t>
            </w:r>
          </w:p>
        </w:tc>
        <w:tc>
          <w:tcPr>
            <w:tcW w:w="13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62.3</w:t>
            </w:r>
          </w:p>
        </w:tc>
        <w:tc>
          <w:tcPr>
            <w:tcW w:w="12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60.1</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57.2</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pts</w:t>
            </w:r>
          </w:p>
        </w:tc>
        <w:tc>
          <w:tcPr>
            <w:tcW w:w="12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1"/>
              </w:rPr>
              <w:t>pts</w:t>
            </w:r>
          </w:p>
        </w:tc>
      </w:tr>
    </w:tbl>
    <w:p>
      <w:pPr>
        <w:spacing w:after="0" w:line="10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As reported to the STB.</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Methodology used to report (described below) is not comparable with the reporting to the STB under docket number EP 770.</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tariff miles. In 2023, gross ton-miles and revenue ton-miles decreased 1% and 2%, respectively, compared to 2022, driven by a 1% decrease in carloadings. Changes in commodity mix drove the variance in year-over-year decreases between gross ton-miles, revenue ton-miles, and carloads.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average train speed, and average terminal dwell improved compared to 2022 as last year we experienced congestion across our system. These metrics were negatively impacted by operational challenges caused by weather in the first quarter of 2023 and train crew shortages in some locations in the first half of the year, but as network fluidity improved throughout 2023, freight car velocity increased sequentially.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Locomotive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3% in 2023 compared to 2022 driven by improved network fluidity in the second half of 2023. As a result of the improved fluidity, we stored locomotives in the second half of the year, reducing our active fleet size 11% since the end of the second quarter of 2023. These improvements more than offset increased average active fleet size in the first half of 2023 as resources were deployed to alleviate operational challenges and weather disruptions.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slightly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2022 as initiative to drive train length improvements in the second half of the year more than offset the declines in intermodal shipments, which generally move on longer trains.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Car Trip Plan Compliance </w:t>
      </w:r>
      <w:r>
        <w:rPr>
          <w:rFonts w:ascii="Arial" w:cs="Arial" w:eastAsia="Arial" w:hAnsi="Arial"/>
          <w:sz w:val="18"/>
          <w:szCs w:val="18"/>
          <w:color w:val="auto"/>
        </w:rPr>
        <w:t>– Car trip plan compliance is the percentage of cars delivered on time in accordance with our original trip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trip plan compliance is broken into the intermodal and manifest/automotive products. Intermodal car trip plan compliance and manifest/automotive car trip plan compliance improved in 2023 compared to 2022 driven by improved network fluidity, as evidenced by faster freight car velocity.</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declined 3% in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daily car miles decreased slightly and employees increased compared to 2022. The 3% increase in employee levels was driven by an increase in craft professionals as we aggressively hired train, engine, and yard employees to backfill attrition, cover absences resulting from recently negotiated sick leave benefits, and add employees in areas of critical need to address operational challenges and support our service product.</w:t>
      </w:r>
    </w:p>
    <w:p>
      <w:pPr>
        <w:spacing w:after="0" w:line="16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Our operating ratio of 62.3%</w:t>
      </w:r>
      <w:r>
        <w:rPr>
          <w:rFonts w:ascii="Arial" w:cs="Arial" w:eastAsia="Arial" w:hAnsi="Arial"/>
          <w:sz w:val="18"/>
          <w:szCs w:val="18"/>
          <w:i w:val="1"/>
          <w:iCs w:val="1"/>
          <w:color w:val="auto"/>
        </w:rPr>
        <w:t xml:space="preserve"> </w:t>
      </w:r>
      <w:r>
        <w:rPr>
          <w:rFonts w:ascii="Arial" w:cs="Arial" w:eastAsia="Arial" w:hAnsi="Arial"/>
          <w:sz w:val="18"/>
          <w:szCs w:val="18"/>
          <w:color w:val="auto"/>
        </w:rPr>
        <w:t>deteriorated 2.2 points compared to 2022 driven by inflation, excess network costs, the ratification charge for a crew staffing agreement reached in the second quarter of 2023, increased casualty costs, and other cost increases, partially offset by core pricing gains, the 2022 one-time charge for the labor agreements reached with our labor unions, and the year-over-year lag impact from lower fuel prices.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Common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Percentages</w:t>
            </w:r>
          </w:p>
        </w:tc>
        <w:tc>
          <w:tcPr>
            <w:tcW w:w="2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2021</w:t>
            </w: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6,379</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6,998</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6,523</w:t>
            </w:r>
          </w:p>
        </w:tc>
      </w:tr>
      <w:tr>
        <w:trPr>
          <w:trHeight w:val="203"/>
        </w:trPr>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Average equity</w:t>
            </w:r>
          </w:p>
        </w:tc>
        <w:tc>
          <w:tcPr>
            <w:tcW w:w="2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13,476</w:t>
            </w:r>
          </w:p>
        </w:tc>
        <w:tc>
          <w:tcPr>
            <w:tcW w:w="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13,162</w:t>
            </w:r>
          </w:p>
        </w:tc>
        <w:tc>
          <w:tcPr>
            <w:tcW w:w="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15,560</w:t>
            </w:r>
          </w:p>
        </w:tc>
      </w:tr>
      <w:tr>
        <w:trPr>
          <w:trHeight w:val="209"/>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Return on average common shareholders' equity</w:t>
            </w:r>
          </w:p>
        </w:tc>
        <w:tc>
          <w:tcPr>
            <w:tcW w:w="2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424"/>
        </w:trPr>
        <w:tc>
          <w:tcPr>
            <w:tcW w:w="5920" w:type="dxa"/>
            <w:vAlign w:val="bottom"/>
          </w:tcPr>
          <w:p>
            <w:pPr>
              <w:spacing w:after="0"/>
              <w:rPr>
                <w:sz w:val="20"/>
                <w:szCs w:val="20"/>
                <w:color w:val="auto"/>
              </w:rPr>
            </w:pPr>
            <w:r>
              <w:rPr>
                <w:rFonts w:ascii="Arial" w:cs="Arial" w:eastAsia="Arial" w:hAnsi="Arial"/>
                <w:sz w:val="18"/>
                <w:szCs w:val="18"/>
                <w:b w:val="1"/>
                <w:bCs w:val="1"/>
                <w:color w:val="auto"/>
              </w:rPr>
              <w:t>Return on Invested Capital as Adjusted (ROIC)</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59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0"/>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Percentages</w:t>
            </w:r>
          </w:p>
        </w:tc>
        <w:tc>
          <w:tcPr>
            <w:tcW w:w="2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2021</w:t>
            </w: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6,379</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6,998</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6,523</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1,340</w:t>
            </w:r>
          </w:p>
        </w:tc>
        <w:tc>
          <w:tcPr>
            <w:tcW w:w="26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1,271</w:t>
            </w:r>
          </w:p>
        </w:tc>
        <w:tc>
          <w:tcPr>
            <w:tcW w:w="26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1,157</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average operating lease liabilities</w:t>
            </w:r>
          </w:p>
        </w:tc>
        <w:tc>
          <w:tcPr>
            <w:tcW w:w="2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54</w:t>
            </w:r>
          </w:p>
        </w:tc>
      </w:tr>
      <w:tr>
        <w:trPr>
          <w:trHeight w:val="216"/>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on interest</w:t>
            </w:r>
          </w:p>
        </w:tc>
        <w:tc>
          <w:tcPr>
            <w:tcW w:w="2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r>
      <w:tr>
        <w:trPr>
          <w:trHeight w:val="209"/>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operating profit after taxes as adjusted</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7,462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8,021</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7,454</w:t>
            </w:r>
          </w:p>
        </w:tc>
      </w:tr>
      <w:tr>
        <w:trPr>
          <w:trHeight w:val="196"/>
        </w:trPr>
        <w:tc>
          <w:tcPr>
            <w:tcW w:w="5920" w:type="dxa"/>
            <w:vAlign w:val="bottom"/>
          </w:tcPr>
          <w:p>
            <w:pPr>
              <w:spacing w:after="0" w:line="196" w:lineRule="exact"/>
              <w:rPr>
                <w:sz w:val="20"/>
                <w:szCs w:val="20"/>
                <w:color w:val="auto"/>
              </w:rPr>
            </w:pPr>
            <w:r>
              <w:rPr>
                <w:rFonts w:ascii="Arial" w:cs="Arial" w:eastAsia="Arial" w:hAnsi="Arial"/>
                <w:sz w:val="18"/>
                <w:szCs w:val="18"/>
                <w:color w:val="auto"/>
              </w:rPr>
              <w:t>Average equity</w:t>
            </w:r>
          </w:p>
        </w:tc>
        <w:tc>
          <w:tcPr>
            <w:tcW w:w="21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13,476</w:t>
            </w:r>
          </w:p>
        </w:tc>
        <w:tc>
          <w:tcPr>
            <w:tcW w:w="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13,162</w:t>
            </w:r>
          </w:p>
        </w:tc>
        <w:tc>
          <w:tcPr>
            <w:tcW w:w="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15,560</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debt</w:t>
            </w:r>
          </w:p>
        </w:tc>
        <w:tc>
          <w:tcPr>
            <w:tcW w:w="2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32,953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31,528</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28,229</w:t>
            </w:r>
          </w:p>
        </w:tc>
      </w:tr>
      <w:tr>
        <w:trPr>
          <w:trHeight w:val="216"/>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operating lease liabilities</w:t>
            </w:r>
          </w:p>
        </w:tc>
        <w:tc>
          <w:tcPr>
            <w:tcW w:w="2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1,616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1,682</w:t>
            </w:r>
          </w:p>
        </w:tc>
      </w:tr>
      <w:tr>
        <w:trPr>
          <w:trHeight w:val="209"/>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invested capital as adjusted</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48,045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46,385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45,471</w:t>
            </w:r>
          </w:p>
        </w:tc>
      </w:tr>
      <w:tr>
        <w:trPr>
          <w:trHeight w:val="209"/>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invested capital as adjusted</w:t>
            </w:r>
          </w:p>
        </w:tc>
        <w:tc>
          <w:tcPr>
            <w:tcW w:w="2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ROIC is considered a non-GAAP financial measure by SEC Regulation G and Item 10 of SEC Regulation S-K and may not be defined and calculated by other companies in the same manner. We believe this measure is important to management and investors in evaluating the efficiency and effectiveness of our long-term capital investments. In addition, we currently use ROIC as a performance criterion in determining certain elements of equity compensation for our executives. ROIC should be considered in addition to, rather than as a substitute for, other information provided in accordance with GAAP. The most comparable GAAP measure is return on average common shareholders’ equity. The tables above provide a reconciliation from return on average common shareholders’ equity to ROIC. At December 31, 2023, 2022, and 2021, the incremental borrowing rate on operating leases was 3.6%, 3.3%, and 3.2%,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 Net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Ratios</w:t>
            </w:r>
          </w:p>
        </w:tc>
        <w:tc>
          <w:tcPr>
            <w:tcW w:w="39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9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32,579</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33,326</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29,729</w:t>
            </w:r>
          </w:p>
        </w:tc>
      </w:tr>
      <w:tr>
        <w:trPr>
          <w:trHeight w:val="203"/>
        </w:trPr>
        <w:tc>
          <w:tcPr>
            <w:tcW w:w="4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39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6,379</w:t>
            </w:r>
          </w:p>
        </w:tc>
        <w:tc>
          <w:tcPr>
            <w:tcW w:w="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6,998</w:t>
            </w:r>
          </w:p>
        </w:tc>
        <w:tc>
          <w:tcPr>
            <w:tcW w:w="3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6,523</w:t>
            </w:r>
          </w:p>
        </w:tc>
      </w:tr>
      <w:tr>
        <w:trPr>
          <w:trHeight w:val="209"/>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Debt / net income</w:t>
            </w:r>
          </w:p>
        </w:tc>
        <w:tc>
          <w:tcPr>
            <w:tcW w:w="3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424"/>
        </w:trPr>
        <w:tc>
          <w:tcPr>
            <w:tcW w:w="4280" w:type="dxa"/>
            <w:vAlign w:val="bottom"/>
          </w:tcPr>
          <w:p>
            <w:pPr>
              <w:spacing w:after="0"/>
              <w:rPr>
                <w:sz w:val="20"/>
                <w:szCs w:val="20"/>
                <w:color w:val="auto"/>
              </w:rPr>
            </w:pPr>
            <w:r>
              <w:rPr>
                <w:rFonts w:ascii="Arial" w:cs="Arial" w:eastAsia="Arial" w:hAnsi="Arial"/>
                <w:sz w:val="18"/>
                <w:szCs w:val="18"/>
                <w:b w:val="1"/>
                <w:bCs w:val="1"/>
                <w:color w:val="auto"/>
              </w:rPr>
              <w:t>Adjusted Debt / Adjusted EBITDA</w:t>
            </w: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428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96"/>
        </w:trPr>
        <w:tc>
          <w:tcPr>
            <w:tcW w:w="4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 Except Ratios</w:t>
            </w:r>
          </w:p>
        </w:tc>
        <w:tc>
          <w:tcPr>
            <w:tcW w:w="3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i w:val="1"/>
                <w:iCs w:val="1"/>
                <w:color w:val="auto"/>
              </w:rPr>
              <w:t>2022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2021</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9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6,379</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6,998</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6,523</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39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1,854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2,074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1,955</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9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2,318</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2,246</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2,208</w:t>
            </w:r>
          </w:p>
        </w:tc>
      </w:tr>
      <w:tr>
        <w:trPr>
          <w:trHeight w:val="216"/>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1,340</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1,271</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39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11,891</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12,589</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11,843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3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39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(491)</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216"/>
        </w:trPr>
        <w:tc>
          <w:tcPr>
            <w:tcW w:w="4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on operating lease liabilities</w:t>
            </w:r>
          </w:p>
        </w:tc>
        <w:tc>
          <w:tcPr>
            <w:tcW w:w="3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3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11,458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12,217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11,602</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9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32,579</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33,326</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29,729</w:t>
            </w:r>
          </w:p>
        </w:tc>
      </w:tr>
      <w:tr>
        <w:trPr>
          <w:trHeight w:val="203"/>
        </w:trPr>
        <w:tc>
          <w:tcPr>
            <w:tcW w:w="4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1,600</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1,631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1,759</w:t>
            </w: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debt</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34,179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34,957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31,488</w:t>
            </w: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debt / adjusted EBITDA</w:t>
            </w:r>
          </w:p>
        </w:tc>
        <w:tc>
          <w:tcPr>
            <w:tcW w:w="3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416"/>
        </w:trPr>
        <w:tc>
          <w:tcPr>
            <w:tcW w:w="4280" w:type="dxa"/>
            <w:vAlign w:val="bottom"/>
          </w:tcPr>
          <w:p>
            <w:pPr>
              <w:spacing w:after="0"/>
              <w:rPr>
                <w:sz w:val="24"/>
                <w:szCs w:val="24"/>
                <w:color w:val="auto"/>
              </w:rPr>
            </w:pPr>
          </w:p>
        </w:tc>
        <w:tc>
          <w:tcPr>
            <w:tcW w:w="3960" w:type="dxa"/>
            <w:vAlign w:val="bottom"/>
          </w:tcPr>
          <w:p>
            <w:pPr>
              <w:jc w:val="right"/>
              <w:ind w:right="2430"/>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8"/>
        </w:trPr>
        <w:tc>
          <w:tcPr>
            <w:tcW w:w="42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Adjusted debt (total debt plus operating lease liabilities plus after-tax unfunded pension and OPEB (other post 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December 31, 2023, 2022, and 2021, the incremental borrowing rate on operating leases was 3.6%, 3.3%, and 3.2%, respectively. Pension and OPEB were funded at December 31, 2023,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both December 31, 2023 and 2022, we had a working capital deficit due to upcoming debt maturities. It is not unusual for us to have a working capital deficit, and we believe it is not an indication of a lack of liquidity. We generate strong cash from operations and also maintain adequate resources, including our credit facility and, when necessary, access the capital markets to meet foreseeable cash requirements.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2023, we generated $8.4 billion of cash provided by operating activities, issued $1.0 billion of long-term debt, paid $3.2 billion in dividends, and repurchased shares totaling $0.7 billion. We have been, and we expect to continue to be, in compliance with our debt covenants.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sources of liquidity include cash and cash equivalents, our Receivables Facility, our revolving credit facility, as well as the availability of commercial paper and other sources of financing through the capital markets. On December 31, 2023, we had $1.1 billion of cash and cash equivalents, $2.0 billion of committed credit available under our revolving credit facility, and up to $800 million undrawn on the Receivables Facility. As of December 31, 2023, none of the revolving credit facility was drawn, and we did not draw on our revolving credit facility at any time during 2023. Our access to the Receivables Facility may be reduced or restricted if our bond ratings fall to certain levels below investment grade. If our bond rating were to deteriorate, it could have an adverse impact on our liquidity. Access to commercial paper as well as other capital market financing is dependent on market conditions. Deterioration of our operating results or financial condition due to internal or external factors could negatively impact our ability to access capital markets as a source of liquidity. Access to liquidity through the capital markets is also dependent on our financial stability. We expect that we will continue to have access to liquidity through any or all the following sources or activities: (a) increasing the utilization of our Receivables Facility, (b) issuing commercial paper, (c) entering into bank loans, outside of our revolving credit facility, or (iv) issuing bonds or other debt securities to public or private investors based on our assessment of the current condition of the credit markets. The Company’s $2.0 billion revolving credit facility is intended to support the issuance of commercial paper by UPC and also serves as an additional source of liquidity to fund short-term needs. The Company currently does not intend to make any borrowings under this facility.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in the notes to the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described in Item 1A of Part II of this report),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obligations as of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Contractual Obligations</w:t>
            </w: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6"/>
          </w:tcPr>
          <w:p>
            <w:pPr>
              <w:jc w:val="right"/>
              <w:ind w:right="110"/>
              <w:spacing w:after="0"/>
              <w:rPr>
                <w:sz w:val="20"/>
                <w:szCs w:val="20"/>
                <w:color w:val="auto"/>
              </w:rPr>
            </w:pPr>
            <w:r>
              <w:rPr>
                <w:rFonts w:ascii="Arial" w:cs="Arial" w:eastAsia="Arial" w:hAnsi="Arial"/>
                <w:sz w:val="18"/>
                <w:szCs w:val="18"/>
                <w:i w:val="1"/>
                <w:iCs w:val="1"/>
                <w:color w:val="auto"/>
              </w:rPr>
              <w:t>Payments Due by December 31,</w:t>
            </w:r>
          </w:p>
        </w:tc>
        <w:tc>
          <w:tcPr>
            <w:tcW w:w="7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0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Arial" w:cs="Arial" w:eastAsia="Arial" w:hAnsi="Arial"/>
                <w:sz w:val="18"/>
                <w:szCs w:val="18"/>
                <w:i w:val="1"/>
                <w:iCs w:val="1"/>
                <w:color w:val="auto"/>
              </w:rPr>
              <w:t>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Total</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2025</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2026</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2028</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i w:val="1"/>
                <w:iCs w:val="1"/>
                <w:color w:val="auto"/>
              </w:rPr>
              <w:t>2028</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[a]</w:t>
            </w:r>
          </w:p>
        </w:tc>
        <w:tc>
          <w:tcPr>
            <w:tcW w:w="6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60,516</w:t>
            </w:r>
          </w:p>
        </w:tc>
        <w:tc>
          <w:tcPr>
            <w:tcW w:w="4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2,610</w:t>
            </w:r>
          </w:p>
        </w:tc>
        <w:tc>
          <w:tcPr>
            <w:tcW w:w="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2,591</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2,617</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2,348</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2,294</w:t>
            </w:r>
          </w:p>
        </w:tc>
        <w:tc>
          <w:tcPr>
            <w:tcW w:w="3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48,056</w:t>
            </w: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Purchase obligations [b]</w:t>
            </w:r>
          </w:p>
        </w:tc>
        <w:tc>
          <w:tcPr>
            <w:tcW w:w="66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1,150</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158</w:t>
            </w:r>
          </w:p>
        </w:tc>
        <w:tc>
          <w:tcPr>
            <w:tcW w:w="3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[c]</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361</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237</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Other post retirement benefits [d]</w:t>
            </w:r>
          </w:p>
        </w:tc>
        <w:tc>
          <w:tcPr>
            <w:tcW w:w="660" w:type="dxa"/>
            <w:vAlign w:val="bottom"/>
          </w:tcPr>
          <w:p>
            <w:pPr>
              <w:spacing w:after="0"/>
              <w:rPr>
                <w:sz w:val="17"/>
                <w:szCs w:val="17"/>
                <w:color w:val="auto"/>
              </w:rPr>
            </w:pP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3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Finance lease obligations [e]</w:t>
            </w:r>
          </w:p>
        </w:tc>
        <w:tc>
          <w:tcPr>
            <w:tcW w:w="6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173</w:t>
            </w: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contractual obligations</w:t>
            </w:r>
          </w:p>
        </w:tc>
        <w:tc>
          <w:tcPr>
            <w:tcW w:w="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65,835</w:t>
            </w:r>
          </w:p>
        </w:tc>
        <w:tc>
          <w:tcPr>
            <w:tcW w:w="40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4,220</w:t>
            </w: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3,792</w:t>
            </w:r>
          </w:p>
        </w:tc>
        <w:tc>
          <w:tcPr>
            <w:tcW w:w="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3,588</w:t>
            </w:r>
          </w:p>
        </w:tc>
        <w:tc>
          <w:tcPr>
            <w:tcW w:w="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2,876</w:t>
            </w: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2,701</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48,658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$158 million as well as unamortized discount and deferred issuance costs of ($1,732) million. Includes an interest component of $26,363 million.</w:t>
      </w:r>
    </w:p>
    <w:p>
      <w:pPr>
        <w:spacing w:after="0" w:line="1"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$168 million.</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 retirement, medical, and life insurance payments, and payments made under the unfunded pension plan for the next ten years.</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$15 million.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Cash Flows</w:t>
            </w:r>
          </w:p>
        </w:tc>
        <w:tc>
          <w:tcPr>
            <w:tcW w:w="1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9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9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8,379</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9,362</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9,032</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19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(3,667)</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(3,471)</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(2,709)</w:t>
            </w:r>
          </w:p>
        </w:tc>
      </w:tr>
      <w:tr>
        <w:trPr>
          <w:trHeight w:val="203"/>
        </w:trPr>
        <w:tc>
          <w:tcPr>
            <w:tcW w:w="63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used in financing activities</w:t>
            </w:r>
          </w:p>
        </w:tc>
        <w:tc>
          <w:tcPr>
            <w:tcW w:w="19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(4,625)</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(5,887)</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(7,158)</w:t>
            </w:r>
          </w:p>
        </w:tc>
      </w:tr>
      <w:tr>
        <w:trPr>
          <w:trHeight w:val="20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decreased in 2023 compared to 2022 due primarily to a decrease in net income and $454 million of payments related to the 2022 one-time charge for agreements reached with our labor unions and the ratification charge for a crew staffing agreement reached in the second quarter of 2023.</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flow conversion is defined as cash provided by operating activities less cash used in capital investments as a ratio of net income. Cash flow conversion rate is not considered a financial measure under GAAP by SEC Regulation G and Item 10 of SEC Regulation S-K and may not be defined and calculated by other companies in the same manner. We believe cash flow conversion rate is important to management and investors in evaluating our financial performance and measures our ability to generate cash without additional external financing. Cash flow conversion rate should be considered in addition to, rather than as a substitute for, cash provided by operating activities. The following table reconciles cash provided by operating activities (GAAP measure) to cash flow conversion rate (non-GAAP measure):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For the Year Ended December 31,</w:t>
            </w:r>
          </w:p>
        </w:tc>
        <w:tc>
          <w:tcPr>
            <w:tcW w:w="2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2021</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7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rPr>
              <w:t>8,379</w:t>
            </w:r>
          </w:p>
        </w:tc>
        <w:tc>
          <w:tcPr>
            <w:tcW w:w="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9,362</w:t>
            </w:r>
          </w:p>
        </w:tc>
        <w:tc>
          <w:tcPr>
            <w:tcW w:w="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9,032</w:t>
            </w:r>
          </w:p>
        </w:tc>
      </w:tr>
      <w:tr>
        <w:trPr>
          <w:trHeight w:val="203"/>
        </w:trPr>
        <w:tc>
          <w:tcPr>
            <w:tcW w:w="5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used in capital investments</w:t>
            </w:r>
          </w:p>
        </w:tc>
        <w:tc>
          <w:tcPr>
            <w:tcW w:w="2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(3,606)</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(3,620)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(2,936)</w:t>
            </w:r>
          </w:p>
        </w:tc>
      </w:tr>
      <w:tr>
        <w:trPr>
          <w:trHeight w:val="210"/>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w:t>
            </w:r>
          </w:p>
        </w:tc>
        <w:tc>
          <w:tcPr>
            <w:tcW w:w="2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4,773</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5,742</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6,096</w:t>
            </w:r>
          </w:p>
        </w:tc>
      </w:tr>
      <w:tr>
        <w:trPr>
          <w:trHeight w:val="196"/>
        </w:trPr>
        <w:tc>
          <w:tcPr>
            <w:tcW w:w="5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(b)</w:t>
            </w:r>
          </w:p>
        </w:tc>
        <w:tc>
          <w:tcPr>
            <w:tcW w:w="2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6,379</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6,998</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6,523</w:t>
            </w:r>
          </w:p>
        </w:tc>
      </w:tr>
      <w:tr>
        <w:trPr>
          <w:trHeight w:val="210"/>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 conversion rate (a/b)</w:t>
            </w:r>
          </w:p>
        </w:tc>
        <w:tc>
          <w:tcPr>
            <w:tcW w:w="2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b w:val="1"/>
                <w:bCs w:val="1"/>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used in investing activities in 2023 increased compared to 2022 primarily driven by lower proceeds from asset sales within other investing activities net.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cash capital investments and track statistics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5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Ties</w:t>
            </w:r>
          </w:p>
        </w:tc>
        <w:tc>
          <w:tcPr>
            <w:tcW w:w="25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565</w:t>
            </w:r>
          </w:p>
        </w:tc>
        <w:tc>
          <w:tcPr>
            <w:tcW w:w="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544</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443</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Rail and other track material</w:t>
            </w:r>
          </w:p>
        </w:tc>
        <w:tc>
          <w:tcPr>
            <w:tcW w:w="258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454</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437</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507</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Ballast</w:t>
            </w:r>
          </w:p>
        </w:tc>
        <w:tc>
          <w:tcPr>
            <w:tcW w:w="2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194</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w:t>
            </w:r>
          </w:p>
        </w:tc>
      </w:tr>
      <w:tr>
        <w:trPr>
          <w:trHeight w:val="216"/>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w:t>
            </w:r>
          </w:p>
        </w:tc>
        <w:tc>
          <w:tcPr>
            <w:tcW w:w="2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r>
      <w:tr>
        <w:trPr>
          <w:trHeight w:val="210"/>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road infrastructure replacements</w:t>
            </w:r>
          </w:p>
        </w:tc>
        <w:tc>
          <w:tcPr>
            <w:tcW w:w="25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1,904</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color w:val="auto"/>
              </w:rPr>
              <w:t>Line expansion and other capacity projects</w:t>
            </w:r>
          </w:p>
        </w:tc>
        <w:tc>
          <w:tcPr>
            <w:tcW w:w="258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239</w:t>
            </w:r>
          </w:p>
        </w:tc>
        <w:tc>
          <w:tcPr>
            <w:tcW w:w="38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276</w:t>
            </w:r>
          </w:p>
        </w:tc>
        <w:tc>
          <w:tcPr>
            <w:tcW w:w="38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284</w:t>
            </w:r>
          </w:p>
        </w:tc>
      </w:tr>
      <w:tr>
        <w:trPr>
          <w:trHeight w:val="216"/>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facilities</w:t>
            </w:r>
          </w:p>
        </w:tc>
        <w:tc>
          <w:tcPr>
            <w:tcW w:w="25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09"/>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capacity and commercial facilities</w:t>
            </w:r>
          </w:p>
        </w:tc>
        <w:tc>
          <w:tcPr>
            <w:tcW w:w="2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Locomotives and freight cars [b]</w:t>
            </w:r>
          </w:p>
        </w:tc>
        <w:tc>
          <w:tcPr>
            <w:tcW w:w="2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728</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800</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322</w:t>
            </w:r>
          </w:p>
        </w:tc>
      </w:tr>
      <w:tr>
        <w:trPr>
          <w:trHeight w:val="202"/>
        </w:trPr>
        <w:tc>
          <w:tcPr>
            <w:tcW w:w="5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Technology and other</w:t>
            </w:r>
          </w:p>
        </w:tc>
        <w:tc>
          <w:tcPr>
            <w:tcW w:w="2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310</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346</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162</w:t>
            </w:r>
          </w:p>
        </w:tc>
      </w:tr>
      <w:tr>
        <w:trPr>
          <w:trHeight w:val="210"/>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capital investments [c]</w:t>
            </w:r>
          </w:p>
        </w:tc>
        <w:tc>
          <w:tcPr>
            <w:tcW w:w="2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3,606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r>
    </w:tbl>
    <w:p>
      <w:pPr>
        <w:spacing w:after="0" w:line="10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$57 million, $70 million, and $34 million in 2023, 2022, and 2021, respectively.</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2023, 2022, and 2021 are immaterial.</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Capital Plan </w:t>
      </w:r>
      <w:r>
        <w:rPr>
          <w:rFonts w:ascii="Arial" w:cs="Arial" w:eastAsia="Arial" w:hAnsi="Arial"/>
          <w:sz w:val="18"/>
          <w:szCs w:val="18"/>
          <w:color w:val="auto"/>
        </w:rPr>
        <w:t>– In 2024, we expect our capital plan to be approximately $3.4 billion, down 8% from 2023. We plan to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to support our growth strategy, harden our infrastructure, replace older assets, and improve the safety and resiliency of the network. In addition, the plan includes investments in growth-related projects to drive more carloads to the network, certain ramps to efficiently handle volumes from new and existing intermodal customers, continued modernization of our locomotive fleet, and projects intended to improve operational efficiency. The capital plan may be revised if business conditions warrant or if new laws or regulations affect our ability to generate sufficient returns on these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used in financing activities decreased in 2023 compared to 2022 driven by a decrease in share repurchases, partially offset by less debt issued.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 Note 14 to the Financial Statements and Supplementary Data, Item 8, for a description of all our outstanding financing arrangements and significant new borrowings, and Note 18 to the Financial Statements and Supplementary Data, Item 8, for a description of our share repurchase programs.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 For capital-intensive companies, inflation significantly increases asset replacement costs for long-lived assets.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that we replace all operating assets at current price levels, depreciation charges (on an inflation-adjusted basis) would be substantially greater than historically reported amounts.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Sensitivity Analyses </w:t>
      </w:r>
      <w:r>
        <w:rPr>
          <w:rFonts w:ascii="Arial" w:cs="Arial" w:eastAsia="Arial" w:hAnsi="Arial"/>
          <w:sz w:val="18"/>
          <w:szCs w:val="18"/>
          <w:color w:val="auto"/>
        </w:rPr>
        <w:t>– The sensitivity analyses that follow illustrate the economic effect that hypothetical changes in interest and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rates could have on our results of operations and financial condition. These hypothetical changes do not consider other factors that could impact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 xml:space="preserve"> – At December 31, 2023, we did not have variable-rate debt.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 risk for fixed-rate debt is estimated as the potential increase in fair value resulting from a hypothetical one percentage point decrease in interest rates as of December 31, 2023, and totals an increase of approximately $3.6 billion to the fair value of our debt at December 31, 2023. We estimated the fair values of our fixed-rate debt by considering the impact of the hypothetical interest rates on quoted market prices and current borrowing rates.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Tax Rates</w:t>
      </w:r>
      <w:r>
        <w:rPr>
          <w:rFonts w:ascii="Arial" w:cs="Arial" w:eastAsia="Arial" w:hAnsi="Arial"/>
          <w:sz w:val="18"/>
          <w:szCs w:val="18"/>
          <w:color w:val="auto"/>
        </w:rPr>
        <w:t xml:space="preserve"> – Our deferred tax assets and liabilities are measured based on current tax law. Future tax legislation, such as a change in the federal corporate tax rate, could have a material impact on our financial condition, results of operations, or liquidity. For example, a future, permanent 1% increase in our federal income tax rate would increase our deferred tax liability by approximately $525 million. Similarly, a future, permanent 1% decrease in our federal income tax rate would decrease our deferred tax liability by approximately $525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Pronouncements </w:t>
      </w:r>
      <w:r>
        <w:rPr>
          <w:rFonts w:ascii="Arial" w:cs="Arial" w:eastAsia="Arial" w:hAnsi="Arial"/>
          <w:sz w:val="18"/>
          <w:szCs w:val="18"/>
          <w:color w:val="auto"/>
        </w:rPr>
        <w:t>– See Note 3 to the Financial Statements and Supplementary Data,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17 to the Financial Statements and Supplementary Data,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17 to the Financial Statements and Supplementary Data, Item 8.</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Climate Change </w:t>
      </w:r>
      <w:r>
        <w:rPr>
          <w:rFonts w:ascii="Arial" w:cs="Arial" w:eastAsia="Arial" w:hAnsi="Arial"/>
          <w:sz w:val="18"/>
          <w:szCs w:val="18"/>
          <w:color w:val="auto"/>
        </w:rPr>
        <w:t>– Climate change could have an adverse impact on our operations and financial performance (see Risk Factors under Item</w:t>
      </w:r>
      <w:r>
        <w:rPr>
          <w:rFonts w:ascii="Arial" w:cs="Arial" w:eastAsia="Arial" w:hAnsi="Arial"/>
          <w:sz w:val="18"/>
          <w:szCs w:val="18"/>
          <w:b w:val="1"/>
          <w:bCs w:val="1"/>
          <w:color w:val="auto"/>
        </w:rPr>
        <w:t xml:space="preserve"> </w:t>
      </w:r>
      <w:r>
        <w:rPr>
          <w:rFonts w:ascii="Arial" w:cs="Arial" w:eastAsia="Arial" w:hAnsi="Arial"/>
          <w:sz w:val="18"/>
          <w:szCs w:val="18"/>
          <w:color w:val="auto"/>
        </w:rPr>
        <w:t>1A of this report). We utilize climate scenario analyses to better understand climate-related risks and opportunities the Company may face in the future under a range of potential scenarios. We continue to refine our approach to understand climate-related risks and are taking an iterative approach in our business planning processes as risk factors, solutions, and technology develop. However, we are unable to predict the likelihood, manner, severity, or ultimate financial impact of actual future incidents as climate scenario analysis considers a range of potential outcomes.</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continue to take steps and explore opportunities to reduce our operational impact on the environment, including improving our operational fluidity to increase fuel efficiency, modernizing locomotives for improved reliability and fuel consumption, using renewable fuels, and exploring and testing low- and zero-emissions propulsion technologies. These initiatives are aligned with our Safety + Service</w:t>
      </w:r>
    </w:p>
    <w:p>
      <w:pPr>
        <w:spacing w:after="0" w:line="2" w:lineRule="exact"/>
        <w:rPr>
          <w:sz w:val="20"/>
          <w:szCs w:val="20"/>
          <w:color w:val="auto"/>
        </w:rPr>
      </w:pPr>
    </w:p>
    <w:p>
      <w:pPr>
        <w:ind w:firstLine="8"/>
        <w:spacing w:after="0" w:line="250" w:lineRule="auto"/>
        <w:tabs>
          <w:tab w:leader="none" w:pos="2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Operational Excellence = Growth strategy. (See further discussion in "Sustainable Future" in the Operations section in Item 1 of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estimation and judgment that affect the reported amounts of revenues, expenses, assets, and liabilities. We base our estimates on historical experience and on various other assumptions that we believe are reasonable under the circumstances. The results form the basis for making judgments about the carrying values of assets and liabilities that are not readily apparent from other sources. The following critical accounting estimates are a subset of our significant accounting policies described in Note 2 to the Financial Statements and Supplementary Data, Item 8. These critical accounting estimates affect significant areas of our financial statements and involve judgment and estimates. If these estimates differ significantly from actual results, the impact on our Consolidated Financial Statements may be material.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See Note 17 to the Financial Statements and Supplementary Data, Item 8, and "</w:t>
      </w:r>
      <w:r>
        <w:rPr>
          <w:rFonts w:ascii="Arial" w:cs="Arial" w:eastAsia="Arial" w:hAnsi="Arial"/>
          <w:sz w:val="18"/>
          <w:szCs w:val="18"/>
          <w:i w:val="1"/>
          <w:iCs w:val="1"/>
          <w:color w:val="auto"/>
        </w:rPr>
        <w:t>We May Be Subject to Various Claims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and Lawsuits That Could Result in Significant Expenditures" </w:t>
      </w:r>
      <w:r>
        <w:rPr>
          <w:rFonts w:ascii="Arial" w:cs="Arial" w:eastAsia="Arial" w:hAnsi="Arial"/>
          <w:sz w:val="18"/>
          <w:szCs w:val="18"/>
          <w:color w:val="auto"/>
        </w:rPr>
        <w:t>in the Risk Factors, Item 1A.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is subject to uncertainty due to unasserted claims, timing and outcome of claims, and evolving trends in litigation.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assumptions used in the latest actuarial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balance and claims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9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Ending liability balance at December 31 (millions)</w:t>
            </w:r>
          </w:p>
        </w:tc>
        <w:tc>
          <w:tcPr>
            <w:tcW w:w="2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383</w:t>
            </w:r>
          </w:p>
        </w:tc>
        <w:tc>
          <w:tcPr>
            <w:tcW w:w="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361</w:t>
            </w:r>
          </w:p>
        </w:tc>
        <w:tc>
          <w:tcPr>
            <w:tcW w:w="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w:t>
            </w: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Open claims, beginning balance</w:t>
            </w:r>
          </w:p>
        </w:tc>
        <w:tc>
          <w:tcPr>
            <w:tcW w:w="2300" w:type="dxa"/>
            <w:vAlign w:val="bottom"/>
          </w:tcPr>
          <w:p>
            <w:pPr>
              <w:spacing w:after="0"/>
              <w:rPr>
                <w:sz w:val="17"/>
                <w:szCs w:val="17"/>
                <w:color w:val="auto"/>
              </w:rPr>
            </w:pPr>
          </w:p>
        </w:tc>
        <w:tc>
          <w:tcPr>
            <w:tcW w:w="8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2,036</w:t>
            </w:r>
          </w:p>
        </w:tc>
        <w:tc>
          <w:tcPr>
            <w:tcW w:w="32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1,897</w:t>
            </w: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claims</w:t>
            </w:r>
          </w:p>
        </w:tc>
        <w:tc>
          <w:tcPr>
            <w:tcW w:w="2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3,008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2,747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2,719</w:t>
            </w:r>
          </w:p>
        </w:tc>
      </w:tr>
      <w:tr>
        <w:trPr>
          <w:trHeight w:val="203"/>
        </w:trPr>
        <w:tc>
          <w:tcPr>
            <w:tcW w:w="5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Settled or dismissed claims</w:t>
            </w:r>
          </w:p>
        </w:tc>
        <w:tc>
          <w:tcPr>
            <w:tcW w:w="2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(3,173)</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(2,738)</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(2,589)</w:t>
            </w:r>
          </w:p>
        </w:tc>
      </w:tr>
      <w:tr>
        <w:trPr>
          <w:trHeight w:val="209"/>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Open claims, ending balance at December 31</w:t>
            </w:r>
          </w:p>
        </w:tc>
        <w:tc>
          <w:tcPr>
            <w:tcW w:w="2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1,871</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2,036</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r>
    </w:tbl>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See Note 17 to the Financial Statements and Supplementary Data, Item 8; "</w:t>
      </w:r>
      <w:r>
        <w:rPr>
          <w:rFonts w:ascii="Arial" w:cs="Arial" w:eastAsia="Arial" w:hAnsi="Arial"/>
          <w:sz w:val="18"/>
          <w:szCs w:val="18"/>
          <w:i w:val="1"/>
          <w:iCs w:val="1"/>
          <w:color w:val="auto"/>
        </w:rPr>
        <w:t>We Are Subject to Significant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Environmental Laws and Regulations" </w:t>
      </w:r>
      <w:r>
        <w:rPr>
          <w:rFonts w:ascii="Arial" w:cs="Arial" w:eastAsia="Arial" w:hAnsi="Arial"/>
          <w:sz w:val="18"/>
          <w:szCs w:val="18"/>
          <w:color w:val="auto"/>
        </w:rPr>
        <w:t>in the Risk Factors, Item 1A; and Environmental Matters in the Legal Proceedings, Item 3.</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environmental liability is subject to several factors such as type of remediation, nature and volume of contaminate, number and financial viability of other potentially responsible parties, as well as uncertainty due to unknown alleged contamination, evolving trends in remediation techniques and final remedies, and changes in laws and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balance and site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9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Ending liability balance at December 31 (millions)</w:t>
            </w:r>
          </w:p>
        </w:tc>
        <w:tc>
          <w:tcPr>
            <w:tcW w:w="23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245</w:t>
            </w:r>
          </w:p>
        </w:tc>
        <w:tc>
          <w:tcPr>
            <w:tcW w:w="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243</w:t>
            </w: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Open sites, beginning balance</w:t>
            </w:r>
          </w:p>
        </w:tc>
        <w:tc>
          <w:tcPr>
            <w:tcW w:w="234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353</w:t>
            </w:r>
          </w:p>
        </w:tc>
        <w:tc>
          <w:tcPr>
            <w:tcW w:w="360" w:type="dxa"/>
            <w:vAlign w:val="bottom"/>
          </w:tcPr>
          <w:p>
            <w:pPr>
              <w:spacing w:after="0"/>
              <w:rPr>
                <w:sz w:val="17"/>
                <w:szCs w:val="17"/>
                <w:color w:val="auto"/>
              </w:rPr>
            </w:pPr>
          </w:p>
        </w:tc>
        <w:tc>
          <w:tcPr>
            <w:tcW w:w="7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376</w:t>
            </w:r>
          </w:p>
        </w:tc>
        <w:tc>
          <w:tcPr>
            <w:tcW w:w="380" w:type="dxa"/>
            <w:vAlign w:val="bottom"/>
          </w:tcPr>
          <w:p>
            <w:pPr>
              <w:spacing w:after="0"/>
              <w:rPr>
                <w:sz w:val="17"/>
                <w:szCs w:val="17"/>
                <w:color w:val="auto"/>
              </w:rPr>
            </w:pPr>
          </w:p>
        </w:tc>
        <w:tc>
          <w:tcPr>
            <w:tcW w:w="7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373</w:t>
            </w: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sites</w:t>
            </w:r>
          </w:p>
        </w:tc>
        <w:tc>
          <w:tcPr>
            <w:tcW w:w="2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Closed sites</w:t>
            </w:r>
          </w:p>
        </w:tc>
        <w:tc>
          <w:tcPr>
            <w:tcW w:w="2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10"/>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Open sites, ending balance at December 31</w:t>
            </w:r>
          </w:p>
        </w:tc>
        <w:tc>
          <w:tcPr>
            <w:tcW w:w="2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333</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See Note 11 to the Financial Statements and Supplementary Data,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Assets purchased or constructed throughout the year are capitalized if they meet applicable minimum units of property.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Estimated service lives of depreciable railroad property may vary over time due to changes in physical use, technology, asset strategies, and other factors that will have an impact on the retirement profiles of our assets. We are not aware of any specific factors that are reasonably likely to significantly change the estimated service lives of our assets. Actual use and retirement of our assets may vary from our current estimates, which would impact the amount of depreciation expense recognized in future periods.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Changes in estimated useful lives of our assets due to the results of our depreciation studies could significantly impact future periods’ depreciation expense and have a material impact on our Consolidated Financial Statements. If the estimated useful lives of all depreciable assets were increased by one year, annual depreciation expense would decrease by approximately $ 71 million. If the estimated useful lives of all depreciable assets were decreased by one year, annual depreciation expense would increase by approximately $76 million. We are projecting an increase in our depreciation expense of approximately 3% to 4% in 2024 versus 2023. This is driven by an increase in our projected depreciable asset base</w:t>
      </w:r>
      <w:r>
        <w:rPr>
          <w:rFonts w:ascii="Arial" w:cs="Arial" w:eastAsia="Arial" w:hAnsi="Arial"/>
          <w:sz w:val="18"/>
          <w:szCs w:val="18"/>
          <w:color w:val="333333"/>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three fiscal years, no gains or losses were recognized due to the retirement of depreciable railroad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Pension Plans </w:t>
      </w:r>
      <w:r>
        <w:rPr>
          <w:rFonts w:ascii="Arial" w:cs="Arial" w:eastAsia="Arial" w:hAnsi="Arial"/>
          <w:sz w:val="18"/>
          <w:szCs w:val="18"/>
          <w:color w:val="auto"/>
        </w:rPr>
        <w:t>– See Note 5 to the Financial Statements and Supplementary Data, Item 8.</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critical assumptions used to measure pension obligations and expenses are the discount rates and expected rate of return on pension assets.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critical assumptions at least annually, and selected assumptions are based on the following factors:</w:t>
      </w:r>
    </w:p>
    <w:p>
      <w:pPr>
        <w:spacing w:after="0" w:line="198" w:lineRule="exact"/>
        <w:rPr>
          <w:sz w:val="20"/>
          <w:szCs w:val="20"/>
          <w:color w:val="auto"/>
        </w:rPr>
      </w:pPr>
    </w:p>
    <w:p>
      <w:pPr>
        <w:jc w:val="both"/>
        <w:ind w:left="340" w:hanging="332"/>
        <w:spacing w:after="0" w:line="24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measure the service cost and interest cost components of our net periodic pension benefit/cost by using individual spot rates matched with separate cash flows for each future year. Discount rates are based on a Mercer yield curve of high-quality corporate bonds (rated AA by a recognized rating agency).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return on plan assets is based on our asset allocation mix and our historical return, taking into consideration current and expected market conditions.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present the key assumptions used to measure net periodic pension benefit/cost for 2024 and the estimated impact on 2024 net periodic pension benefit/cost relative to a change in those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Discount rate for benefit obligations</w:t>
            </w:r>
          </w:p>
        </w:tc>
        <w:tc>
          <w:tcPr>
            <w:tcW w:w="17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w w:val="97"/>
              </w:rPr>
              <w:t>5.00%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Discount rate for interest on benefit obligations</w:t>
            </w: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ind w:left="300"/>
              <w:spacing w:after="0" w:line="202" w:lineRule="exact"/>
              <w:rPr>
                <w:sz w:val="20"/>
                <w:szCs w:val="20"/>
                <w:color w:val="auto"/>
              </w:rPr>
            </w:pPr>
            <w:r>
              <w:rPr>
                <w:rFonts w:ascii="Arial" w:cs="Arial" w:eastAsia="Arial" w:hAnsi="Arial"/>
                <w:sz w:val="18"/>
                <w:szCs w:val="18"/>
                <w:color w:val="auto"/>
                <w:w w:val="97"/>
              </w:rPr>
              <w:t>4.90%</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for service cost</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7"/>
              </w:rPr>
              <w:t>5.05%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Discount rate for interest on service cost</w:t>
            </w: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ind w:left="300"/>
              <w:spacing w:after="0" w:line="202" w:lineRule="exact"/>
              <w:rPr>
                <w:sz w:val="20"/>
                <w:szCs w:val="20"/>
                <w:color w:val="auto"/>
              </w:rPr>
            </w:pPr>
            <w:r>
              <w:rPr>
                <w:rFonts w:ascii="Arial" w:cs="Arial" w:eastAsia="Arial" w:hAnsi="Arial"/>
                <w:sz w:val="18"/>
                <w:szCs w:val="18"/>
                <w:color w:val="auto"/>
                <w:w w:val="97"/>
              </w:rPr>
              <w:t>5.02%</w:t>
            </w:r>
          </w:p>
        </w:tc>
      </w:tr>
      <w:tr>
        <w:trPr>
          <w:trHeight w:val="203"/>
        </w:trPr>
        <w:tc>
          <w:tcPr>
            <w:tcW w:w="5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7"/>
              </w:rPr>
              <w:t>5.25%</w:t>
            </w:r>
          </w:p>
        </w:tc>
      </w:tr>
      <w:tr>
        <w:trPr>
          <w:trHeight w:val="209"/>
        </w:trPr>
        <w:tc>
          <w:tcPr>
            <w:tcW w:w="5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spacing w:after="0"/>
              <w:rPr>
                <w:sz w:val="18"/>
                <w:szCs w:val="18"/>
                <w:color w:val="auto"/>
              </w:rPr>
            </w:pPr>
          </w:p>
        </w:tc>
      </w:tr>
      <w:tr>
        <w:trPr>
          <w:trHeight w:val="179"/>
        </w:trPr>
        <w:tc>
          <w:tcPr>
            <w:tcW w:w="5440" w:type="dxa"/>
            <w:vAlign w:val="bottom"/>
          </w:tcPr>
          <w:p>
            <w:pPr>
              <w:spacing w:after="0" w:line="179" w:lineRule="exact"/>
              <w:rPr>
                <w:sz w:val="20"/>
                <w:szCs w:val="20"/>
                <w:color w:val="auto"/>
              </w:rPr>
            </w:pPr>
            <w:r>
              <w:rPr>
                <w:rFonts w:ascii="Arial" w:cs="Arial" w:eastAsia="Arial" w:hAnsi="Arial"/>
                <w:sz w:val="18"/>
                <w:szCs w:val="18"/>
                <w:b w:val="1"/>
                <w:bCs w:val="1"/>
                <w:i w:val="1"/>
                <w:iCs w:val="1"/>
                <w:color w:val="auto"/>
              </w:rPr>
              <w:t>Sensitivities</w:t>
            </w:r>
          </w:p>
        </w:tc>
        <w:tc>
          <w:tcPr>
            <w:tcW w:w="1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gridSpan w:val="3"/>
          </w:tcPr>
          <w:p>
            <w:pPr>
              <w:jc w:val="right"/>
              <w:ind w:right="10"/>
              <w:spacing w:after="0" w:line="179" w:lineRule="exact"/>
              <w:rPr>
                <w:sz w:val="20"/>
                <w:szCs w:val="20"/>
                <w:color w:val="auto"/>
              </w:rPr>
            </w:pPr>
            <w:r>
              <w:rPr>
                <w:rFonts w:ascii="Arial" w:cs="Arial" w:eastAsia="Arial" w:hAnsi="Arial"/>
                <w:sz w:val="18"/>
                <w:szCs w:val="18"/>
                <w:i w:val="1"/>
                <w:iCs w:val="1"/>
                <w:color w:val="auto"/>
              </w:rPr>
              <w:t>Increase in Expense</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Pension</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0.25% decrease in discount rates</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203"/>
        </w:trPr>
        <w:tc>
          <w:tcPr>
            <w:tcW w:w="5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0.25% decrease in expected return on plan assets</w:t>
            </w:r>
          </w:p>
        </w:tc>
        <w:tc>
          <w:tcPr>
            <w:tcW w:w="1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w:t>
            </w:r>
          </w:p>
        </w:tc>
      </w:tr>
      <w:tr>
        <w:trPr>
          <w:trHeight w:val="416"/>
        </w:trPr>
        <w:tc>
          <w:tcPr>
            <w:tcW w:w="8000" w:type="dxa"/>
            <w:vAlign w:val="bottom"/>
            <w:gridSpan w:val="3"/>
          </w:tcPr>
          <w:p>
            <w:pPr>
              <w:spacing w:after="0"/>
              <w:rPr>
                <w:sz w:val="20"/>
                <w:szCs w:val="20"/>
                <w:color w:val="auto"/>
              </w:rPr>
            </w:pPr>
            <w:r>
              <w:rPr>
                <w:rFonts w:ascii="Arial" w:cs="Arial" w:eastAsia="Arial" w:hAnsi="Arial"/>
                <w:sz w:val="18"/>
                <w:szCs w:val="18"/>
                <w:color w:val="auto"/>
              </w:rPr>
              <w:t>The following table presents the net periodic pension benefit/cost for the years ended December 31: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5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3"/>
        </w:trPr>
        <w:tc>
          <w:tcPr>
            <w:tcW w:w="5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Pr>
          <w:p>
            <w:pPr>
              <w:jc w:val="right"/>
              <w:ind w:right="110"/>
              <w:spacing w:after="0" w:line="193" w:lineRule="exact"/>
              <w:rPr>
                <w:sz w:val="20"/>
                <w:szCs w:val="20"/>
                <w:color w:val="auto"/>
              </w:rPr>
            </w:pPr>
            <w:r>
              <w:rPr>
                <w:rFonts w:ascii="Arial" w:cs="Arial" w:eastAsia="Arial" w:hAnsi="Arial"/>
                <w:sz w:val="18"/>
                <w:szCs w:val="18"/>
                <w:i w:val="1"/>
                <w:iCs w:val="1"/>
                <w:color w:val="auto"/>
              </w:rPr>
              <w:t>Est.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2024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i w:val="1"/>
                <w:iCs w:val="1"/>
                <w:color w:val="auto"/>
              </w:rPr>
              <w:t>2023</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i w:val="1"/>
                <w:iCs w:val="1"/>
                <w:color w:val="auto"/>
              </w:rPr>
              <w:t>2021</w:t>
            </w:r>
          </w:p>
        </w:tc>
      </w:tr>
      <w:tr>
        <w:trPr>
          <w:trHeight w:val="210"/>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pension (benefit)/cost</w:t>
            </w: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in the CEO’s letter preceding Part I; statements regarding planned capital expenditures under the caption “2024 Capital Plan” in Item 2 of Part I; and statements and information set forth under the captions “2024 Outlook”; “Liquidity and Capital Resources” in Item 7 of Part II regarding our capital plan, share repurchase programs, contractual obligations, "Pension Benefits", and "Other Matters" in this Item 7 of Part II. Forward-looking statements and information also include any other statements or information in this report (including information incorporated herein by reference) regarding: potential impacts of public health crises, including pandemics, epidemics, and the outbreak of other contagious disease, such as COVID; the Russia-Ukraine and Israel-Hamas wars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that management has little or no influence or control, and many of these risks and uncertainties are currently amplified by and may continue to be amplified by, or in the future may be amplified by, among other things, macroeconomic conditions. The Risk Factors in Item 1A of this report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Information concerning market risk sensitive instruments is set forth under Management’s Discussion and Analysis of Financial Condition and Results of Operations - Other Matters, Item 7.</w:t>
      </w:r>
    </w:p>
    <w:p>
      <w:pPr>
        <w:jc w:val="center"/>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5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20" w:type="dxa"/>
            <w:vAlign w:val="bottom"/>
            <w:gridSpan w:val="1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520" w:type="dxa"/>
            <w:vAlign w:val="bottom"/>
            <w:gridSpan w:val="15"/>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53"/>
        </w:trPr>
        <w:tc>
          <w:tcPr>
            <w:tcW w:w="62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Report of Independent Registered Public Accounting Firm (PCAOB ID No. 34)</w:t>
            </w:r>
          </w:p>
        </w:tc>
        <w:tc>
          <w:tcPr>
            <w:tcW w:w="2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41</w:t>
            </w:r>
          </w:p>
        </w:tc>
        <w:tc>
          <w:tcPr>
            <w:tcW w:w="0" w:type="dxa"/>
            <w:vAlign w:val="bottom"/>
          </w:tcPr>
          <w:p>
            <w:pPr>
              <w:spacing w:after="0"/>
              <w:rPr>
                <w:sz w:val="1"/>
                <w:szCs w:val="1"/>
                <w:color w:val="auto"/>
              </w:rPr>
            </w:pPr>
          </w:p>
        </w:tc>
      </w:tr>
      <w:tr>
        <w:trPr>
          <w:trHeight w:val="385"/>
        </w:trPr>
        <w:tc>
          <w:tcPr>
            <w:tcW w:w="2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Consolidated Statements of Income</w:t>
            </w:r>
          </w:p>
        </w:tc>
        <w:tc>
          <w:tcPr>
            <w:tcW w:w="5660" w:type="dxa"/>
            <w:vAlign w:val="bottom"/>
            <w:gridSpan w:val="10"/>
          </w:tcPr>
          <w:p>
            <w:pPr>
              <w:spacing w:after="0"/>
              <w:rPr>
                <w:sz w:val="24"/>
                <w:szCs w:val="24"/>
                <w:color w:val="auto"/>
              </w:rPr>
            </w:pPr>
          </w:p>
        </w:tc>
        <w:tc>
          <w:tcPr>
            <w:tcW w:w="25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43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For the Years Ended December 31, 2023, 2022, and 2021</w:t>
            </w:r>
          </w:p>
        </w:tc>
        <w:tc>
          <w:tcPr>
            <w:tcW w:w="3700" w:type="dxa"/>
            <w:vAlign w:val="bottom"/>
            <w:gridSpan w:val="4"/>
          </w:tcPr>
          <w:p>
            <w:pPr>
              <w:spacing w:after="0"/>
              <w:rPr>
                <w:sz w:val="15"/>
                <w:szCs w:val="15"/>
                <w:color w:val="auto"/>
              </w:rPr>
            </w:pPr>
          </w:p>
        </w:tc>
        <w:tc>
          <w:tcPr>
            <w:tcW w:w="2520" w:type="dxa"/>
            <w:vAlign w:val="bottom"/>
            <w:vMerge w:val="continue"/>
          </w:tcPr>
          <w:p>
            <w:pPr>
              <w:spacing w:after="0"/>
              <w:rPr>
                <w:sz w:val="15"/>
                <w:szCs w:val="15"/>
                <w:color w:val="auto"/>
              </w:rPr>
            </w:pPr>
          </w:p>
        </w:tc>
        <w:tc>
          <w:tcPr>
            <w:tcW w:w="20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520" w:type="dxa"/>
            <w:vAlign w:val="bottom"/>
            <w:gridSpan w:val="15"/>
          </w:tcPr>
          <w:p>
            <w:pPr>
              <w:spacing w:after="0"/>
              <w:rPr>
                <w:sz w:val="20"/>
                <w:szCs w:val="20"/>
                <w:color w:val="auto"/>
              </w:rPr>
            </w:pPr>
            <w:r>
              <w:rPr>
                <w:rFonts w:ascii="Arial" w:cs="Arial" w:eastAsia="Arial" w:hAnsi="Arial"/>
                <w:sz w:val="18"/>
                <w:szCs w:val="18"/>
                <w:color w:val="0000EE"/>
              </w:rPr>
              <w:t>Consolidated Statements of Comprehensive Income</w:t>
            </w:r>
          </w:p>
        </w:tc>
        <w:tc>
          <w:tcPr>
            <w:tcW w:w="25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 w:type="dxa"/>
            <w:vAlign w:val="bottom"/>
          </w:tcPr>
          <w:p>
            <w:pPr>
              <w:spacing w:after="0"/>
              <w:rPr>
                <w:sz w:val="15"/>
                <w:szCs w:val="15"/>
                <w:color w:val="auto"/>
              </w:rPr>
            </w:pPr>
          </w:p>
        </w:tc>
        <w:tc>
          <w:tcPr>
            <w:tcW w:w="46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For the Years Ended December 31, 2023, 2022, and 2021</w:t>
            </w:r>
          </w:p>
        </w:tc>
        <w:tc>
          <w:tcPr>
            <w:tcW w:w="3700" w:type="dxa"/>
            <w:vAlign w:val="bottom"/>
            <w:gridSpan w:val="4"/>
          </w:tcPr>
          <w:p>
            <w:pPr>
              <w:spacing w:after="0"/>
              <w:rPr>
                <w:sz w:val="15"/>
                <w:szCs w:val="15"/>
                <w:color w:val="auto"/>
              </w:rPr>
            </w:pPr>
          </w:p>
        </w:tc>
        <w:tc>
          <w:tcPr>
            <w:tcW w:w="2520" w:type="dxa"/>
            <w:vAlign w:val="bottom"/>
            <w:vMerge w:val="continue"/>
          </w:tcPr>
          <w:p>
            <w:pPr>
              <w:spacing w:after="0"/>
              <w:rPr>
                <w:sz w:val="15"/>
                <w:szCs w:val="15"/>
                <w:color w:val="auto"/>
              </w:rPr>
            </w:pPr>
          </w:p>
        </w:tc>
        <w:tc>
          <w:tcPr>
            <w:tcW w:w="20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520" w:type="dxa"/>
            <w:vAlign w:val="bottom"/>
            <w:gridSpan w:val="15"/>
          </w:tcPr>
          <w:p>
            <w:pPr>
              <w:spacing w:after="0"/>
              <w:rPr>
                <w:sz w:val="20"/>
                <w:szCs w:val="20"/>
                <w:color w:val="auto"/>
              </w:rPr>
            </w:pPr>
            <w:r>
              <w:rPr>
                <w:rFonts w:ascii="Arial" w:cs="Arial" w:eastAsia="Arial" w:hAnsi="Arial"/>
                <w:sz w:val="18"/>
                <w:szCs w:val="18"/>
                <w:color w:val="0000EE"/>
              </w:rPr>
              <w:t>Consolidated Statements of Financial Position</w:t>
            </w:r>
          </w:p>
        </w:tc>
        <w:tc>
          <w:tcPr>
            <w:tcW w:w="272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5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At December 31, 2023 and 2022</w:t>
            </w:r>
          </w:p>
        </w:tc>
        <w:tc>
          <w:tcPr>
            <w:tcW w:w="120" w:type="dxa"/>
            <w:vAlign w:val="bottom"/>
          </w:tcPr>
          <w:p>
            <w:pPr>
              <w:spacing w:after="0"/>
              <w:rPr>
                <w:sz w:val="15"/>
                <w:szCs w:val="15"/>
                <w:color w:val="auto"/>
              </w:rPr>
            </w:pPr>
          </w:p>
        </w:tc>
        <w:tc>
          <w:tcPr>
            <w:tcW w:w="104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2860" w:type="dxa"/>
            <w:vAlign w:val="bottom"/>
            <w:gridSpan w:val="2"/>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15"/>
          </w:tcPr>
          <w:p>
            <w:pPr>
              <w:spacing w:after="0"/>
              <w:rPr>
                <w:sz w:val="20"/>
                <w:szCs w:val="20"/>
                <w:color w:val="auto"/>
              </w:rPr>
            </w:pPr>
            <w:r>
              <w:rPr>
                <w:rFonts w:ascii="Arial" w:cs="Arial" w:eastAsia="Arial" w:hAnsi="Arial"/>
                <w:sz w:val="18"/>
                <w:szCs w:val="18"/>
                <w:color w:val="0000EE"/>
              </w:rPr>
              <w:t>Consolidated Statements of Cash Flows</w:t>
            </w:r>
          </w:p>
        </w:tc>
        <w:tc>
          <w:tcPr>
            <w:tcW w:w="25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45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6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For the Years Ended December 31, 2023, 2022, and 2021</w:t>
            </w:r>
          </w:p>
        </w:tc>
        <w:tc>
          <w:tcPr>
            <w:tcW w:w="3680" w:type="dxa"/>
            <w:vAlign w:val="bottom"/>
            <w:gridSpan w:val="3"/>
          </w:tcPr>
          <w:p>
            <w:pPr>
              <w:spacing w:after="0"/>
              <w:rPr>
                <w:sz w:val="15"/>
                <w:szCs w:val="15"/>
                <w:color w:val="auto"/>
              </w:rPr>
            </w:pPr>
          </w:p>
        </w:tc>
        <w:tc>
          <w:tcPr>
            <w:tcW w:w="2520" w:type="dxa"/>
            <w:vAlign w:val="bottom"/>
            <w:vMerge w:val="continue"/>
          </w:tcPr>
          <w:p>
            <w:pPr>
              <w:spacing w:after="0"/>
              <w:rPr>
                <w:sz w:val="15"/>
                <w:szCs w:val="15"/>
                <w:color w:val="auto"/>
              </w:rPr>
            </w:pPr>
          </w:p>
        </w:tc>
        <w:tc>
          <w:tcPr>
            <w:tcW w:w="20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520" w:type="dxa"/>
            <w:vAlign w:val="bottom"/>
            <w:gridSpan w:val="15"/>
          </w:tcPr>
          <w:p>
            <w:pPr>
              <w:spacing w:after="0"/>
              <w:rPr>
                <w:sz w:val="20"/>
                <w:szCs w:val="20"/>
                <w:color w:val="auto"/>
              </w:rPr>
            </w:pPr>
            <w:r>
              <w:rPr>
                <w:rFonts w:ascii="Arial" w:cs="Arial" w:eastAsia="Arial" w:hAnsi="Arial"/>
                <w:sz w:val="18"/>
                <w:szCs w:val="18"/>
                <w:color w:val="0000EE"/>
              </w:rPr>
              <w:t>Consolidated Statements of Changes in Common Shareholders’ Equity</w:t>
            </w:r>
          </w:p>
        </w:tc>
        <w:tc>
          <w:tcPr>
            <w:tcW w:w="25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46</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6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For the Years Ended December 31, 2023, 2022, and 2021</w:t>
            </w:r>
          </w:p>
        </w:tc>
        <w:tc>
          <w:tcPr>
            <w:tcW w:w="840" w:type="dxa"/>
            <w:vAlign w:val="bottom"/>
            <w:tcBorders>
              <w:top w:val="single" w:sz="8" w:color="0000EE"/>
            </w:tcBorders>
            <w:gridSpan w:val="2"/>
          </w:tcPr>
          <w:p>
            <w:pPr>
              <w:spacing w:after="0"/>
              <w:rPr>
                <w:sz w:val="15"/>
                <w:szCs w:val="15"/>
                <w:color w:val="auto"/>
              </w:rPr>
            </w:pPr>
          </w:p>
        </w:tc>
        <w:tc>
          <w:tcPr>
            <w:tcW w:w="2860" w:type="dxa"/>
            <w:vAlign w:val="bottom"/>
            <w:gridSpan w:val="2"/>
          </w:tcPr>
          <w:p>
            <w:pPr>
              <w:spacing w:after="0"/>
              <w:rPr>
                <w:sz w:val="15"/>
                <w:szCs w:val="15"/>
                <w:color w:val="auto"/>
              </w:rPr>
            </w:pPr>
          </w:p>
        </w:tc>
        <w:tc>
          <w:tcPr>
            <w:tcW w:w="2520" w:type="dxa"/>
            <w:vAlign w:val="bottom"/>
            <w:vMerge w:val="continue"/>
          </w:tcPr>
          <w:p>
            <w:pPr>
              <w:spacing w:after="0"/>
              <w:rPr>
                <w:sz w:val="15"/>
                <w:szCs w:val="15"/>
                <w:color w:val="auto"/>
              </w:rPr>
            </w:pPr>
          </w:p>
        </w:tc>
        <w:tc>
          <w:tcPr>
            <w:tcW w:w="20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520" w:type="dxa"/>
            <w:vAlign w:val="bottom"/>
            <w:gridSpan w:val="15"/>
          </w:tcPr>
          <w:p>
            <w:pPr>
              <w:spacing w:after="0"/>
              <w:rPr>
                <w:sz w:val="20"/>
                <w:szCs w:val="20"/>
                <w:color w:val="auto"/>
              </w:rPr>
            </w:pPr>
            <w:r>
              <w:rPr>
                <w:rFonts w:ascii="Arial" w:cs="Arial" w:eastAsia="Arial" w:hAnsi="Arial"/>
                <w:sz w:val="18"/>
                <w:szCs w:val="18"/>
                <w:color w:val="0000EE"/>
              </w:rPr>
              <w:t>Notes to the Consolidated Financial Statements</w:t>
            </w:r>
          </w:p>
        </w:tc>
        <w:tc>
          <w:tcPr>
            <w:tcW w:w="2720" w:type="dxa"/>
            <w:vAlign w:val="bottom"/>
            <w:gridSpan w:val="2"/>
          </w:tcPr>
          <w:p>
            <w:pPr>
              <w:jc w:val="right"/>
              <w:spacing w:after="0"/>
              <w:rPr>
                <w:sz w:val="20"/>
                <w:szCs w:val="20"/>
                <w:color w:val="auto"/>
              </w:rPr>
            </w:pPr>
            <w:r>
              <w:rPr>
                <w:rFonts w:ascii="Arial" w:cs="Arial" w:eastAsia="Arial" w:hAnsi="Arial"/>
                <w:sz w:val="18"/>
                <w:szCs w:val="18"/>
                <w:color w:val="0000EE"/>
              </w:rPr>
              <w:t>47</w:t>
            </w:r>
          </w:p>
        </w:tc>
        <w:tc>
          <w:tcPr>
            <w:tcW w:w="0" w:type="dxa"/>
            <w:vAlign w:val="bottom"/>
          </w:tcPr>
          <w:p>
            <w:pPr>
              <w:spacing w:after="0"/>
              <w:rPr>
                <w:sz w:val="1"/>
                <w:szCs w:val="1"/>
                <w:color w:val="auto"/>
              </w:rPr>
            </w:pPr>
          </w:p>
        </w:tc>
      </w:tr>
      <w:tr>
        <w:trPr>
          <w:trHeight w:val="430"/>
        </w:trPr>
        <w:tc>
          <w:tcPr>
            <w:tcW w:w="3800" w:type="dxa"/>
            <w:vAlign w:val="bottom"/>
            <w:tcBorders>
              <w:top w:val="single" w:sz="8" w:color="0000EE"/>
            </w:tcBorders>
            <w:gridSpan w:val="8"/>
          </w:tcPr>
          <w:p>
            <w:pPr>
              <w:spacing w:after="0"/>
              <w:rPr>
                <w:sz w:val="24"/>
                <w:szCs w:val="2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8"/>
                <w:szCs w:val="18"/>
                <w:color w:val="auto"/>
              </w:rPr>
              <w:t>40</w:t>
            </w:r>
          </w:p>
        </w:tc>
        <w:tc>
          <w:tcPr>
            <w:tcW w:w="2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Union Pacific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statements of financial position of Union Pacific Corporation and Subsidiary Companies (the "Corporation") as of December 31, 2023 and 2022, the related consolidated statements of income, comprehensive income, changes in common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Corporation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Corporation's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9,</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Corporation's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ind w:right="4340"/>
        <w:spacing w:after="0" w:line="469" w:lineRule="auto"/>
        <w:rPr>
          <w:sz w:val="20"/>
          <w:szCs w:val="20"/>
          <w:color w:val="auto"/>
        </w:rPr>
      </w:pPr>
      <w:r>
        <w:rPr>
          <w:rFonts w:ascii="Arial" w:cs="Arial" w:eastAsia="Arial" w:hAnsi="Arial"/>
          <w:sz w:val="18"/>
          <w:szCs w:val="18"/>
          <w:b w:val="1"/>
          <w:bCs w:val="1"/>
          <w:i w:val="1"/>
          <w:iCs w:val="1"/>
          <w:color w:val="auto"/>
        </w:rPr>
        <w:t xml:space="preserve">Capitalization of Properties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Refer to Notes 2 and 11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Corporation’s operations are highly capital intensive and their large network of assets turns over on a continuous basis. Each year, the Corporation develops a capital program for both the replacement of assets and for the acquisition or construction of new assets. In determining whether costs should be capitalized, the Corporation exercises significant judgment in determining whether expenditures meet the applicable minimum units of property criteria and extend the useful life, improve the safety of operations, or improve the operating efficiency of existing assets. The Corporation capitalizes all costs of capital projects necessary to make assets ready for their intended use and because a portion of the Corporation’s assets are self-constructed, management also exercises significant judgment in determining the amount of material, labor, work equipment, and indirect costs that qualify for capitalization. Capitalized costs to Properties, net during 2023 were $3.8 billion.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identified the capitalization of property during 2023 as a critical audit matter because of the significant judgment exercised by management in determining whether costs meet the criteria for capitalization. This, in turn, required a high degree of auditor judgment when performing audit procedures to evaluate whether the criteria to capitalize costs were met and to evaluate sufficiency of audit evidence to support management’s conclusions.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procedures related to capitalization of property included the following, among others:</w:t>
      </w:r>
    </w:p>
    <w:p>
      <w:pPr>
        <w:spacing w:after="0" w:line="198" w:lineRule="exact"/>
        <w:rPr>
          <w:sz w:val="20"/>
          <w:szCs w:val="20"/>
          <w:color w:val="auto"/>
        </w:rPr>
      </w:pPr>
    </w:p>
    <w:p>
      <w:pPr>
        <w:ind w:left="1080" w:hanging="316"/>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Corporation’s determination of whether costs related to the Corporation’s capital investments should be capitalized or expensed.</w:t>
      </w:r>
    </w:p>
    <w:p>
      <w:pPr>
        <w:spacing w:after="0" w:line="140" w:lineRule="exact"/>
        <w:rPr>
          <w:rFonts w:ascii="Arial" w:cs="Arial" w:eastAsia="Arial" w:hAnsi="Arial"/>
          <w:sz w:val="18"/>
          <w:szCs w:val="18"/>
          <w:color w:val="auto"/>
        </w:rPr>
      </w:pPr>
    </w:p>
    <w:p>
      <w:pPr>
        <w:ind w:left="1080" w:right="20" w:hanging="316"/>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Corporation’s capitalization policy in accordance with accounting principles generally accepted in the United States of America.</w:t>
      </w:r>
    </w:p>
    <w:p>
      <w:pPr>
        <w:spacing w:after="0" w:line="140"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selection of capital projects, we performed the following:</w:t>
      </w:r>
    </w:p>
    <w:p>
      <w:pPr>
        <w:spacing w:after="0" w:line="198" w:lineRule="exact"/>
        <w:rPr>
          <w:sz w:val="20"/>
          <w:szCs w:val="20"/>
          <w:color w:val="auto"/>
        </w:rPr>
      </w:pPr>
    </w:p>
    <w:p>
      <w:pPr>
        <w:ind w:left="1820" w:right="20" w:hanging="327"/>
        <w:spacing w:after="0" w:line="271" w:lineRule="auto"/>
        <w:tabs>
          <w:tab w:leader="none" w:pos="1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Obtained the Corporation’s evaluation of each project and determined whether the amount of costs to be capitalized met the criteria for capitalization as outlined within the Corporation’s policy by unit of property.</w:t>
      </w:r>
    </w:p>
    <w:p>
      <w:pPr>
        <w:spacing w:after="0" w:line="140" w:lineRule="exact"/>
        <w:rPr>
          <w:rFonts w:ascii="Arial" w:cs="Arial" w:eastAsia="Arial" w:hAnsi="Arial"/>
          <w:sz w:val="18"/>
          <w:szCs w:val="18"/>
          <w:color w:val="auto"/>
        </w:rPr>
      </w:pPr>
    </w:p>
    <w:p>
      <w:pPr>
        <w:jc w:val="both"/>
        <w:ind w:left="1820" w:hanging="327"/>
        <w:spacing w:after="0" w:line="253" w:lineRule="auto"/>
        <w:tabs>
          <w:tab w:leader="none" w:pos="1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Obtained supporting documentation that the project met the applicable minimum units of property criteria and was approved, and evaluated whether the project extended the useful life of an existing asset, improved the safety of operations, or improved the operating efficiency of existing assets.</w:t>
      </w:r>
    </w:p>
    <w:p>
      <w:pPr>
        <w:spacing w:after="0" w:line="155"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 selection of capitalized costs during the year, we performed the following:</w:t>
      </w:r>
    </w:p>
    <w:p>
      <w:pPr>
        <w:spacing w:after="0" w:line="198" w:lineRule="exact"/>
        <w:rPr>
          <w:rFonts w:ascii="Arial" w:cs="Arial" w:eastAsia="Arial" w:hAnsi="Arial"/>
          <w:sz w:val="18"/>
          <w:szCs w:val="18"/>
          <w:color w:val="auto"/>
        </w:rPr>
      </w:pPr>
    </w:p>
    <w:p>
      <w:pPr>
        <w:ind w:left="1820" w:hanging="327"/>
        <w:spacing w:after="0"/>
        <w:tabs>
          <w:tab w:leader="none" w:pos="1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whether the individual cost selected met the criteria for capitalization.</w:t>
      </w:r>
    </w:p>
    <w:p>
      <w:pPr>
        <w:spacing w:after="0" w:line="198" w:lineRule="exact"/>
        <w:rPr>
          <w:rFonts w:ascii="Arial" w:cs="Arial" w:eastAsia="Arial" w:hAnsi="Arial"/>
          <w:sz w:val="18"/>
          <w:szCs w:val="18"/>
          <w:color w:val="auto"/>
        </w:rPr>
      </w:pPr>
    </w:p>
    <w:p>
      <w:pPr>
        <w:ind w:right="120" w:firstLine="1493"/>
        <w:spacing w:after="0" w:line="469" w:lineRule="auto"/>
        <w:tabs>
          <w:tab w:leader="none" w:pos="18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whether the selection was accurately recorded at the appropriate amount based on the evidence obtained. /s/ Deloitte &amp; Touche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9,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1967.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 for the Years Ended December 31,</w:t>
            </w:r>
          </w:p>
        </w:tc>
        <w:tc>
          <w:tcPr>
            <w:tcW w:w="1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2021</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Freight revenues</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22,571</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23,159</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1,548</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1,716</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revenues</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24,119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24,875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21,804</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3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4,818</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4,645</w:t>
            </w:r>
          </w:p>
        </w:tc>
        <w:tc>
          <w:tcPr>
            <w:tcW w:w="3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Fuel</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2,891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3,439</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Purchased services and materials</w:t>
            </w:r>
          </w:p>
        </w:tc>
        <w:tc>
          <w:tcPr>
            <w:tcW w:w="13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2,616</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2,442</w:t>
            </w:r>
          </w:p>
        </w:tc>
        <w:tc>
          <w:tcPr>
            <w:tcW w:w="3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2,318</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2,246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Equipment and other rents</w:t>
            </w:r>
          </w:p>
        </w:tc>
        <w:tc>
          <w:tcPr>
            <w:tcW w:w="13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947</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898</w:t>
            </w:r>
          </w:p>
        </w:tc>
        <w:tc>
          <w:tcPr>
            <w:tcW w:w="3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1,447</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1,288</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15,037</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14,958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9,082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9,917</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Other income, net (Note 6)</w:t>
            </w:r>
          </w:p>
        </w:tc>
        <w:tc>
          <w:tcPr>
            <w:tcW w:w="13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491</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426</w:t>
            </w:r>
          </w:p>
        </w:tc>
        <w:tc>
          <w:tcPr>
            <w:tcW w:w="3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7"/>
                <w:szCs w:val="17"/>
                <w:color w:val="auto"/>
              </w:rPr>
            </w:pPr>
          </w:p>
        </w:tc>
        <w:tc>
          <w:tcPr>
            <w:tcW w:w="8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8,233</w:t>
            </w:r>
          </w:p>
        </w:tc>
        <w:tc>
          <w:tcPr>
            <w:tcW w:w="300" w:type="dxa"/>
            <w:vAlign w:val="bottom"/>
          </w:tcPr>
          <w:p>
            <w:pPr>
              <w:spacing w:after="0"/>
              <w:rPr>
                <w:sz w:val="17"/>
                <w:szCs w:val="17"/>
                <w:color w:val="auto"/>
              </w:rPr>
            </w:pPr>
          </w:p>
        </w:tc>
        <w:tc>
          <w:tcPr>
            <w:tcW w:w="8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9,072</w:t>
            </w:r>
          </w:p>
        </w:tc>
        <w:tc>
          <w:tcPr>
            <w:tcW w:w="300" w:type="dxa"/>
            <w:vAlign w:val="bottom"/>
          </w:tcPr>
          <w:p>
            <w:pPr>
              <w:spacing w:after="0"/>
              <w:rPr>
                <w:sz w:val="17"/>
                <w:szCs w:val="17"/>
                <w:color w:val="auto"/>
              </w:rPr>
            </w:pPr>
          </w:p>
        </w:tc>
        <w:tc>
          <w:tcPr>
            <w:tcW w:w="7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(Note 7)</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(1,854)</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6,379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6,998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and Per Share (Note 8):</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Earnings per share - basic</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10.47</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11.24</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per share - diluted</w:t>
            </w:r>
          </w:p>
        </w:tc>
        <w:tc>
          <w:tcPr>
            <w:tcW w:w="1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10.45</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11.21</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3"/>
        </w:trPr>
        <w:tc>
          <w:tcPr>
            <w:tcW w:w="688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 basic</w:t>
            </w:r>
          </w:p>
        </w:tc>
        <w:tc>
          <w:tcPr>
            <w:tcW w:w="136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609.2</w:t>
            </w:r>
          </w:p>
        </w:tc>
        <w:tc>
          <w:tcPr>
            <w:tcW w:w="3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622.7</w:t>
            </w:r>
          </w:p>
        </w:tc>
        <w:tc>
          <w:tcPr>
            <w:tcW w:w="3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610.2</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624.0</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Years Ended December 31,</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2021</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6,998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benefit plans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62"/>
        </w:trPr>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Foreign currency translation</w:t>
            </w:r>
          </w:p>
        </w:tc>
        <w:tc>
          <w:tcPr>
            <w:tcW w:w="1360" w:type="dxa"/>
            <w:vAlign w:val="bottom"/>
          </w:tcPr>
          <w:p>
            <w:pPr>
              <w:spacing w:after="0"/>
              <w:rPr>
                <w:sz w:val="14"/>
                <w:szCs w:val="14"/>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4"/>
                <w:szCs w:val="14"/>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8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jc w:val="right"/>
              <w:ind w:right="12"/>
              <w:spacing w:after="0" w:line="54" w:lineRule="exact"/>
              <w:rPr>
                <w:sz w:val="20"/>
                <w:szCs w:val="20"/>
                <w:color w:val="auto"/>
              </w:rPr>
            </w:pPr>
            <w:r>
              <w:rPr>
                <w:rFonts w:ascii="Arial" w:cs="Arial" w:eastAsia="Arial" w:hAnsi="Arial"/>
                <w:sz w:val="6"/>
                <w:szCs w:val="6"/>
                <w:color w:val="auto"/>
              </w:rPr>
              <w:t>(44</w:t>
            </w:r>
          </w:p>
        </w:tc>
        <w:tc>
          <w:tcPr>
            <w:tcW w:w="0" w:type="dxa"/>
            <w:vAlign w:val="bottom"/>
          </w:tcPr>
          <w:p>
            <w:pPr>
              <w:spacing w:after="0"/>
              <w:rPr>
                <w:sz w:val="1"/>
                <w:szCs w:val="1"/>
                <w:color w:val="auto"/>
              </w:rPr>
            </w:pPr>
          </w:p>
        </w:tc>
      </w:tr>
      <w:tr>
        <w:trPr>
          <w:trHeight w:val="203"/>
        </w:trPr>
        <w:tc>
          <w:tcPr>
            <w:tcW w:w="68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gain on derivative instruments</w:t>
            </w:r>
          </w:p>
        </w:tc>
        <w:tc>
          <w:tcPr>
            <w:tcW w:w="1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income/(loss) [a]</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6,347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7,330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960" w:firstLine="8"/>
        <w:spacing w:after="0" w:line="442" w:lineRule="auto"/>
        <w:tabs>
          <w:tab w:leader="none" w:pos="324"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$31 million, ($92) million, and ($237) million during 2023, 2022, and 2021, respectively. The accompanying notes are an integral part of these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Share and Per Share Amounts as of December 31,</w:t>
            </w:r>
          </w:p>
        </w:tc>
        <w:tc>
          <w:tcPr>
            <w:tcW w:w="18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1,055</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973</w:t>
            </w: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Short-term investments (Note 13)</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7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 (Note 10)</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2,073</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1,891</w:t>
            </w: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Materials and supplies</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743</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741</w:t>
            </w:r>
          </w:p>
        </w:tc>
      </w:tr>
      <w:tr>
        <w:trPr>
          <w:trHeight w:val="216"/>
        </w:trPr>
        <w:tc>
          <w:tcPr>
            <w:tcW w:w="7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261</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09"/>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1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4,148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3,952</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2,605</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2,375</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Properties, net (Note 11)</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57,398</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56,038</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assets (Note 16)</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1,643</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1,672</w:t>
            </w:r>
          </w:p>
        </w:tc>
      </w:tr>
      <w:tr>
        <w:trPr>
          <w:trHeight w:val="216"/>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1,338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r>
      <w:tr>
        <w:trPr>
          <w:trHeight w:val="209"/>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67,132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65,449</w:t>
            </w: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Common Shareholders' Equity</w:t>
            </w: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and other current liabilities (Note 12)</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3,683</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3,842</w:t>
            </w:r>
          </w:p>
        </w:tc>
      </w:tr>
      <w:tr>
        <w:trPr>
          <w:trHeight w:val="216"/>
        </w:trPr>
        <w:tc>
          <w:tcPr>
            <w:tcW w:w="7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Debt due within one year (Note 14)</w:t>
            </w:r>
          </w:p>
        </w:tc>
        <w:tc>
          <w:tcPr>
            <w:tcW w:w="1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1,423</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r>
      <w:tr>
        <w:trPr>
          <w:trHeight w:val="21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1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5,106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5,520</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due after one year (Note 14)</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31,156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31,648</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Operating lease liabilities (Note 16)</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1,245</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(Note 7)</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13,123</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13,033</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1,714</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1,785</w:t>
            </w:r>
          </w:p>
        </w:tc>
      </w:tr>
      <w:tr>
        <w:trPr>
          <w:trHeight w:val="216"/>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09"/>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1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52,344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53,286</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shareholders' equity:</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Common shares, $2.50 par value, 1,400,000,000 authorized;</w:t>
            </w: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1,112,854,806 and 1,112,623,886 issued; 609,703,814 and 612,393,321</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outstanding, respectively</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2,782</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2,782</w:t>
            </w:r>
          </w:p>
        </w:tc>
      </w:tr>
      <w:tr>
        <w:trPr>
          <w:trHeight w:val="203"/>
        </w:trPr>
        <w:tc>
          <w:tcPr>
            <w:tcW w:w="7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Paid-in-surplus</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5,193</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5,080</w:t>
            </w: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80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62,093</w:t>
            </w:r>
          </w:p>
        </w:tc>
        <w:tc>
          <w:tcPr>
            <w:tcW w:w="28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58,887</w:t>
            </w:r>
          </w:p>
        </w:tc>
      </w:tr>
      <w:tr>
        <w:trPr>
          <w:trHeight w:val="203"/>
        </w:trPr>
        <w:tc>
          <w:tcPr>
            <w:tcW w:w="7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Treasury stock</w:t>
            </w:r>
          </w:p>
        </w:tc>
        <w:tc>
          <w:tcPr>
            <w:tcW w:w="18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(54,666)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(54,004)</w:t>
            </w:r>
          </w:p>
        </w:tc>
      </w:tr>
      <w:tr>
        <w:trPr>
          <w:trHeight w:val="216"/>
        </w:trPr>
        <w:tc>
          <w:tcPr>
            <w:tcW w:w="7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loss (Note 9)</w:t>
            </w:r>
          </w:p>
        </w:tc>
        <w:tc>
          <w:tcPr>
            <w:tcW w:w="1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10"/>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common shareholders' equity</w:t>
            </w:r>
          </w:p>
        </w:tc>
        <w:tc>
          <w:tcPr>
            <w:tcW w:w="1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14,788</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12,163</w:t>
            </w:r>
          </w:p>
        </w:tc>
      </w:tr>
      <w:tr>
        <w:trPr>
          <w:trHeight w:val="21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common shareholders' equity</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67,132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65,449</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Years Ended December 31,</w:t>
            </w:r>
          </w:p>
        </w:tc>
        <w:tc>
          <w:tcPr>
            <w:tcW w:w="1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6,379</w:t>
            </w:r>
          </w:p>
        </w:tc>
        <w:tc>
          <w:tcPr>
            <w:tcW w:w="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6,998</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6,523</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cash provided by operating activities: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2,318</w:t>
            </w:r>
          </w:p>
        </w:tc>
        <w:tc>
          <w:tcPr>
            <w:tcW w:w="34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2,246</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2,208</w:t>
            </w: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and other income taxes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117</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activities, net</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current assets and liabilities: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04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 net</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r>
      <w:tr>
        <w:trPr>
          <w:trHeight w:val="203"/>
        </w:trPr>
        <w:tc>
          <w:tcPr>
            <w:tcW w:w="7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Materials and supplies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203"/>
        </w:trPr>
        <w:tc>
          <w:tcPr>
            <w:tcW w:w="7040" w:type="dxa"/>
            <w:vAlign w:val="bottom"/>
          </w:tcPr>
          <w:p>
            <w:pPr>
              <w:ind w:left="340"/>
              <w:spacing w:after="0" w:line="202" w:lineRule="exact"/>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34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7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(215)</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184</w:t>
            </w:r>
          </w:p>
        </w:tc>
      </w:tr>
      <w:tr>
        <w:trPr>
          <w:trHeight w:val="216"/>
        </w:trPr>
        <w:tc>
          <w:tcPr>
            <w:tcW w:w="7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and other taxes</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09"/>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8,379</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9,362</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9,032</w:t>
            </w: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investments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(3,606)</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(2,936)</w:t>
            </w:r>
          </w:p>
        </w:tc>
      </w:tr>
      <w:tr>
        <w:trPr>
          <w:trHeight w:val="216"/>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investing activities, net</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10"/>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(3,667)</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(3,173)</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(2,800)</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Debt repaid</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(2,190)</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(2,291)</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(1,299)</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issued (Note 14)</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1,599</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6,080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4,201</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Share repurchase programs (Note 18)</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(705)</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(6,282)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(7,291)</w:t>
            </w:r>
          </w:p>
        </w:tc>
      </w:tr>
      <w:tr>
        <w:trPr>
          <w:trHeight w:val="216"/>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1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10"/>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used in financing activities</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87</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r>
      <w:tr>
        <w:trPr>
          <w:trHeight w:val="216"/>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987</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1,818</w:t>
            </w:r>
          </w:p>
        </w:tc>
      </w:tr>
      <w:tr>
        <w:trPr>
          <w:trHeight w:val="210"/>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040" w:type="dxa"/>
            <w:vAlign w:val="bottom"/>
          </w:tcPr>
          <w:p>
            <w:pPr>
              <w:ind w:left="340"/>
              <w:spacing w:after="0" w:line="202" w:lineRule="exact"/>
              <w:rPr>
                <w:sz w:val="20"/>
                <w:szCs w:val="20"/>
                <w:color w:val="auto"/>
              </w:rPr>
            </w:pPr>
            <w:r>
              <w:rPr>
                <w:rFonts w:ascii="Arial" w:cs="Arial" w:eastAsia="Arial" w:hAnsi="Arial"/>
                <w:sz w:val="18"/>
                <w:szCs w:val="18"/>
                <w:color w:val="auto"/>
              </w:rPr>
              <w:t>Capital investments accrued but not yet paid</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137</w:t>
            </w:r>
          </w:p>
        </w:tc>
        <w:tc>
          <w:tcPr>
            <w:tcW w:w="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w:t>
            </w:r>
          </w:p>
        </w:tc>
      </w:tr>
      <w:tr>
        <w:trPr>
          <w:trHeight w:val="203"/>
        </w:trPr>
        <w:tc>
          <w:tcPr>
            <w:tcW w:w="7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Term loan renewals</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040" w:type="dxa"/>
            <w:vAlign w:val="bottom"/>
          </w:tcPr>
          <w:p>
            <w:pPr>
              <w:ind w:left="340"/>
              <w:spacing w:after="0" w:line="202" w:lineRule="exact"/>
              <w:rPr>
                <w:sz w:val="20"/>
                <w:szCs w:val="20"/>
                <w:color w:val="auto"/>
              </w:rPr>
            </w:pPr>
            <w:r>
              <w:rPr>
                <w:rFonts w:ascii="Arial" w:cs="Arial" w:eastAsia="Arial" w:hAnsi="Arial"/>
                <w:sz w:val="18"/>
                <w:szCs w:val="18"/>
                <w:color w:val="auto"/>
              </w:rPr>
              <w:t>Common shares repurchased but not yet paid</w:t>
            </w:r>
          </w:p>
        </w:tc>
        <w:tc>
          <w:tcPr>
            <w:tcW w:w="120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during the year for:</w:t>
            </w: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040" w:type="dxa"/>
            <w:vAlign w:val="bottom"/>
          </w:tcPr>
          <w:p>
            <w:pPr>
              <w:ind w:left="340"/>
              <w:spacing w:after="0" w:line="202" w:lineRule="exact"/>
              <w:rPr>
                <w:sz w:val="20"/>
                <w:szCs w:val="20"/>
                <w:color w:val="auto"/>
              </w:rPr>
            </w:pPr>
            <w:r>
              <w:rPr>
                <w:rFonts w:ascii="Arial" w:cs="Arial" w:eastAsia="Arial" w:hAnsi="Arial"/>
                <w:sz w:val="18"/>
                <w:szCs w:val="18"/>
                <w:color w:val="auto"/>
              </w:rPr>
              <w:t>Income taxes, net of refunds</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(1,486)</w:t>
            </w:r>
          </w:p>
        </w:tc>
        <w:tc>
          <w:tcPr>
            <w:tcW w:w="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(2,060)</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(1,658)</w:t>
            </w:r>
          </w:p>
        </w:tc>
      </w:tr>
      <w:tr>
        <w:trPr>
          <w:trHeight w:val="216"/>
        </w:trPr>
        <w:tc>
          <w:tcPr>
            <w:tcW w:w="7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1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3880"/>
        <w:spacing w:after="0" w:line="271" w:lineRule="auto"/>
        <w:rPr>
          <w:sz w:val="20"/>
          <w:szCs w:val="20"/>
          <w:color w:val="auto"/>
        </w:rPr>
      </w:pPr>
      <w:r>
        <w:rPr>
          <w:rFonts w:ascii="Arial" w:cs="Arial" w:eastAsia="Arial" w:hAnsi="Arial"/>
          <w:sz w:val="18"/>
          <w:szCs w:val="18"/>
          <w:b w:val="1"/>
          <w:bCs w:val="1"/>
          <w:color w:val="auto"/>
        </w:rPr>
        <w:t xml:space="preserve">CONSOLIDATED STATEMENTS OF CHANGES IN COMMON SHAREHOLDERS' EQUITY </w:t>
      </w:r>
      <w:r>
        <w:rPr>
          <w:rFonts w:ascii="Arial" w:cs="Arial" w:eastAsia="Arial" w:hAnsi="Arial"/>
          <w:sz w:val="18"/>
          <w:szCs w:val="18"/>
          <w:i w:val="1"/>
          <w:iCs w:val="1"/>
          <w:color w:val="auto"/>
        </w:rPr>
        <w:t>Union Pacific Corporation and Subsidiary Companies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Common</w:t>
            </w:r>
          </w:p>
        </w:tc>
        <w:tc>
          <w:tcPr>
            <w:tcW w:w="940" w:type="dxa"/>
            <w:vAlign w:val="bottom"/>
            <w:tcBorders>
              <w:top w:val="single" w:sz="8" w:color="auto"/>
              <w:right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Treasury</w:t>
            </w:r>
          </w:p>
        </w:tc>
        <w:tc>
          <w:tcPr>
            <w:tcW w:w="1000" w:type="dxa"/>
            <w:vAlign w:val="bottom"/>
            <w:tcBorders>
              <w:top w:val="single" w:sz="8" w:color="auto"/>
            </w:tcBorders>
            <w:gridSpan w:val="2"/>
          </w:tcPr>
          <w:p>
            <w:pPr>
              <w:jc w:val="right"/>
              <w:ind w:right="10"/>
              <w:spacing w:after="0" w:line="199" w:lineRule="exact"/>
              <w:rPr>
                <w:sz w:val="20"/>
                <w:szCs w:val="20"/>
                <w:color w:val="auto"/>
              </w:rPr>
            </w:pPr>
            <w:r>
              <w:rPr>
                <w:rFonts w:ascii="Arial" w:cs="Arial" w:eastAsia="Arial" w:hAnsi="Arial"/>
                <w:sz w:val="18"/>
                <w:szCs w:val="18"/>
                <w:i w:val="1"/>
                <w:iCs w:val="1"/>
                <w:color w:val="auto"/>
              </w:rPr>
              <w:t>Common</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w w:val="99"/>
              </w:rPr>
              <w:t>Paid-in-</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Retained</w:t>
            </w:r>
          </w:p>
        </w:tc>
        <w:tc>
          <w:tcPr>
            <w:tcW w:w="98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Treasury</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Shares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Shares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Surplus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Earnings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Stock</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AOCI [a]</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1,112.2</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51,326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(40,420)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196"/>
        </w:trPr>
        <w:tc>
          <w:tcPr>
            <w:tcW w:w="3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6,523</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679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18)</w:t>
            </w: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Cash dividends declared ($4.29 per</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(2,800)</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1,112.4</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55,049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(47,734)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196"/>
        </w:trPr>
        <w:tc>
          <w:tcPr>
            <w:tcW w:w="3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6,998</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18)</w:t>
            </w: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Cash dividends declared ($5.08 per</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(3,160)</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1,112.6</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58,887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(54,004)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196"/>
        </w:trPr>
        <w:tc>
          <w:tcPr>
            <w:tcW w:w="34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6,379</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96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0.3</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4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18)</w:t>
            </w: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84"/>
        </w:trPr>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Cash dividends declared ($5.20 per</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(3,173)</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131"/>
        </w:trPr>
        <w:tc>
          <w:tcPr>
            <w:tcW w:w="3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w:t>
            </w:r>
          </w:p>
        </w:tc>
        <w:tc>
          <w:tcPr>
            <w:tcW w:w="96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40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2023</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1,112.9</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(54,666)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14,788</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AOCI = Accumulated Other Comprehensive Income/Loss (Note 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Operations and Segmentation </w:t>
      </w:r>
      <w:r>
        <w:rPr>
          <w:rFonts w:ascii="Arial" w:cs="Arial" w:eastAsia="Arial" w:hAnsi="Arial"/>
          <w:sz w:val="18"/>
          <w:szCs w:val="18"/>
          <w:color w:val="auto"/>
        </w:rPr>
        <w:t>– We are a Class I railroad operating in the U.S. Our network includes 32,693 route miles, connecting</w:t>
      </w:r>
      <w:r>
        <w:rPr>
          <w:rFonts w:ascii="Arial" w:cs="Arial" w:eastAsia="Arial" w:hAnsi="Arial"/>
          <w:sz w:val="18"/>
          <w:szCs w:val="18"/>
          <w:b w:val="1"/>
          <w:bCs w:val="1"/>
          <w:color w:val="auto"/>
        </w:rPr>
        <w:t xml:space="preserve"> </w:t>
      </w:r>
      <w:r>
        <w:rPr>
          <w:rFonts w:ascii="Arial" w:cs="Arial" w:eastAsia="Arial" w:hAnsi="Arial"/>
          <w:sz w:val="18"/>
          <w:szCs w:val="18"/>
          <w:color w:val="auto"/>
        </w:rPr>
        <w:t>Pacific Coast and Gulf Coast ports with the Midwest and Eastern U.S. gateways and providing several corridors to key Mexican and Canadian gateways. We own 26,110 miles and operate on the remainder pursuant to trackage rights or leases. We serve the western two-thirds of the country and maintain coordinated schedules with other rail carriers for the handling of freight to and from the Atlantic Coast, the Pacific Coast, the Southeast, the Southwest, Canada, and Mexico. Export and import traffic is moved through Gulf Coast, Pacific Coast, and East Coast ports and across the Mexican and Canadian borders.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Our operating revenues are primarily derived from contracts with customers for the transportation of freight from origin to destination. The following table represents a disaggregation of our freight and other revenues: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3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Bulk</w:t>
            </w:r>
          </w:p>
        </w:tc>
        <w:tc>
          <w:tcPr>
            <w:tcW w:w="31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7,358</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7,537</w:t>
            </w:r>
          </w:p>
        </w:tc>
        <w:tc>
          <w:tcPr>
            <w:tcW w:w="3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6,656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Industrial</w:t>
            </w:r>
          </w:p>
        </w:tc>
        <w:tc>
          <w:tcPr>
            <w:tcW w:w="31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8,238</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8,205</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7,323</w:t>
            </w:r>
          </w:p>
        </w:tc>
      </w:tr>
      <w:tr>
        <w:trPr>
          <w:trHeight w:val="216"/>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Premium</w:t>
            </w:r>
          </w:p>
        </w:tc>
        <w:tc>
          <w:tcPr>
            <w:tcW w:w="3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6,975</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6,265</w:t>
            </w: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Total freight revenues</w:t>
            </w:r>
          </w:p>
        </w:tc>
        <w:tc>
          <w:tcPr>
            <w:tcW w:w="318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22,571</w:t>
            </w:r>
          </w:p>
        </w:tc>
        <w:tc>
          <w:tcPr>
            <w:tcW w:w="3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23,159</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20,244</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subsidiary revenues</w:t>
            </w:r>
          </w:p>
        </w:tc>
        <w:tc>
          <w:tcPr>
            <w:tcW w:w="3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872</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884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741</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Accessorial revenues</w:t>
            </w:r>
          </w:p>
        </w:tc>
        <w:tc>
          <w:tcPr>
            <w:tcW w:w="31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584</w:t>
            </w:r>
          </w:p>
        </w:tc>
        <w:tc>
          <w:tcPr>
            <w:tcW w:w="3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779</w:t>
            </w:r>
          </w:p>
        </w:tc>
        <w:tc>
          <w:tcPr>
            <w:tcW w:w="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w:t>
            </w:r>
          </w:p>
        </w:tc>
      </w:tr>
      <w:tr>
        <w:trPr>
          <w:trHeight w:val="203"/>
        </w:trPr>
        <w:tc>
          <w:tcPr>
            <w:tcW w:w="5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92</w:t>
            </w: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w:t>
            </w:r>
          </w:p>
        </w:tc>
      </w:tr>
      <w:tr>
        <w:trPr>
          <w:trHeight w:val="209"/>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revenues</w:t>
            </w:r>
          </w:p>
        </w:tc>
        <w:tc>
          <w:tcPr>
            <w:tcW w:w="3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24,119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24,875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21,804</w:t>
            </w: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Each of our commodity groups includes revenues from shipments to and from Mexico. Included in the above table are freight revenues from our Mexico business which amounted to $2.8 billion in 2023, $2.7 billion in 2022, and $2.4 billion in 2021.</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presented in accordance with accounting principles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U.S. (GAAP) as codified in the Financial Accounting Standards Board (FASB) Accounting Standards Codification (ASC). Certain prior period amounts have been reclassified to conform to the current period financial statement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Union Pacific Corporation and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Investments in affiliated companies (20% to 50% owned) are accounted for using the equity method of accounting. All intercompany transactions are eliminated. We currently have no less than majority-owned investments that require consolidation under variable interest entity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 Cash equivalents consist of investments with original maturities of three months or less.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restricted cash represent those required to be set aside by contractual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that sum to the total of the same such amounts shown on the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0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1,055</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973</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960</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Restricted cash equivalents in other current assets</w:t>
            </w:r>
          </w:p>
        </w:tc>
        <w:tc>
          <w:tcPr>
            <w:tcW w:w="208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16"/>
        </w:trPr>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Restricted cash equivalents in other assets</w:t>
            </w:r>
          </w:p>
        </w:tc>
        <w:tc>
          <w:tcPr>
            <w:tcW w:w="2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09"/>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cash equivalents, and restricted cash equivalents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includes receivables reduced by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historical losses, credit worthiness of customers, and current economic conditions. Receivables not expected to be collected in one year and the associated allowances are classified as other assets in our Consolidated Statements of Financial Position.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Investments represent our investments in affiliated companies (20% to 50% owned) that are accounted for under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of accounting, and investments in companies (less than 20% owned) accounted for at fair value when there is a readily determined fair value or at cost minus impairment when there are not readily determinable fair values. Our portion of income/loss on equity method investments that are integral to our operations are recorded in operating expenses. Realized and unrealized gains and losses on investments that are not integral to our operations are recorded in other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Materials and Supplies </w:t>
      </w:r>
      <w:r>
        <w:rPr>
          <w:rFonts w:ascii="Arial" w:cs="Arial" w:eastAsia="Arial" w:hAnsi="Arial"/>
          <w:sz w:val="18"/>
          <w:szCs w:val="18"/>
          <w:color w:val="auto"/>
        </w:rPr>
        <w:t>– Materials and supplies are carried at the lower of average cost or net realizable value.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Properties and equipment are carried at cost and are depreciated on a straight-line basis over their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lives, which are measured in years, except for rail in high-density traffic corridors (i.e., all rail lines except for those lines subject to abandonment, yard tracks, and switching tracks), where lives are measured in millions of gross tons per mile of track. We use the group method of depreciation where all items with similar characteristics, use, and expected lives are grouped together in asset classes and are depreciated using composite depreciation rates. The group method of depreciation treats each asset class as a pool of resources, not as singular items. We determine the estimated service lives of depreciable railroad assets by means of depreciation studies. Under the group method of depreciation, no gain or loss is recognized when depreciable property is retired or replaced in the ordinary course of business.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We review long-lived assets, including identifiable intangibles, for impairment when events or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in circumstances indicate that the carrying amount of an asset may not be recoverable. If impairment indicators are present and the estimated future undiscounted cash flows are less than the carrying value of the long-lived assets, the carrying value is reduced to the estimated fair value.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Freight revenues are derived from contracts with customers. We account for a contract when it has approval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from both parties, the rights of the parties are identified, payment terms are identified, the contract has commercial substance, and collectability of consideration is probable. Our contracts include private agreements, private rate/letter quotes, public circulars/tariffs, and interline/foreign agreements. The performance obligation in our contracts is typically delivering a specific commodity from a place of origin to a place of destination and our commitment begins with the tendering and acceptance of a freight bill of lading and is satisfied upon delivery at destination. We consider each freight shipment to be a distinct performance obligation.</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 freight revenues over time as freight moves from origin to destination. The allocation of revenues between reporting periods is based on the relative transit time in each reporting period with expenses recognized as incurred. Outstanding performance obligations related to freight moves in transit totaled $149 million at December 31, 2023, and $194 million at December 31, 2022, and are expected to be recognized in the following quarter as we satisfy our remaining performance obligations and deliver freight to destination. The transaction price is generally specified in a contract and may be dependent on the commodity, origin/destination, and route.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typical payment terms, our customers pay us after each performance obligation is satisfied and there are no material contract assets or liabilities associated with our freight revenues. Outstanding freight receivables are presented in our Consolidated Statements of Financial Position as accounts receivable, net.</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Freight revenues related to interline transportation services that involve other railroads are reported on a net basis. The portion of the gross amount billed to customers that is remitted by the Company to another party is not reflected as freight revenues.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revenues consist primarily of revenues earned by our other subsidiaries (primarily logistics and commuter rail operations) and accessorial revenues. Other subsidiary revenues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Translation of Foreign Currency </w:t>
      </w:r>
      <w:r>
        <w:rPr>
          <w:rFonts w:ascii="Arial" w:cs="Arial" w:eastAsia="Arial" w:hAnsi="Arial"/>
          <w:sz w:val="18"/>
          <w:szCs w:val="18"/>
          <w:color w:val="auto"/>
        </w:rPr>
        <w:t>– Our portion of the assets and liabilities related to foreign investments are translated into U.S. dollars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rates in effect at the balance sheet date. Revenues and expenses are translated at the average rates of exchange prevailing during the year. Unrealized gains or losses are reflected within common shareholders’ equity as accumulated other comprehensive income or loss.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We use a fair value hierarchy that prioritizes the inputs to valuation techniques used to measure fair value into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broad levels. The level in the fair value hierarchy within which the fair value measurement in its entirety falls is determined based on the lowest level input that is significant to the fair value measurement in its entirety. These levels include: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applied fair value measurements to our short-term investments, certain equity investments, pension plan assets, and short- and long-term debt.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We issue treasury shares to cover stock option exercises, stock unit vestings, and ESPP shares, while new</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issued when retention shares are granted.</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measure and recognize compensation expense for all stock-based awards made to employees, including stock options and ESPP awards. Compensation expense is based on the fair value of the awards as measured at the grant date and is expensed ratably over the service period of the awards (generally the vesting period). The fair value of retention awards is the closing stock price on the date of grant, the fair value of stock options is determined by using the Black-Scholes option pricing model, and the fair value of ESPP awards is based on the Company contribution match.</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earnings per share are calculated on the weighted-average number of common shares outstanding during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Diluted earnings per share include shares issuable upon exercise of outstanding stock options and stock-based awards where the conversion of such instruments would be dilutive.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account for income taxes by recording taxes payable or refundable for the current year and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for the expected future tax consequences of events that are reported in different periods for financial reporting and income tax purposes. The majority of our deferred tax assets relate to expenses that already have been recorded for financial reporting purposes but not deducted for tax purposes. The majority of our deferred tax liabilities relate to differences between the tax bases and financial reporting amounts of our land and depreciable property, due to accelerated tax depreciation (including bonus depreciation), revaluation of assets in purchase accounting transactions, and differences in capitalization methods. These expected future tax consequences are measured based on current tax law; the effects of future tax legislation are not anticipated.</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appropriate, we record a valuation allowance against deferred tax assets to reflect that these tax assets may not be realized. In determining whether a valuation allowance is appropriate, we consider whether it is more likely than not that all or some portion of our deferred tax assets will not be realized, based on management’s judgments using available evidence for purposes of estimating whether future taxable income will be sufficient to realize a deferred tax asset.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tax benefits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our tax returns that do not meet these recognition and measurement standards.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an arrangement is or contains a lease at inception. Operating lease assets and operating lease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based on the present value of the future minimum lease payments over the lease term at commencement date. When an implicit rate is not available, we use a collateralized incremental borrowing rate for operating leases based on the information available at commencement date, including lease term, in determining the present value of future payments. The operating lease asset also includes any lease payments made and excludes lease incentives and initial direct costs incurred. Our lease terms may include options to extend or terminate the lease when it is reasonably certain that the option will be exercised. Operating leases are included in operating lease assets, accounts payable and other current liabilities, and operating lease liabilities on our Consolidated Statements of Financial Position. Finance leases are included in properties, net, debt due within one year, and debt due after one year on our Consolidated Statements of Financial Position. Operating lease expense is recognized on a straight-line basis over the lease term and primarily reported in equipment and other rents and financing lease expense is recorded as depreciation and interest expense in our Consolidated Statements of Income.</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lease agreements with lease and non-lease components, and we have elected to not separate lease and non-lease components for all classes of underlying assets. Leases with an initial term of 12 months or less are not recorded on our Consolidated Statements of Financial Position. Leases with initial terms in excess of 12 months are recorded as operating or financing leases in our Consolidated Statements of Financial Position.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Pension Benefits </w:t>
      </w:r>
      <w:r>
        <w:rPr>
          <w:rFonts w:ascii="Arial" w:cs="Arial" w:eastAsia="Arial" w:hAnsi="Arial"/>
          <w:sz w:val="18"/>
          <w:szCs w:val="18"/>
          <w:color w:val="auto"/>
        </w:rPr>
        <w:t>– In order to measure the expense associated with pension benefits, we must make various assumptions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rates used to value certain liabilities, expected return on plan assets used to fund these expenses, compensation increases, employee turnover rates, and anticipated mortality rates. The assumptions used by us are based on our historical experience as well as current facts and circumstances. We use an actuarial analysis to measure the expense and liability associated with these benefits.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cost of injuries to employees and others on our property is charged to expense based on estimates of the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cost and number of incidents each year. We use an actuarial analysis to measure the expense and liability, including unasserted claims. Our personal injury liability is not discounted to present value due to the uncertainty surrounding the timing of future payments. Legal fees and incidental costs are expensed as incurred.</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 When environmental issues have been identified with respect to property currently or formerly owned, leased,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the conduct of our business, we perform, with the assistance of our consultants, environmental assessments on such property. We expense the cost of the assessments as incurred. We accrue the cost of remediation where our obligation is probable and such costs can be reasonably estimated. We do not discount our environmental liabilities when the timing of the anticipated cash payments is not fixed or readily determinable. Legal fees and incidental costs are expensed as incurred.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our Consolidated Financial Statements in conformity with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certain reported assets and liabilities, the disclosure of certain contingent assets and liabilities as of the date of the Consolidated Financial Statements, as well as the reported amounts of revenues and expenses during the reporting period. Actual future results may differ from such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Pronouncements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business entities to enhance disclosures about significant segment expenses. The ASU is effective for fiscal years beginning after December 15, 2023, on a retrospective basis, and early adoption is permitted. The Company is currently evaluating the effect that the new guidance will have on our related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Options and Other Stock Plans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2000, the shareholders approved the Union Pacific Corporation 2000 Directors Plan (Directors Plan) whereby 2,200,000 shares of our common stock were reserved for issuance to our non-employee directors. Under the Directors Plan, each non-employee director, upon his or her initial election to the Board of Directors, received a grant of 4,000 retention shares or retention stock units. In July 2018, the Board of Directors eliminated the retention grant for directors newly elected in 2018 and all future years. As of December 31, 2023, 16,000 restricted shares were outstanding under the Directors Plan.</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Union Pacific Corporation 2013 Stock Incentive Plan (2013 Plan) was approved by shareholders in May 2013. The 2013 Plan reserved 78,000,000 shares of our common stock for issuance, plus any shares subject to awards made under previous plans as of February 28, 2013, that are subsequently cancelled, expired, forfeited, or otherwise not issued under previous plans. Under the 2013 Plan, non-qualified stock options, incentive stock options, retention shares, stock units, and incentive bonus awards may be granted to eligible employees of the Corporation and its subsidiaries. Non-employee directors are not eligible for awards under the 2013 Plan. As of December 31, 2023, 1,090,770 stock options and 245,107 retention shares and stock units were outstanding under the 2013 Plan. We no longer grant any stock options or other stock or unit awards under this plan.</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Union Pacific Corporation 2021 Stock Incentive Plan (2021 Plan) was approved by shareholders in May 2021. The 2021 Plan reserved 23,000,000 shares of our common stock for issuance, plus any shares subject to awards made under previous plans as of December 31, 2020, that are subsequently cancelled, expired, forfeited, or otherwise not issued under previous plans. Under the 2021 Plan, non-qualified stock options, incentive stock options, retention shares, stock units, and incentive bonus awards may be granted to eligible employees of the Corporation and its subsidiaries. Non-employee directors are not eligible for awards under the 2021 Plan. As of December 31, 2023, 981,484 stock options and 1,059,344 retention shares were outstanding under the 2021 Plan.</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Union Pacific Corporation 2021 Employee Stock Purchase Plan (2021 ESPP) was approved by shareholders in May 2021. The 2021 ESPP reserved 10,000,000 shares of our common stock for issuance. Under the 2021 ESPP, eligible employees of the Corporation and its subsidiaries may elect to purchase shares with a Company match award. Non-employee directors are not eligible for awards under the 2021 ESPP. As of December 31, 2023, 754,708 shares were issued under the 2021 ESPP.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above plans 31,979,909; 33,185,971; and 34,011,624 shares of our common stock were authorized and available for grant at December 31, 2023, 2022, and 2021, respectively.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We have several stock-based compensation plans where employees receive nonvested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nonvested retention shares, and nonvested stock units. We refer to the nonvested shares and stock units collectively as “retention awards”. Employees also are able to participate in our ESPP.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9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before tax:</w:t>
            </w:r>
          </w:p>
        </w:tc>
        <w:tc>
          <w:tcPr>
            <w:tcW w:w="1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Stock options</w:t>
            </w:r>
          </w:p>
        </w:tc>
        <w:tc>
          <w:tcPr>
            <w:tcW w:w="19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w:t>
            </w: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Retention awards</w:t>
            </w:r>
          </w:p>
        </w:tc>
        <w:tc>
          <w:tcPr>
            <w:tcW w:w="19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71</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w:t>
            </w:r>
          </w:p>
        </w:tc>
      </w:tr>
      <w:tr>
        <w:trPr>
          <w:trHeight w:val="203"/>
        </w:trPr>
        <w:tc>
          <w:tcPr>
            <w:tcW w:w="63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ESPP</w:t>
            </w:r>
          </w:p>
        </w:tc>
        <w:tc>
          <w:tcPr>
            <w:tcW w:w="1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20</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196"/>
        </w:trPr>
        <w:tc>
          <w:tcPr>
            <w:tcW w:w="6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stock-based compensation expense, before tax</w:t>
            </w:r>
          </w:p>
        </w:tc>
        <w:tc>
          <w:tcPr>
            <w:tcW w:w="19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107</w:t>
            </w:r>
          </w:p>
        </w:tc>
        <w:tc>
          <w:tcPr>
            <w:tcW w:w="4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99</w:t>
            </w:r>
          </w:p>
        </w:tc>
        <w:tc>
          <w:tcPr>
            <w:tcW w:w="4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88</w:t>
            </w:r>
          </w:p>
        </w:tc>
      </w:tr>
      <w:tr>
        <w:trPr>
          <w:trHeight w:val="209"/>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income tax benefits from equity compensation plans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None of the stock options outstanding at December 31, 2023, are subject to performance or market-based vesting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Weighted-Average Assumptions</w:t>
            </w:r>
          </w:p>
        </w:tc>
        <w:tc>
          <w:tcPr>
            <w:tcW w:w="19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2021</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9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(years)</w:t>
            </w:r>
          </w:p>
        </w:tc>
        <w:tc>
          <w:tcPr>
            <w:tcW w:w="19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4.6</w:t>
            </w:r>
          </w:p>
        </w:tc>
      </w:tr>
      <w:tr>
        <w:trPr>
          <w:trHeight w:val="203"/>
        </w:trPr>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Volatility</w:t>
            </w:r>
          </w:p>
        </w:tc>
        <w:tc>
          <w:tcPr>
            <w:tcW w:w="1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w:t>
            </w:r>
          </w:p>
        </w:tc>
      </w:tr>
      <w:tr>
        <w:trPr>
          <w:trHeight w:val="209"/>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grant-date fair value of options granted</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48.31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39.97</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2023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Weighted-Average</w:t>
            </w: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i w:val="1"/>
                <w:iCs w:val="1"/>
                <w:color w:val="auto"/>
              </w:rPr>
              <w:t>Options</w:t>
            </w:r>
          </w:p>
        </w:tc>
        <w:tc>
          <w:tcPr>
            <w:tcW w:w="240" w:type="dxa"/>
            <w:vAlign w:val="bottom"/>
          </w:tcPr>
          <w:p>
            <w:pPr>
              <w:spacing w:after="0"/>
              <w:rPr>
                <w:sz w:val="17"/>
                <w:szCs w:val="17"/>
                <w:color w:val="auto"/>
              </w:rPr>
            </w:pPr>
          </w:p>
        </w:tc>
        <w:tc>
          <w:tcPr>
            <w:tcW w:w="166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Weighted-Average</w:t>
            </w:r>
          </w:p>
        </w:tc>
        <w:tc>
          <w:tcPr>
            <w:tcW w:w="210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Remaining Contractual</w:t>
            </w:r>
          </w:p>
        </w:tc>
        <w:tc>
          <w:tcPr>
            <w:tcW w:w="24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Aggregate Intrinsic</w:t>
            </w:r>
          </w:p>
        </w:tc>
      </w:tr>
      <w:tr>
        <w:trPr>
          <w:trHeight w:val="233"/>
        </w:trPr>
        <w:tc>
          <w:tcPr>
            <w:tcW w:w="4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(thous.)</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Exercise Price</w:t>
            </w:r>
          </w:p>
        </w:tc>
        <w:tc>
          <w:tcPr>
            <w:tcW w:w="2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Term (yrs.)</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Value (millions)</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2023</w:t>
            </w:r>
          </w:p>
        </w:tc>
        <w:tc>
          <w:tcPr>
            <w:tcW w:w="10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1,974</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169.64</w:t>
            </w:r>
          </w:p>
        </w:tc>
        <w:tc>
          <w:tcPr>
            <w:tcW w:w="21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w:t>
            </w: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351</w:t>
            </w:r>
          </w:p>
        </w:tc>
        <w:tc>
          <w:tcPr>
            <w:tcW w:w="240" w:type="dxa"/>
            <w:vAlign w:val="bottom"/>
          </w:tcPr>
          <w:p>
            <w:pPr>
              <w:spacing w:after="0"/>
              <w:rPr>
                <w:sz w:val="17"/>
                <w:szCs w:val="17"/>
                <w:color w:val="auto"/>
              </w:rPr>
            </w:pPr>
          </w:p>
        </w:tc>
        <w:tc>
          <w:tcPr>
            <w:tcW w:w="1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202.81</w:t>
            </w:r>
          </w:p>
        </w:tc>
        <w:tc>
          <w:tcPr>
            <w:tcW w:w="2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118.29</w:t>
            </w:r>
          </w:p>
        </w:tc>
        <w:tc>
          <w:tcPr>
            <w:tcW w:w="21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1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 or expired</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218.46</w:t>
            </w:r>
          </w:p>
        </w:tc>
        <w:tc>
          <w:tcPr>
            <w:tcW w:w="2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2023</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180.56</w:t>
            </w:r>
          </w:p>
        </w:tc>
        <w:tc>
          <w:tcPr>
            <w:tcW w:w="2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196"/>
        </w:trPr>
        <w:tc>
          <w:tcPr>
            <w:tcW w:w="4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Vested or expected to vest at December 31, 2023</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2,053</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180.23</w:t>
            </w:r>
          </w:p>
        </w:tc>
        <w:tc>
          <w:tcPr>
            <w:tcW w:w="2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134</w:t>
            </w: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2023</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164.48</w:t>
            </w:r>
          </w:p>
        </w:tc>
        <w:tc>
          <w:tcPr>
            <w:tcW w:w="2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2023, there was $16 million of unrecognized compensation expense related to nonvested stock options, which is expected to be recognized over a weighted-average period of 1.0 year. Additional information regarding stock option exercises appears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0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Intrinsic value of stock options exercised</w:t>
            </w:r>
          </w:p>
        </w:tc>
        <w:tc>
          <w:tcPr>
            <w:tcW w:w="20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23</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Cash received from option exercises</w:t>
            </w:r>
          </w:p>
        </w:tc>
        <w:tc>
          <w:tcPr>
            <w:tcW w:w="20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27</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Treasury shares repurchased for employee payroll taxes</w:t>
            </w:r>
          </w:p>
        </w:tc>
        <w:tc>
          <w:tcPr>
            <w:tcW w:w="20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Income tax benefit realized from option exercises</w:t>
            </w:r>
          </w:p>
        </w:tc>
        <w:tc>
          <w:tcPr>
            <w:tcW w:w="20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16"/>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Aggregate grant-date fair value of stock options vested</w:t>
            </w:r>
          </w:p>
        </w:tc>
        <w:tc>
          <w:tcPr>
            <w:tcW w:w="2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dividends and</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are paid to participants during the vesting periods.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2023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2"/>
          </w:tcPr>
          <w:p>
            <w:pPr>
              <w:jc w:val="right"/>
              <w:ind w:right="10"/>
              <w:spacing w:after="0" w:line="199" w:lineRule="exact"/>
              <w:rPr>
                <w:sz w:val="20"/>
                <w:szCs w:val="20"/>
                <w:color w:val="auto"/>
              </w:rPr>
            </w:pPr>
            <w:r>
              <w:rPr>
                <w:rFonts w:ascii="Arial" w:cs="Arial" w:eastAsia="Arial" w:hAnsi="Arial"/>
                <w:sz w:val="18"/>
                <w:szCs w:val="18"/>
                <w:i w:val="1"/>
                <w:iCs w:val="1"/>
                <w:color w:val="auto"/>
              </w:rPr>
              <w:t>Weighted-Average Grant-Date</w:t>
            </w:r>
          </w:p>
        </w:tc>
      </w:tr>
      <w:tr>
        <w:trPr>
          <w:trHeight w:val="233"/>
        </w:trPr>
        <w:tc>
          <w:tcPr>
            <w:tcW w:w="50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Shares (thous.)</w:t>
            </w: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Fair Value</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2023</w:t>
            </w:r>
          </w:p>
        </w:tc>
        <w:tc>
          <w:tcPr>
            <w:tcW w:w="3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1,069</w:t>
            </w:r>
          </w:p>
        </w:tc>
        <w:tc>
          <w:tcPr>
            <w:tcW w:w="940" w:type="dxa"/>
            <w:vAlign w:val="bottom"/>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196.47</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297</w:t>
            </w:r>
          </w:p>
        </w:tc>
        <w:tc>
          <w:tcPr>
            <w:tcW w:w="94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202.88</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165.34</w:t>
            </w:r>
          </w:p>
        </w:tc>
      </w:tr>
      <w:tr>
        <w:trPr>
          <w:trHeight w:val="203"/>
        </w:trPr>
        <w:tc>
          <w:tcPr>
            <w:tcW w:w="50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3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206.43</w:t>
            </w:r>
          </w:p>
        </w:tc>
      </w:tr>
      <w:tr>
        <w:trPr>
          <w:trHeight w:val="209"/>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December 31, 2023</w:t>
            </w:r>
          </w:p>
        </w:tc>
        <w:tc>
          <w:tcPr>
            <w:tcW w:w="3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9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207.76</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2023, there was $82 million of total unrecognized compensation expense related to nonvested retention awards, which is expected to be recognized over a weighted-average period of 1.4 years.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2023, our Board of Directors approved performance stock unit grants. The basic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performance stock units are identical to those granted in February 2022, including the annual return on invested capital (ROIC) and operating income growth (OIG) performance targets. The OIG performance targets compare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February 2023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2023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2"/>
          </w:tcPr>
          <w:p>
            <w:pPr>
              <w:jc w:val="right"/>
              <w:ind w:right="10"/>
              <w:spacing w:after="0" w:line="199" w:lineRule="exact"/>
              <w:rPr>
                <w:sz w:val="20"/>
                <w:szCs w:val="20"/>
                <w:color w:val="auto"/>
              </w:rPr>
            </w:pPr>
            <w:r>
              <w:rPr>
                <w:rFonts w:ascii="Arial" w:cs="Arial" w:eastAsia="Arial" w:hAnsi="Arial"/>
                <w:sz w:val="18"/>
                <w:szCs w:val="18"/>
                <w:i w:val="1"/>
                <w:iCs w:val="1"/>
                <w:color w:val="auto"/>
              </w:rPr>
              <w:t>Weighted-Average Grant-Date</w:t>
            </w:r>
          </w:p>
        </w:tc>
      </w:tr>
      <w:tr>
        <w:trPr>
          <w:trHeight w:val="233"/>
        </w:trPr>
        <w:tc>
          <w:tcPr>
            <w:tcW w:w="50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Shares (thous.)</w:t>
            </w: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Fair Value</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2023</w:t>
            </w:r>
          </w:p>
        </w:tc>
        <w:tc>
          <w:tcPr>
            <w:tcW w:w="3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594</w:t>
            </w:r>
          </w:p>
        </w:tc>
        <w:tc>
          <w:tcPr>
            <w:tcW w:w="940" w:type="dxa"/>
            <w:vAlign w:val="bottom"/>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199.82</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w:t>
            </w:r>
          </w:p>
        </w:tc>
        <w:tc>
          <w:tcPr>
            <w:tcW w:w="94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202.81</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189.29</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Unearned</w:t>
            </w:r>
          </w:p>
        </w:tc>
        <w:tc>
          <w:tcPr>
            <w:tcW w:w="364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94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186.11</w:t>
            </w:r>
          </w:p>
        </w:tc>
      </w:tr>
      <w:tr>
        <w:trPr>
          <w:trHeight w:val="203"/>
        </w:trPr>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3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218.31</w:t>
            </w:r>
          </w:p>
        </w:tc>
      </w:tr>
      <w:tr>
        <w:trPr>
          <w:trHeight w:val="209"/>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Nonvested at December 31, 2023</w:t>
            </w:r>
          </w:p>
        </w:tc>
        <w:tc>
          <w:tcPr>
            <w:tcW w:w="3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617</w:t>
            </w:r>
          </w:p>
        </w:tc>
        <w:tc>
          <w:tcPr>
            <w:tcW w:w="9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204.50</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2023, there was $13 million of total unrecognized compensation expense related to nonvested performance stock unit awards, which is expected to be recognized over a weighted-average period of 0.8 years. This expense is subject to achievement of the performance measures established for the performance stock unit grants.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Our ESPP started in July 2021. Employee and Company contributions are used to issue treasury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month after employee contributions are withheld based on the settlement date closing price. The Company matches 40% contributed by the employee up to a maximum employee contribution of 5% of monthly salary (limited to $15,000 annually). We expense the Company contributions in the month the employee services were rendered (i.e., the month the employee contributions were withheld).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right="9560" w:firstLine="8"/>
        <w:spacing w:after="0" w:line="469" w:lineRule="auto"/>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Pension Benefits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benefit as described below in other retirement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Funded Status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required by GAAP to separately recognize the overfunded or underfunded status of our pension plans as an asset or liability. The funded status represents the difference between the projected benefit obligation (PBO) and the fair value of the plan assets. Our non-qualified (supplemental) pension plan is unfunded by design. The PBO of the pension plans is the present value of benefits earned to date by plan participants, including the effect of assumed future compensation increases. Plan assets are measured at fair value. We use a December 31 measurement date for plan assets and obligations for all our retirement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PBO and plan assets were as follows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i w:val="1"/>
                <w:iCs w:val="1"/>
                <w:color w:val="auto"/>
              </w:rPr>
              <w:t>Funded Status</w:t>
            </w:r>
          </w:p>
        </w:tc>
        <w:tc>
          <w:tcPr>
            <w:tcW w:w="29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9"/>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Projected Benefit Obligation</w:t>
            </w:r>
          </w:p>
        </w:tc>
        <w:tc>
          <w:tcPr>
            <w:tcW w:w="2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Projected benefit obligation at beginning of year</w:t>
            </w:r>
          </w:p>
        </w:tc>
        <w:tc>
          <w:tcPr>
            <w:tcW w:w="29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3,725</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5,296</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9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93</w:t>
            </w:r>
          </w:p>
        </w:tc>
      </w:tr>
      <w:tr>
        <w:trPr>
          <w:trHeight w:val="202"/>
        </w:trPr>
        <w:tc>
          <w:tcPr>
            <w:tcW w:w="64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9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loss/(gain)</w:t>
            </w:r>
          </w:p>
        </w:tc>
        <w:tc>
          <w:tcPr>
            <w:tcW w:w="29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146</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benefits paid</w:t>
            </w:r>
          </w:p>
        </w:tc>
        <w:tc>
          <w:tcPr>
            <w:tcW w:w="29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Projected benefit obligation at end of year</w:t>
            </w:r>
          </w:p>
        </w:tc>
        <w:tc>
          <w:tcPr>
            <w:tcW w:w="29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3,880</w:t>
            </w:r>
          </w:p>
        </w:tc>
        <w:tc>
          <w:tcPr>
            <w:tcW w:w="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3,725</w:t>
            </w: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b w:val="1"/>
                <w:bCs w:val="1"/>
                <w:color w:val="auto"/>
              </w:rPr>
              <w:t>Plan Assets</w:t>
            </w:r>
          </w:p>
        </w:tc>
        <w:tc>
          <w:tcPr>
            <w:tcW w:w="2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29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4,363</w:t>
            </w:r>
          </w:p>
        </w:tc>
        <w:tc>
          <w:tcPr>
            <w:tcW w:w="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5,554</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Actual return/(loss) on plan assets</w:t>
            </w:r>
          </w:p>
        </w:tc>
        <w:tc>
          <w:tcPr>
            <w:tcW w:w="29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235</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plan benefit contributions</w:t>
            </w:r>
          </w:p>
        </w:tc>
        <w:tc>
          <w:tcPr>
            <w:tcW w:w="29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2"/>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benefits paid</w:t>
            </w:r>
          </w:p>
        </w:tc>
        <w:tc>
          <w:tcPr>
            <w:tcW w:w="29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at end of year</w:t>
            </w:r>
          </w:p>
        </w:tc>
        <w:tc>
          <w:tcPr>
            <w:tcW w:w="29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4,400</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4,363</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Funded status at end of year</w:t>
            </w:r>
          </w:p>
        </w:tc>
        <w:tc>
          <w:tcPr>
            <w:tcW w:w="29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520</w:t>
            </w:r>
          </w:p>
        </w:tc>
        <w:tc>
          <w:tcPr>
            <w:tcW w:w="3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638</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Actuarial losses that increase the PBO were driven by a decrease in 2023 discount rates from 5.21% to 5.00%. Actuarial gains that decreased the PBO were driven by an increase in 2022 discount rates from 2.80% to 5.21%.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r>
              <w:rPr>
                <w:rFonts w:ascii="Arial" w:cs="Arial" w:eastAsia="Arial" w:hAnsi="Arial"/>
                <w:sz w:val="18"/>
                <w:szCs w:val="18"/>
                <w:color w:val="auto"/>
              </w:rPr>
              <w:t>Amounts recognized in the statement of financial position as of</w:t>
            </w:r>
          </w:p>
        </w:tc>
        <w:tc>
          <w:tcPr>
            <w:tcW w:w="4380" w:type="dxa"/>
            <w:vAlign w:val="bottom"/>
          </w:tcPr>
          <w:p>
            <w:pPr>
              <w:jc w:val="right"/>
              <w:ind w:right="950"/>
              <w:spacing w:after="0"/>
              <w:rPr>
                <w:sz w:val="20"/>
                <w:szCs w:val="20"/>
                <w:color w:val="auto"/>
              </w:rPr>
            </w:pPr>
            <w:r>
              <w:rPr>
                <w:rFonts w:ascii="Arial" w:cs="Arial" w:eastAsia="Arial" w:hAnsi="Arial"/>
                <w:sz w:val="18"/>
                <w:szCs w:val="18"/>
                <w:color w:val="auto"/>
              </w:rPr>
              <w:t>December 31, 2023 and 2022, consist of:</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5"/>
        </w:trPr>
        <w:tc>
          <w:tcPr>
            <w:tcW w:w="50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w:t>
            </w:r>
          </w:p>
        </w:tc>
        <w:tc>
          <w:tcPr>
            <w:tcW w:w="4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2022</w:t>
            </w: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4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924</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1,033</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5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4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(373)</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r>
      <w:tr>
        <w:trPr>
          <w:trHeight w:val="196"/>
        </w:trPr>
        <w:tc>
          <w:tcPr>
            <w:tcW w:w="5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amounts recognized at end of year</w:t>
            </w:r>
          </w:p>
        </w:tc>
        <w:tc>
          <w:tcPr>
            <w:tcW w:w="43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520</w:t>
            </w: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638</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Pre-tax amounts recognized in accumulated other comprehensive income/loss consist of $643 million and $493 million net actuarial loss as of December 31, 2023 and 2022,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Pre-tax changes recognized in other comprehensive income/loss as of December 31, 2023, 2022, and 2021,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4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actuarial (loss)/gain</w:t>
            </w:r>
          </w:p>
        </w:tc>
        <w:tc>
          <w:tcPr>
            <w:tcW w:w="45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(159)</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813</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Amortization of:</w:t>
            </w:r>
          </w:p>
        </w:tc>
        <w:tc>
          <w:tcPr>
            <w:tcW w:w="4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7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45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w:t>
            </w:r>
          </w:p>
        </w:tc>
      </w:tr>
      <w:tr>
        <w:trPr>
          <w:trHeight w:val="196"/>
        </w:trPr>
        <w:tc>
          <w:tcPr>
            <w:tcW w:w="3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(150)</w:t>
            </w: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358</w:t>
            </w:r>
          </w:p>
        </w:tc>
        <w:tc>
          <w:tcPr>
            <w:tcW w:w="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954</w:t>
            </w:r>
          </w:p>
        </w:tc>
      </w:tr>
      <w:tr>
        <w:trPr>
          <w:trHeight w:val="416"/>
        </w:trPr>
        <w:tc>
          <w:tcPr>
            <w:tcW w:w="3720" w:type="dxa"/>
            <w:vAlign w:val="bottom"/>
          </w:tcPr>
          <w:p>
            <w:pPr>
              <w:spacing w:after="0"/>
              <w:rPr>
                <w:sz w:val="24"/>
                <w:szCs w:val="24"/>
                <w:color w:val="auto"/>
              </w:rPr>
            </w:pPr>
          </w:p>
        </w:tc>
        <w:tc>
          <w:tcPr>
            <w:tcW w:w="4580" w:type="dxa"/>
            <w:vAlign w:val="bottom"/>
          </w:tcPr>
          <w:p>
            <w:pPr>
              <w:jc w:val="right"/>
              <w:ind w:right="2490"/>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8"/>
        </w:trPr>
        <w:tc>
          <w:tcPr>
            <w:tcW w:w="37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Underfunded Accumulated Benefit Obligation </w:t>
      </w:r>
      <w:r>
        <w:rPr>
          <w:rFonts w:ascii="Arial" w:cs="Arial" w:eastAsia="Arial" w:hAnsi="Arial"/>
          <w:sz w:val="18"/>
          <w:szCs w:val="18"/>
          <w:color w:val="auto"/>
        </w:rPr>
        <w:t>– The accumulated benefit obligation (ABO) is the present value of benefits earned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no future compensation growth. The underfunded accumulated benefit obligation represents the difference between the ABO and the fair value of plan assets.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discloses only the PBO, ABO, and fair value of plan assets for pension plans where the accumulated benefit obligation is in excess of the fair value of the plan assets as of December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Underfunded Accumulated Benefit Obligation</w:t>
            </w:r>
          </w:p>
        </w:tc>
        <w:tc>
          <w:tcPr>
            <w:tcW w:w="29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9"/>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9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209"/>
        </w:trPr>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color w:val="auto"/>
              </w:rPr>
              <w:t>Accumulated benefit obligation</w:t>
            </w:r>
          </w:p>
        </w:tc>
        <w:tc>
          <w:tcPr>
            <w:tcW w:w="29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399</w:t>
            </w:r>
          </w:p>
        </w:tc>
        <w:tc>
          <w:tcPr>
            <w:tcW w:w="3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382</w:t>
            </w:r>
          </w:p>
        </w:tc>
      </w:tr>
      <w:tr>
        <w:trPr>
          <w:trHeight w:val="203"/>
        </w:trPr>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29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Underfunded accumulated benefit obligation</w:t>
            </w:r>
          </w:p>
        </w:tc>
        <w:tc>
          <w:tcPr>
            <w:tcW w:w="2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ABO for all defined benefit pension plans was $3.6 billion and $3.5 billion at December 31, 2023 and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 The weighted-average actuarial assumptions used to determine benefit obligations at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Percentages</w:t>
            </w:r>
          </w:p>
        </w:tc>
        <w:tc>
          <w:tcPr>
            <w:tcW w:w="46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2023</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2022</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46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rPr>
              <w:t>5.00%</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w:t>
            </w:r>
          </w:p>
        </w:tc>
      </w:tr>
      <w:tr>
        <w:trPr>
          <w:trHeight w:val="203"/>
        </w:trPr>
        <w:tc>
          <w:tcPr>
            <w:tcW w:w="5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Compensation increase</w:t>
            </w:r>
          </w:p>
        </w:tc>
        <w:tc>
          <w:tcPr>
            <w:tcW w:w="46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4.00%</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9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Pension Cost:</w:t>
            </w:r>
          </w:p>
        </w:tc>
        <w:tc>
          <w:tcPr>
            <w:tcW w:w="2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Service cost</w:t>
            </w:r>
          </w:p>
        </w:tc>
        <w:tc>
          <w:tcPr>
            <w:tcW w:w="29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52</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93</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9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187</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Expected return on plan assets</w:t>
            </w:r>
          </w:p>
        </w:tc>
        <w:tc>
          <w:tcPr>
            <w:tcW w:w="29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w:t>
            </w:r>
          </w:p>
        </w:tc>
        <w:tc>
          <w:tcPr>
            <w:tcW w:w="2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29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86</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141</w:t>
            </w:r>
          </w:p>
        </w:tc>
      </w:tr>
      <w:tr>
        <w:trPr>
          <w:trHeight w:val="196"/>
        </w:trPr>
        <w:tc>
          <w:tcPr>
            <w:tcW w:w="5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pension cost</w:t>
            </w:r>
          </w:p>
        </w:tc>
        <w:tc>
          <w:tcPr>
            <w:tcW w:w="29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 The weighted-average actuarial assumptions used to determine expense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Percentages</w:t>
            </w:r>
          </w:p>
        </w:tc>
        <w:tc>
          <w:tcPr>
            <w:tcW w:w="3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2023</w:t>
            </w: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2022</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2021</w:t>
            </w: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 for benefit obligations</w:t>
            </w:r>
          </w:p>
        </w:tc>
        <w:tc>
          <w:tcPr>
            <w:tcW w:w="31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rPr>
              <w:t>5.21%</w:t>
            </w:r>
          </w:p>
        </w:tc>
        <w:tc>
          <w:tcPr>
            <w:tcW w:w="11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2.80%</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Discount rate for interest on benefit obligations</w:t>
            </w:r>
          </w:p>
        </w:tc>
        <w:tc>
          <w:tcPr>
            <w:tcW w:w="31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5.14%</w:t>
            </w:r>
          </w:p>
        </w:tc>
        <w:tc>
          <w:tcPr>
            <w:tcW w:w="11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for service cost</w:t>
            </w:r>
          </w:p>
        </w:tc>
        <w:tc>
          <w:tcPr>
            <w:tcW w:w="31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5.19%</w:t>
            </w:r>
          </w:p>
        </w:tc>
        <w:tc>
          <w:tcPr>
            <w:tcW w:w="11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2.91%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Discount rate for interest on service cost</w:t>
            </w:r>
          </w:p>
        </w:tc>
        <w:tc>
          <w:tcPr>
            <w:tcW w:w="318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5.21%</w:t>
            </w:r>
          </w:p>
        </w:tc>
        <w:tc>
          <w:tcPr>
            <w:tcW w:w="11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2.86%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1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5.25%</w:t>
            </w:r>
          </w:p>
        </w:tc>
        <w:tc>
          <w:tcPr>
            <w:tcW w:w="11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6.25%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w:t>
            </w:r>
          </w:p>
        </w:tc>
      </w:tr>
      <w:tr>
        <w:trPr>
          <w:trHeight w:val="203"/>
        </w:trPr>
        <w:tc>
          <w:tcPr>
            <w:tcW w:w="60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Compensation increase</w:t>
            </w:r>
          </w:p>
        </w:tc>
        <w:tc>
          <w:tcPr>
            <w:tcW w:w="31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4.10%</w:t>
            </w:r>
          </w:p>
        </w:tc>
        <w:tc>
          <w:tcPr>
            <w:tcW w:w="11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4.10%</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r>
    </w:tbl>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measure the service cost and interest cost components of our net periodic pension benefit/cost by using individual spot discount rates matched with separate cash flows for each future year. The discount rates were based on a yield curve of high-quality corporate bonds. The expected return on plan assets is based on our asset allocation mix and our historical return, taking into account current and expected market conditions. The actual return/(loss) on pension plan assets, net of fees, was approximately 6% in 2023, (18%) in 2022, and 15% in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cash contributions, if any, for the qualified and non-qualified (supplemental) pension plans: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Qualified</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Non-qualified</w:t>
            </w: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w:t>
            </w:r>
          </w:p>
        </w:tc>
      </w:tr>
      <w:tr>
        <w:trPr>
          <w:trHeight w:val="203"/>
        </w:trPr>
        <w:tc>
          <w:tcPr>
            <w:tcW w:w="4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2022</w:t>
            </w:r>
          </w:p>
        </w:tc>
        <w:tc>
          <w:tcPr>
            <w:tcW w:w="41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w:t>
            </w: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policy with respect to funding the qualified pension plans is to fund at least the minimum required by law and not more than the maximum amount deductible for tax purposes.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non-qualified pension plans are not funded and are not subject to any minimum regulatory funding requirements. Benefit payments for each year represent supplemental pension payments. We anticipate our 2024 supplemental pension payments will be made from cash generated from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expected benefit payments for the years 2024 through 2033: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466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230</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6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6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6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46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5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Years 2029 - 2033</w:t>
            </w:r>
          </w:p>
        </w:tc>
        <w:tc>
          <w:tcPr>
            <w:tcW w:w="46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1,188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Allocation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at December 31, 2023 and 2022, and target allocation for 2024,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i w:val="1"/>
                <w:iCs w:val="1"/>
                <w:color w:val="auto"/>
              </w:rPr>
              <w:t>Percentage of Plan Assets</w:t>
            </w:r>
          </w:p>
        </w:tc>
      </w:tr>
      <w:tr>
        <w:trPr>
          <w:trHeight w:val="219"/>
        </w:trPr>
        <w:tc>
          <w:tcPr>
            <w:tcW w:w="4040" w:type="dxa"/>
            <w:vAlign w:val="bottom"/>
          </w:tcPr>
          <w:p>
            <w:pPr>
              <w:spacing w:after="0"/>
              <w:rPr>
                <w:sz w:val="19"/>
                <w:szCs w:val="19"/>
                <w:color w:val="auto"/>
              </w:rPr>
            </w:pPr>
          </w:p>
        </w:tc>
        <w:tc>
          <w:tcPr>
            <w:tcW w:w="4320" w:type="dxa"/>
            <w:vAlign w:val="bottom"/>
          </w:tcPr>
          <w:p>
            <w:pPr>
              <w:jc w:val="center"/>
              <w:ind w:left="2230"/>
              <w:spacing w:after="0"/>
              <w:rPr>
                <w:sz w:val="20"/>
                <w:szCs w:val="20"/>
                <w:color w:val="auto"/>
              </w:rPr>
            </w:pPr>
            <w:r>
              <w:rPr>
                <w:rFonts w:ascii="Arial" w:cs="Arial" w:eastAsia="Arial" w:hAnsi="Arial"/>
                <w:sz w:val="18"/>
                <w:szCs w:val="18"/>
                <w:i w:val="1"/>
                <w:iCs w:val="1"/>
                <w:color w:val="auto"/>
                <w:w w:val="99"/>
              </w:rPr>
              <w:t>Target</w:t>
            </w:r>
          </w:p>
        </w:tc>
        <w:tc>
          <w:tcPr>
            <w:tcW w:w="1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December 31,</w:t>
            </w:r>
          </w:p>
        </w:tc>
      </w:tr>
      <w:tr>
        <w:trPr>
          <w:trHeight w:val="210"/>
        </w:trPr>
        <w:tc>
          <w:tcPr>
            <w:tcW w:w="404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center"/>
              <w:ind w:left="2230"/>
              <w:spacing w:after="0"/>
              <w:rPr>
                <w:sz w:val="20"/>
                <w:szCs w:val="20"/>
                <w:color w:val="auto"/>
              </w:rPr>
            </w:pPr>
            <w:r>
              <w:rPr>
                <w:rFonts w:ascii="Arial" w:cs="Arial" w:eastAsia="Arial" w:hAnsi="Arial"/>
                <w:sz w:val="18"/>
                <w:szCs w:val="18"/>
                <w:i w:val="1"/>
                <w:iCs w:val="1"/>
                <w:color w:val="auto"/>
              </w:rPr>
              <w:t>Allocation 2024</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2023</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2022</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securities</w:t>
            </w:r>
          </w:p>
        </w:tc>
        <w:tc>
          <w:tcPr>
            <w:tcW w:w="4320" w:type="dxa"/>
            <w:vAlign w:val="bottom"/>
            <w:shd w:val="clear" w:color="auto" w:fill="CCEEFF"/>
          </w:tcPr>
          <w:p>
            <w:pPr>
              <w:jc w:val="center"/>
              <w:ind w:left="2230"/>
              <w:spacing w:after="0" w:line="196" w:lineRule="exact"/>
              <w:rPr>
                <w:sz w:val="20"/>
                <w:szCs w:val="20"/>
                <w:color w:val="auto"/>
              </w:rPr>
            </w:pPr>
            <w:r>
              <w:rPr>
                <w:rFonts w:ascii="Arial" w:cs="Arial" w:eastAsia="Arial" w:hAnsi="Arial"/>
                <w:sz w:val="18"/>
                <w:szCs w:val="18"/>
                <w:color w:val="auto"/>
                <w:w w:val="98"/>
              </w:rPr>
              <w:t>20% to 30%</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24%</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4320" w:type="dxa"/>
            <w:vAlign w:val="bottom"/>
          </w:tcPr>
          <w:p>
            <w:pPr>
              <w:jc w:val="center"/>
              <w:ind w:left="2230"/>
              <w:spacing w:after="0" w:line="202" w:lineRule="exact"/>
              <w:rPr>
                <w:sz w:val="20"/>
                <w:szCs w:val="20"/>
                <w:color w:val="auto"/>
              </w:rPr>
            </w:pPr>
            <w:r>
              <w:rPr>
                <w:rFonts w:ascii="Arial" w:cs="Arial" w:eastAsia="Arial" w:hAnsi="Arial"/>
                <w:sz w:val="18"/>
                <w:szCs w:val="18"/>
                <w:color w:val="auto"/>
                <w:w w:val="98"/>
              </w:rPr>
              <w:t>70% to 80%</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75</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51</w:t>
            </w:r>
          </w:p>
        </w:tc>
      </w:tr>
      <w:tr>
        <w:trPr>
          <w:trHeight w:val="203"/>
        </w:trPr>
        <w:tc>
          <w:tcPr>
            <w:tcW w:w="4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4320" w:type="dxa"/>
            <w:vAlign w:val="bottom"/>
            <w:tcBorders>
              <w:bottom w:val="single" w:sz="8" w:color="auto"/>
            </w:tcBorders>
            <w:shd w:val="clear" w:color="auto" w:fill="CCEEFF"/>
          </w:tcPr>
          <w:p>
            <w:pPr>
              <w:jc w:val="center"/>
              <w:ind w:left="2230"/>
              <w:spacing w:after="0" w:line="202" w:lineRule="exact"/>
              <w:rPr>
                <w:sz w:val="20"/>
                <w:szCs w:val="20"/>
                <w:color w:val="auto"/>
              </w:rPr>
            </w:pPr>
            <w:r>
              <w:rPr>
                <w:rFonts w:ascii="Arial" w:cs="Arial" w:eastAsia="Arial" w:hAnsi="Arial"/>
                <w:sz w:val="18"/>
                <w:szCs w:val="18"/>
                <w:color w:val="auto"/>
                <w:w w:val="98"/>
              </w:rPr>
              <w:t>0% to 2%</w:t>
            </w:r>
          </w:p>
        </w:tc>
        <w:tc>
          <w:tcPr>
            <w:tcW w:w="14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b w:val="1"/>
                <w:bCs w:val="1"/>
                <w:color w:val="auto"/>
              </w:rPr>
              <w:t>1</w:t>
            </w:r>
          </w:p>
        </w:tc>
        <w:tc>
          <w:tcPr>
            <w:tcW w:w="14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w:t>
            </w:r>
          </w:p>
        </w:tc>
      </w:tr>
      <w:tr>
        <w:trPr>
          <w:trHeight w:val="21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pension plan investments are held in a master trust. The investment strategy for pension plan assets is to maintain a broadly diversified portfolio designed to achieve our target average long-term rate of return of 5.25%. While we believe we can achieve a long-term average rate of return of 5.25%, we cannot be certain that the portfolio will perform to our expectations. Assets are strategically allocated among equity, debt, and other investments in order to achieve a diversification level that reduces fluctuations in investment returns. Asset allocation target ranges for equity, debt, and other portfolios are evaluated at least every three years with the assistance of an independent consulting firm. Actual asset allocations are monitored monthly, and rebalancing actions are executed at least quarterly, as needed.</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Since 2020, the asset allocation targets for equity and debt have been adjusted annually to move from equity to debt as a de-risking measure. We met our target endpoint of 25% equity and 75% debt in 2023. The average credit rating of the debt portfolio was AA- and A+ at December 31, 2023 and 2022, respectively. The debt portfolio is also broadly diversified and invested primarily in U.S. Treasury, mortgage, and corporate securities. The weighted-average maturity of the debt portfolio was 22 years and 21 years at December 31, 2023 and 2022, respectively.</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investment of pension plan assets in securities issued by UPC is explicitly prohibited by the plan for both the equity and debt portfolios, other than through index fund holdings.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pension plan assets are valued at fair value. The following is a description of the valuation methodologies used for the investments measured at fair value, including the general classification of such instruments pursuant to the valuation hierarchy.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Temporary Cash Investments </w:t>
      </w:r>
      <w:r>
        <w:rPr>
          <w:rFonts w:ascii="Arial" w:cs="Arial" w:eastAsia="Arial" w:hAnsi="Arial"/>
          <w:sz w:val="18"/>
          <w:szCs w:val="18"/>
          <w:color w:val="auto"/>
        </w:rPr>
        <w:t>– These investments consist of U.S. dollars and foreign currencies. Foreign currencies held are reported in</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U.S. dollars based on currency exchange rates readily available in active markets. U.S. dollars and foreign currencies are classified as Level 1 investments.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Registered Investment Companies </w:t>
      </w:r>
      <w:r>
        <w:rPr>
          <w:rFonts w:ascii="Arial" w:cs="Arial" w:eastAsia="Arial" w:hAnsi="Arial"/>
          <w:sz w:val="18"/>
          <w:szCs w:val="18"/>
          <w:color w:val="auto"/>
        </w:rPr>
        <w:t>– Registered Investment Companies are entities primarily engaged in the business of investing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are registered with the SEC. The plan’s prior holdings of Registered Investment Companies included both public and private fund vehicles. The public vehicles are exchange-traded funds (stocks), which are classified as Level 1 investments. The private vehicles (bonds) do not have published pricing and are valued using Net Asset Value (NAV).</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Federal Government Securities </w:t>
      </w:r>
      <w:r>
        <w:rPr>
          <w:rFonts w:ascii="Arial" w:cs="Arial" w:eastAsia="Arial" w:hAnsi="Arial"/>
          <w:sz w:val="18"/>
          <w:szCs w:val="18"/>
          <w:color w:val="auto"/>
        </w:rPr>
        <w:t>– Federal Government Securities consist of bills, notes, bonds, and other fixed income securities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by the U.S. Treasury or by government-sponsored enterprises. These assets are valued using a bid evaluation process with bid data provided by independent pricing sources. Federal Government Securities are classified as Level 2 investments.</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Bonds and Debentures </w:t>
      </w:r>
      <w:r>
        <w:rPr>
          <w:rFonts w:ascii="Arial" w:cs="Arial" w:eastAsia="Arial" w:hAnsi="Arial"/>
          <w:sz w:val="18"/>
          <w:szCs w:val="18"/>
          <w:color w:val="auto"/>
        </w:rPr>
        <w:t>– Bonds and debentures consist of debt securities issued by U.S. and non-U.S. corporations as well as state and</w:t>
      </w:r>
      <w:r>
        <w:rPr>
          <w:rFonts w:ascii="Arial" w:cs="Arial" w:eastAsia="Arial" w:hAnsi="Arial"/>
          <w:sz w:val="18"/>
          <w:szCs w:val="18"/>
          <w:b w:val="1"/>
          <w:bCs w:val="1"/>
          <w:color w:val="auto"/>
        </w:rPr>
        <w:t xml:space="preserve"> </w:t>
      </w:r>
      <w:r>
        <w:rPr>
          <w:rFonts w:ascii="Arial" w:cs="Arial" w:eastAsia="Arial" w:hAnsi="Arial"/>
          <w:sz w:val="18"/>
          <w:szCs w:val="18"/>
          <w:color w:val="auto"/>
        </w:rPr>
        <w:t>local governments. These assets are valued using a bid evaluation process with bid data provided by independent pricing sources. Corporate, state, and municipal bonds and debentures are classified as Level 2 investments.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Corporate Stock </w:t>
      </w:r>
      <w:r>
        <w:rPr>
          <w:rFonts w:ascii="Arial" w:cs="Arial" w:eastAsia="Arial" w:hAnsi="Arial"/>
          <w:sz w:val="18"/>
          <w:szCs w:val="18"/>
          <w:color w:val="auto"/>
        </w:rPr>
        <w:t>– This investment category consists of common and preferred stock issued by U.S. and non-U.S. corporations.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are traded actively on exchanges and price quotes for these shares are readily available. Common stock is classified as a Level 1 investment. Preferred shares included in this category are valued using a bid evaluation process with bid data provided by independent pricing sources. Preferred stock is classified as a Level 2 investment.</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Venture Capital and Buyout Partnerships </w:t>
      </w:r>
      <w:r>
        <w:rPr>
          <w:rFonts w:ascii="Arial" w:cs="Arial" w:eastAsia="Arial" w:hAnsi="Arial"/>
          <w:sz w:val="18"/>
          <w:szCs w:val="18"/>
          <w:color w:val="auto"/>
        </w:rPr>
        <w:t>– This investment category is comprised of interests in limited partnerships that invest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in privately-held companies. Due to the private nature of the partnership investments, pricing inputs are not readily observable. Asset valuations are developed by the general partners that manage the partnerships. These valuations are based on the application of public market multiples to private company cash flows, market transactions that provide valuation information for comparable companies, and other methods. The fair value recorded by the plan is calculated using each partnership’s NAV.</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Real Estate Funds </w:t>
      </w:r>
      <w:r>
        <w:rPr>
          <w:rFonts w:ascii="Arial" w:cs="Arial" w:eastAsia="Arial" w:hAnsi="Arial"/>
          <w:sz w:val="18"/>
          <w:szCs w:val="18"/>
          <w:color w:val="auto"/>
        </w:rPr>
        <w:t>– The plan’s real estate investments are primarily interests in private real estate investment trusts, partnerships,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companies, and similar structures. Valuations for the holdings in this category are not based on readily observable inputs and are primarily derived from property appraisals. The fair value recorded by the plan is calculated using the NAV for each investment.</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Collective Trust and Other Funds </w:t>
      </w:r>
      <w:r>
        <w:rPr>
          <w:rFonts w:ascii="Arial" w:cs="Arial" w:eastAsia="Arial" w:hAnsi="Arial"/>
          <w:sz w:val="18"/>
          <w:szCs w:val="18"/>
          <w:color w:val="auto"/>
        </w:rPr>
        <w:t>– Collective trust and other funds are comprised of shares or units in commingled funds and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companies that are not publicly traded. The underlying assets in these entities (global stock funds and short-term investment funds) are publicly traded on exchanges and price quotes for the assets held by these funds are readily available. The fair value recorded by the plan is calculated using NAV for each investment.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pension plan assets measured at fair value on a recurring basis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Quoted Prices</w:t>
            </w:r>
          </w:p>
        </w:tc>
        <w:tc>
          <w:tcPr>
            <w:tcW w:w="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Significant</w:t>
            </w: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in Active</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Other</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Significant</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Markets for</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Observable</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Unobservable</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Identical Inputs</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Inputs</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Inputs</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(Level 1)</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(Level 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(Level 3)</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Plan assets at fair value:</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Temporary cash investments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Registered investment companies [a]</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Federal government securities</w:t>
            </w: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1,508</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1,508</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Bonds and debentures</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1,696</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1,696</w:t>
            </w:r>
          </w:p>
        </w:tc>
      </w:tr>
      <w:tr>
        <w:trPr>
          <w:trHeight w:val="216"/>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stock</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09"/>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Plan assets at NAV:</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Registered investment companies [b]</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Venture capital and buyout partnerships</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Real estate funds</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216"/>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Collective trust and other funds</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209"/>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 at NAV</w:t>
            </w: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assets/(liabilities) [c]</w:t>
            </w: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w:t>
            </w:r>
          </w:p>
        </w:tc>
      </w:tr>
      <w:tr>
        <w:trPr>
          <w:trHeight w:val="210"/>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pension plan assets measured at fair value on a recurring basis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
              <w:spacing w:after="0" w:line="199" w:lineRule="exact"/>
              <w:rPr>
                <w:sz w:val="20"/>
                <w:szCs w:val="20"/>
                <w:color w:val="auto"/>
              </w:rPr>
            </w:pPr>
            <w:r>
              <w:rPr>
                <w:rFonts w:ascii="Arial" w:cs="Arial" w:eastAsia="Arial" w:hAnsi="Arial"/>
                <w:sz w:val="18"/>
                <w:szCs w:val="18"/>
                <w:i w:val="1"/>
                <w:iCs w:val="1"/>
                <w:color w:val="auto"/>
              </w:rPr>
              <w:t>Quoted Prices</w:t>
            </w:r>
          </w:p>
        </w:tc>
        <w:tc>
          <w:tcPr>
            <w:tcW w:w="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Significant</w:t>
            </w: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in Active</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Other</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Significant</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Markets for</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Observable</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Unobservable</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i w:val="1"/>
                <w:iCs w:val="1"/>
                <w:color w:val="auto"/>
              </w:rPr>
              <w:t>Identical Inputs</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Inputs</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Inputs</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(Level 1)</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(Level 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(Level 3)</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Plan assets at fair value:</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Temporary cash investments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Registered investment companies [a]</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02"/>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Federal government securities</w:t>
            </w:r>
          </w:p>
        </w:tc>
        <w:tc>
          <w:tcPr>
            <w:tcW w:w="82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803</w:t>
            </w:r>
          </w:p>
        </w:tc>
        <w:tc>
          <w:tcPr>
            <w:tcW w:w="32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803</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Bonds and debentures</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1,069</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1,069</w:t>
            </w:r>
          </w:p>
        </w:tc>
      </w:tr>
      <w:tr>
        <w:trPr>
          <w:trHeight w:val="216"/>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stock</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1,111</w:t>
            </w:r>
          </w:p>
        </w:tc>
      </w:tr>
      <w:tr>
        <w:trPr>
          <w:trHeight w:val="210"/>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2,990</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Plan assets at NAV:</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Registered investment companies [b]</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w:t>
            </w:r>
          </w:p>
        </w:tc>
      </w:tr>
      <w:tr>
        <w:trPr>
          <w:trHeight w:val="203"/>
        </w:trPr>
        <w:tc>
          <w:tcPr>
            <w:tcW w:w="3980" w:type="dxa"/>
            <w:vAlign w:val="bottom"/>
          </w:tcPr>
          <w:p>
            <w:pPr>
              <w:ind w:left="180"/>
              <w:spacing w:after="0" w:line="202" w:lineRule="exact"/>
              <w:rPr>
                <w:sz w:val="20"/>
                <w:szCs w:val="20"/>
                <w:color w:val="auto"/>
              </w:rPr>
            </w:pPr>
            <w:r>
              <w:rPr>
                <w:rFonts w:ascii="Arial" w:cs="Arial" w:eastAsia="Arial" w:hAnsi="Arial"/>
                <w:sz w:val="18"/>
                <w:szCs w:val="18"/>
                <w:color w:val="auto"/>
              </w:rPr>
              <w:t>Venture capital and buyout partnerships</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r>
      <w:tr>
        <w:trPr>
          <w:trHeight w:val="203"/>
        </w:trPr>
        <w:tc>
          <w:tcPr>
            <w:tcW w:w="3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Real estate funds</w:t>
            </w: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w:t>
            </w:r>
          </w:p>
        </w:tc>
      </w:tr>
      <w:tr>
        <w:trPr>
          <w:trHeight w:val="216"/>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Collective trust and other funds</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r>
      <w:tr>
        <w:trPr>
          <w:trHeight w:val="210"/>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 at NAV</w:t>
            </w: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assets/(liabilities) [c]</w:t>
            </w: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210"/>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4,363</w:t>
            </w:r>
          </w:p>
        </w:tc>
      </w:tr>
    </w:tbl>
    <w:p>
      <w:pPr>
        <w:spacing w:after="0" w:line="10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Registered investment companies measured at fair value are stock investments.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Registered investment companies measured at NAV include bond investments.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accrued receivables, net payables, and pending broker settlements.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master trust’s investments in limited partnerships and similar structures (used to invest in private equity and real estate) are valued at fair value based on their proportionate share of the partnerships’ fair value as recorded in the limited partnerships’ audited financial statements. The limited partnerships allocate gains, losses, and expenses to the partners based on the ownership percentage as described in the partnership agreements. At December 31, 2023 and 2022, the master trust had future commitments for additional contributions to private equity partnerships totaling $80 million and $91 million, respectively, and to real estate partnerships and funds totaling $5 million and $5 million,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Retirement Programs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Other Post Retirement Benefits </w:t>
      </w:r>
      <w:r>
        <w:rPr>
          <w:rFonts w:ascii="Arial" w:cs="Arial" w:eastAsia="Arial" w:hAnsi="Arial"/>
          <w:sz w:val="18"/>
          <w:szCs w:val="18"/>
          <w:color w:val="auto"/>
        </w:rPr>
        <w:t>– We provide medical and life insurance benefits for eligible retirees hired before January 1, 2004. These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are funded as medical claims and life insurance premiums are paid. OPEB expense is determined based upon the annual service cost of benefits and the interest cost on those liabilities plus amortization of net (gain)/loss amounts offset by amortization of prior service credits recorded in AOCI. Our OPEB liability was $104 million and $134 million at December 31, 2023 and 2022, respectively. The liability is based on discount rate assumptions of 4.97% and 5.23% at December 31, 2023 and 2022, respectively. OPEB net periodic (benefit)/cost was ($7) million in 2023, ($2) million in 2022, and ($3) million in 2021.</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401(k)/Thrift Plan </w:t>
      </w:r>
      <w:r>
        <w:rPr>
          <w:rFonts w:ascii="Arial" w:cs="Arial" w:eastAsia="Arial" w:hAnsi="Arial"/>
          <w:sz w:val="18"/>
          <w:szCs w:val="18"/>
          <w:color w:val="auto"/>
        </w:rPr>
        <w:t>– For non-union employees hired prior to January 1, 2018, and eligible union employees for whom we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we provide a defined contribution plan (401(k)/thrift plan). We match 50% for each dollar contributed by employees up to the first 6% of compensation contributed. For non-union employees hired on or after January 1, 2018, we match 100% for each dollar, up to the first 6% of compensation contributed, in addition to contributing an annual amount of 3% of the employee’s annual base salary. Our plan contributions were $27 million in 2023, $24 million in 2022, and $21 million in 2021.</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Railroad Retirement System </w:t>
      </w:r>
      <w:r>
        <w:rPr>
          <w:rFonts w:ascii="Arial" w:cs="Arial" w:eastAsia="Arial" w:hAnsi="Arial"/>
          <w:sz w:val="18"/>
          <w:szCs w:val="18"/>
          <w:color w:val="auto"/>
        </w:rPr>
        <w:t>– All Railroad employees are covered by the Railroad Retirement System (the System). Contributions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System are expensed as incurred and amounted to approximately $711 million in 2023, $586 million in 2022, and $550 million in 2021.</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Collective Bargaining Agreements </w:t>
      </w:r>
      <w:r>
        <w:rPr>
          <w:rFonts w:ascii="Arial" w:cs="Arial" w:eastAsia="Arial" w:hAnsi="Arial"/>
          <w:sz w:val="18"/>
          <w:szCs w:val="18"/>
          <w:color w:val="auto"/>
        </w:rPr>
        <w:t>– Under collective bargaining agreements, we participate in multi-employer benefit plans that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post retirement health care and life insurance benefits for eligible union employees. Premiums paid under these plans are expensed as incurred and amounted to $16 million in 2023, $20 million in 2022, and $30 million in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6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i w:val="1"/>
                <w:iCs w:val="1"/>
                <w:color w:val="auto"/>
              </w:rPr>
              <w:t>2021</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Real estate income [a] [b]</w:t>
            </w:r>
          </w:p>
        </w:tc>
        <w:tc>
          <w:tcPr>
            <w:tcW w:w="26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414</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Net periodic pension benefit/(costs)</w:t>
            </w:r>
          </w:p>
        </w:tc>
        <w:tc>
          <w:tcPr>
            <w:tcW w:w="260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17"/>
                <w:szCs w:val="17"/>
                <w:color w:val="auto"/>
              </w:rPr>
            </w:pPr>
          </w:p>
        </w:tc>
        <w:tc>
          <w:tcPr>
            <w:tcW w:w="7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84</w:t>
            </w:r>
          </w:p>
        </w:tc>
        <w:tc>
          <w:tcPr>
            <w:tcW w:w="38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[a]</w:t>
            </w:r>
          </w:p>
        </w:tc>
        <w:tc>
          <w:tcPr>
            <w:tcW w:w="2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52</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Environmental remediation and restoration</w:t>
            </w:r>
          </w:p>
        </w:tc>
        <w:tc>
          <w:tcPr>
            <w:tcW w:w="26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from sale of investment</w:t>
            </w:r>
          </w:p>
        </w:tc>
        <w:tc>
          <w:tcPr>
            <w:tcW w:w="2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2"/>
        </w:trPr>
        <w:tc>
          <w:tcPr>
            <w:tcW w:w="5700" w:type="dxa"/>
            <w:vAlign w:val="bottom"/>
            <w:vMerge w:val="restart"/>
          </w:tcPr>
          <w:p>
            <w:pPr>
              <w:spacing w:after="0"/>
              <w:rPr>
                <w:sz w:val="20"/>
                <w:szCs w:val="20"/>
                <w:color w:val="auto"/>
              </w:rPr>
            </w:pPr>
            <w:r>
              <w:rPr>
                <w:rFonts w:ascii="Arial" w:cs="Arial" w:eastAsia="Arial" w:hAnsi="Arial"/>
                <w:sz w:val="18"/>
                <w:szCs w:val="18"/>
                <w:color w:val="auto"/>
              </w:rPr>
              <w:t>Other [a]</w:t>
            </w:r>
          </w:p>
        </w:tc>
        <w:tc>
          <w:tcPr>
            <w:tcW w:w="2600" w:type="dxa"/>
            <w:vAlign w:val="bottom"/>
          </w:tcPr>
          <w:p>
            <w:pPr>
              <w:spacing w:after="0"/>
              <w:rPr>
                <w:sz w:val="14"/>
                <w:szCs w:val="14"/>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700" w:type="dxa"/>
            <w:vAlign w:val="bottom"/>
            <w:tcBorders>
              <w:bottom w:val="single" w:sz="8" w:color="auto"/>
            </w:tcBorders>
            <w:vMerge w:val="continue"/>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jc w:val="right"/>
              <w:ind w:right="57"/>
              <w:spacing w:after="0" w:line="54" w:lineRule="exact"/>
              <w:rPr>
                <w:sz w:val="20"/>
                <w:szCs w:val="20"/>
                <w:color w:val="auto"/>
              </w:rPr>
            </w:pPr>
            <w:r>
              <w:rPr>
                <w:rFonts w:ascii="Arial" w:cs="Arial" w:eastAsia="Arial" w:hAnsi="Arial"/>
                <w:sz w:val="6"/>
                <w:szCs w:val="6"/>
                <w:color w:val="auto"/>
              </w:rPr>
              <w:t>(15</w:t>
            </w: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jc w:val="right"/>
              <w:ind w:right="17"/>
              <w:spacing w:after="0" w:line="54" w:lineRule="exact"/>
              <w:rPr>
                <w:sz w:val="20"/>
                <w:szCs w:val="20"/>
                <w:color w:val="auto"/>
              </w:rPr>
            </w:pPr>
            <w:r>
              <w:rPr>
                <w:rFonts w:ascii="Arial" w:cs="Arial" w:eastAsia="Arial" w:hAnsi="Arial"/>
                <w:sz w:val="6"/>
                <w:szCs w:val="6"/>
                <w:color w:val="auto"/>
              </w:rPr>
              <w:t>(14</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426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periods have been reclassified to conform to the current period disclosure.</w:t>
      </w:r>
    </w:p>
    <w:p>
      <w:pPr>
        <w:spacing w:after="0" w:line="19" w:lineRule="exact"/>
        <w:rPr>
          <w:rFonts w:ascii="Arial" w:cs="Arial" w:eastAsia="Arial" w:hAnsi="Arial"/>
          <w:sz w:val="16"/>
          <w:szCs w:val="16"/>
          <w:i w:val="1"/>
          <w:iCs w:val="1"/>
          <w:color w:val="auto"/>
        </w:rPr>
      </w:pPr>
    </w:p>
    <w:p>
      <w:pPr>
        <w:jc w:val="both"/>
        <w:ind w:left="340" w:hanging="332"/>
        <w:spacing w:after="0" w:line="256"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2023 includes a one-time $107 million transaction. 2022 includes a $79 million gain from a land sale to the Illinois State Toll Highway Authority and a $35 million gain from a sale to the Colorado Department of Transportation. 2021 includes a $50 million gain from a sale to the Colorado Department of Transportation.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expense were as follows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2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64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1,417</w:t>
            </w:r>
          </w:p>
        </w:tc>
        <w:tc>
          <w:tcPr>
            <w:tcW w:w="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1,465</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1,446</w:t>
            </w:r>
          </w:p>
        </w:tc>
      </w:tr>
      <w:tr>
        <w:trPr>
          <w:trHeight w:val="203"/>
        </w:trPr>
        <w:tc>
          <w:tcPr>
            <w:tcW w:w="5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26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314</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347</w:t>
            </w:r>
          </w:p>
        </w:tc>
      </w:tr>
      <w:tr>
        <w:trPr>
          <w:trHeight w:val="216"/>
        </w:trPr>
        <w:tc>
          <w:tcPr>
            <w:tcW w:w="5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w:t>
            </w:r>
          </w:p>
        </w:tc>
        <w:tc>
          <w:tcPr>
            <w:tcW w:w="2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10"/>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tax expense</w:t>
            </w:r>
          </w:p>
        </w:tc>
        <w:tc>
          <w:tcPr>
            <w:tcW w:w="26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1,737</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1,812</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Deferred and other tax expense/(benefit):</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6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219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320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199</w:t>
            </w:r>
          </w:p>
        </w:tc>
      </w:tr>
      <w:tr>
        <w:trPr>
          <w:trHeight w:val="203"/>
        </w:trPr>
        <w:tc>
          <w:tcPr>
            <w:tcW w:w="5640" w:type="dxa"/>
            <w:vAlign w:val="bottom"/>
          </w:tcPr>
          <w:p>
            <w:pPr>
              <w:ind w:left="180"/>
              <w:spacing w:after="0" w:line="202" w:lineRule="exact"/>
              <w:rPr>
                <w:sz w:val="20"/>
                <w:szCs w:val="20"/>
                <w:color w:val="auto"/>
              </w:rPr>
            </w:pPr>
            <w:r>
              <w:rPr>
                <w:rFonts w:ascii="Arial" w:cs="Arial" w:eastAsia="Arial" w:hAnsi="Arial"/>
                <w:sz w:val="18"/>
                <w:szCs w:val="18"/>
                <w:color w:val="auto"/>
              </w:rPr>
              <w:t>State [a]</w:t>
            </w:r>
          </w:p>
        </w:tc>
        <w:tc>
          <w:tcPr>
            <w:tcW w:w="26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16"/>
        </w:trPr>
        <w:tc>
          <w:tcPr>
            <w:tcW w:w="5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6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and other tax expense</w:t>
            </w:r>
          </w:p>
        </w:tc>
        <w:tc>
          <w:tcPr>
            <w:tcW w:w="2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117</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262</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10"/>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1,854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r>
    </w:tbl>
    <w:p>
      <w:pPr>
        <w:spacing w:after="0" w:line="109" w:lineRule="exact"/>
        <w:rPr>
          <w:sz w:val="20"/>
          <w:szCs w:val="20"/>
          <w:color w:val="auto"/>
        </w:rPr>
      </w:pPr>
    </w:p>
    <w:p>
      <w:pPr>
        <w:jc w:val="both"/>
        <w:ind w:left="340" w:hanging="332"/>
        <w:spacing w:after="0" w:line="258"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 2023, Nebraska, Iowa, Kansas, and Arkansas enacted corporate income tax legislation that resulted in a $114 million reduction of our deferred tax expense. In 2022, Nebraska, Iowa, Arkansas, and Idaho enacted corporate income tax legislation that resulted in a $95 million reduction of our deferred tax expense. In 2021, Nebraska, Oklahoma, Idaho, Louisiana, and Arkansas enacted corporate income tax legislation that resulted in a $32 million reduction of our deferred tax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reconciliations between statutory and effective tax rates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Tax Rate Percentages</w:t>
            </w:r>
          </w:p>
        </w:tc>
        <w:tc>
          <w:tcPr>
            <w:tcW w:w="16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2023</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i w:val="1"/>
                <w:iCs w:val="1"/>
                <w:color w:val="auto"/>
              </w:rPr>
              <w:t>2021</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tax rate</w:t>
            </w:r>
          </w:p>
        </w:tc>
        <w:tc>
          <w:tcPr>
            <w:tcW w:w="164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b w:val="1"/>
                <w:bCs w:val="1"/>
                <w:color w:val="auto"/>
              </w:rPr>
              <w:t>21.0%</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State statutory rates, net of federal benefits</w:t>
            </w:r>
          </w:p>
        </w:tc>
        <w:tc>
          <w:tcPr>
            <w:tcW w:w="164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3.4</w:t>
            </w: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8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adjustments</w:t>
            </w:r>
          </w:p>
        </w:tc>
        <w:tc>
          <w:tcPr>
            <w:tcW w:w="164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(1.2)</w:t>
            </w:r>
          </w:p>
        </w:tc>
        <w:tc>
          <w:tcPr>
            <w:tcW w:w="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Dividends received deduction</w:t>
            </w:r>
          </w:p>
        </w:tc>
        <w:tc>
          <w:tcPr>
            <w:tcW w:w="16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(0.6)</w:t>
            </w: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(0.5)</w:t>
            </w:r>
          </w:p>
        </w:tc>
        <w:tc>
          <w:tcPr>
            <w:tcW w:w="28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from equity compensation plans</w:t>
            </w:r>
          </w:p>
        </w:tc>
        <w:tc>
          <w:tcPr>
            <w:tcW w:w="164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(0.1)</w:t>
            </w:r>
          </w:p>
        </w:tc>
        <w:tc>
          <w:tcPr>
            <w:tcW w:w="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62"/>
        </w:trPr>
        <w:tc>
          <w:tcPr>
            <w:tcW w:w="7680" w:type="dxa"/>
            <w:vAlign w:val="bottom"/>
            <w:vMerge w:val="restart"/>
          </w:tcPr>
          <w:p>
            <w:pPr>
              <w:spacing w:after="0"/>
              <w:rPr>
                <w:sz w:val="20"/>
                <w:szCs w:val="20"/>
                <w:color w:val="auto"/>
              </w:rPr>
            </w:pPr>
            <w:r>
              <w:rPr>
                <w:rFonts w:ascii="Arial" w:cs="Arial" w:eastAsia="Arial" w:hAnsi="Arial"/>
                <w:sz w:val="18"/>
                <w:szCs w:val="18"/>
                <w:color w:val="auto"/>
              </w:rPr>
              <w:t>Other</w:t>
            </w:r>
          </w:p>
        </w:tc>
        <w:tc>
          <w:tcPr>
            <w:tcW w:w="16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800" w:type="dxa"/>
            <w:vAlign w:val="bottom"/>
          </w:tcPr>
          <w:p>
            <w:pPr>
              <w:jc w:val="right"/>
              <w:ind w:right="13"/>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680" w:type="dxa"/>
            <w:vAlign w:val="bottom"/>
            <w:tcBorders>
              <w:bottom w:val="single" w:sz="8" w:color="auto"/>
            </w:tcBorders>
            <w:vMerge w:val="continue"/>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jc w:val="right"/>
              <w:ind w:right="73"/>
              <w:spacing w:after="0" w:line="54" w:lineRule="exact"/>
              <w:rPr>
                <w:sz w:val="20"/>
                <w:szCs w:val="20"/>
                <w:color w:val="auto"/>
              </w:rPr>
            </w:pPr>
            <w:r>
              <w:rPr>
                <w:rFonts w:ascii="Arial" w:cs="Arial" w:eastAsia="Arial" w:hAnsi="Arial"/>
                <w:sz w:val="6"/>
                <w:szCs w:val="6"/>
                <w:color w:val="auto"/>
              </w:rPr>
              <w:t>(0.2</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429"/>
        </w:trPr>
        <w:tc>
          <w:tcPr>
            <w:tcW w:w="7680" w:type="dxa"/>
            <w:vAlign w:val="bottom"/>
          </w:tcPr>
          <w:p>
            <w:pPr>
              <w:spacing w:after="0"/>
              <w:rPr>
                <w:sz w:val="20"/>
                <w:szCs w:val="20"/>
                <w:color w:val="auto"/>
              </w:rPr>
            </w:pPr>
            <w:r>
              <w:rPr>
                <w:rFonts w:ascii="Arial" w:cs="Arial" w:eastAsia="Arial" w:hAnsi="Arial"/>
                <w:sz w:val="18"/>
                <w:szCs w:val="18"/>
                <w:color w:val="auto"/>
              </w:rPr>
              <w:t>Deferred income tax assets/(liabilities) were comprised of the following at December 31:</w:t>
            </w: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2022</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Property</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(12,987)</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(12,910)</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(13,947)</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Deferred income tax assets:</w:t>
            </w: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394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Accrued casualty costs</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168</w:t>
            </w:r>
          </w:p>
        </w:tc>
        <w:tc>
          <w:tcPr>
            <w:tcW w:w="28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wages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income tax assets</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824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2023 and 2022, there were no valuation allowances against deferred tax assets.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changes in unrecognized tax benefits liabilities/(assets) from the beginning to the end of the reporting period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6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at January 1</w:t>
            </w:r>
          </w:p>
        </w:tc>
        <w:tc>
          <w:tcPr>
            <w:tcW w:w="16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34</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Lapse of statutes of limitations</w:t>
            </w:r>
          </w:p>
        </w:tc>
        <w:tc>
          <w:tcPr>
            <w:tcW w:w="16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Decreases for positions taken in prior years</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Increases for positions taken in current year</w:t>
            </w:r>
          </w:p>
        </w:tc>
        <w:tc>
          <w:tcPr>
            <w:tcW w:w="16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Refunds from/(payments to) and settlements with taxing authorities</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Increases/(decreases) for interest and penalties</w:t>
            </w:r>
          </w:p>
        </w:tc>
        <w:tc>
          <w:tcPr>
            <w:tcW w:w="164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6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Increases for positions taken in prior years</w:t>
            </w:r>
          </w:p>
        </w:tc>
        <w:tc>
          <w:tcPr>
            <w:tcW w:w="16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209"/>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Unrecognized tax benefits at December 31</w:t>
            </w: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interest and penalties as part of income tax expense. Total accrued liabilities/(receivables) for interest and penalties were ($4) million and ($3) million at December 31, 2023 and 2022, respectively. Total interest and penalties recognized as part of income tax expense/(benefit) were ($1) million for 2023, ($2) million for 2022, and ($5) million for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Several state tax authorities are examining our state income tax returns for years 2018 through 2022.</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expect our unrecognized tax benefits to change significantly in the next 12 months. The portion of our unrecognized tax benefits that relates to permanent changes in tax and interest would reduce our effective tax rate, if recognized. The remaining unrecognized tax benefits relate to tax positions for which only the timing of the benefit is uncertain. The unrecognized tax benefits that would reduce our effective tax rate are $30 million for 2023, $31 million for 2022, and $31 million for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 for the years ended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w:t>
            </w:r>
          </w:p>
        </w:tc>
        <w:tc>
          <w:tcPr>
            <w:tcW w:w="2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210"/>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6,523</w:t>
            </w: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Weighted-average number of shares outstanding:</w:t>
            </w:r>
          </w:p>
        </w:tc>
        <w:tc>
          <w:tcPr>
            <w:tcW w:w="2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609.2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622.7</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653.8</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stock options</w:t>
            </w:r>
          </w:p>
        </w:tc>
        <w:tc>
          <w:tcPr>
            <w:tcW w:w="230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0.8</w:t>
            </w:r>
          </w:p>
        </w:tc>
      </w:tr>
      <w:tr>
        <w:trPr>
          <w:trHeight w:val="203"/>
        </w:trPr>
        <w:tc>
          <w:tcPr>
            <w:tcW w:w="59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Dilutive effect of retention shares and units</w:t>
            </w:r>
          </w:p>
        </w:tc>
        <w:tc>
          <w:tcPr>
            <w:tcW w:w="2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0.6</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w:t>
            </w: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w:t>
            </w:r>
          </w:p>
        </w:tc>
        <w:tc>
          <w:tcPr>
            <w:tcW w:w="2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610.2</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624.0</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655.4</w:t>
            </w: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 - basic</w:t>
            </w:r>
          </w:p>
        </w:tc>
        <w:tc>
          <w:tcPr>
            <w:tcW w:w="2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10.47</w:t>
            </w:r>
          </w:p>
        </w:tc>
        <w:tc>
          <w:tcPr>
            <w:tcW w:w="3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11.24</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9.98</w:t>
            </w: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 - diluted</w:t>
            </w:r>
          </w:p>
        </w:tc>
        <w:tc>
          <w:tcPr>
            <w:tcW w:w="2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r>
    </w:tbl>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Common stock options totaling 0.9 million, 0.3 million, and 0.2 million for 2023, 2022, and 2021, respectively, were excluded from the computation of diluted earnings per share because the exercise prices of these stock options exceeded the average market price of our common stock for the respective periods, and the effect of their inclusion would be anti-dilutive.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3"/>
          </w:tcPr>
          <w:p>
            <w:pPr>
              <w:jc w:val="right"/>
              <w:spacing w:after="0" w:line="199" w:lineRule="exact"/>
              <w:rPr>
                <w:sz w:val="20"/>
                <w:szCs w:val="20"/>
                <w:color w:val="auto"/>
              </w:rPr>
            </w:pPr>
            <w:r>
              <w:rPr>
                <w:rFonts w:ascii="Arial" w:cs="Arial" w:eastAsia="Arial" w:hAnsi="Arial"/>
                <w:sz w:val="18"/>
                <w:szCs w:val="18"/>
                <w:i w:val="1"/>
                <w:iCs w:val="1"/>
                <w:color w:val="auto"/>
              </w:rPr>
              <w:t>Foreign Unrealized gain on</w:t>
            </w: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i w:val="1"/>
                <w:iCs w:val="1"/>
                <w:color w:val="auto"/>
              </w:rPr>
              <w:t>Defined</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currency</w:t>
            </w:r>
          </w:p>
        </w:tc>
        <w:tc>
          <w:tcPr>
            <w:tcW w:w="4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derivative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w w:val="97"/>
              </w:rPr>
              <w:t>benefit plans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translation</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instruments [a]</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(378)</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58</w:t>
            </w:r>
          </w:p>
        </w:tc>
        <w:tc>
          <w:tcPr>
            <w:tcW w:w="400" w:type="dxa"/>
            <w:vAlign w:val="bottom"/>
          </w:tcPr>
          <w:p>
            <w:pPr>
              <w:spacing w:after="0"/>
              <w:rPr>
                <w:sz w:val="17"/>
                <w:szCs w:val="17"/>
                <w:color w:val="auto"/>
              </w:rPr>
            </w:pPr>
          </w:p>
        </w:tc>
        <w:tc>
          <w:tcPr>
            <w:tcW w:w="10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42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31"/>
        </w:trPr>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8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6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 $31</w:t>
            </w:r>
          </w:p>
        </w:tc>
        <w:tc>
          <w:tcPr>
            <w:tcW w:w="220" w:type="dxa"/>
            <w:vAlign w:val="bottom"/>
          </w:tcPr>
          <w:p>
            <w:pPr>
              <w:spacing w:after="0"/>
              <w:rPr>
                <w:sz w:val="15"/>
                <w:szCs w:val="15"/>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5"/>
                <w:szCs w:val="15"/>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1"/>
        </w:trPr>
        <w:tc>
          <w:tcPr>
            <w:tcW w:w="5860" w:type="dxa"/>
            <w:vAlign w:val="bottom"/>
            <w:vMerge w:val="restart"/>
          </w:tcPr>
          <w:p>
            <w:pPr>
              <w:spacing w:after="0"/>
              <w:rPr>
                <w:sz w:val="20"/>
                <w:szCs w:val="20"/>
                <w:color w:val="auto"/>
              </w:rPr>
            </w:pPr>
            <w:r>
              <w:rPr>
                <w:rFonts w:ascii="Arial" w:cs="Arial" w:eastAsia="Arial" w:hAnsi="Arial"/>
                <w:sz w:val="18"/>
                <w:szCs w:val="18"/>
                <w:color w:val="auto"/>
              </w:rPr>
              <w:t>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8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(484)</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(658)</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20" w:type="dxa"/>
            <w:vAlign w:val="bottom"/>
          </w:tcPr>
          <w:p>
            <w:pPr>
              <w:spacing w:after="0"/>
              <w:rPr>
                <w:sz w:val="17"/>
                <w:szCs w:val="17"/>
                <w:color w:val="auto"/>
              </w:rPr>
            </w:pP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52</w:t>
            </w:r>
          </w:p>
        </w:tc>
        <w:tc>
          <w:tcPr>
            <w:tcW w:w="400" w:type="dxa"/>
            <w:vAlign w:val="bottom"/>
          </w:tcPr>
          <w:p>
            <w:pPr>
              <w:spacing w:after="0"/>
              <w:rPr>
                <w:sz w:val="17"/>
                <w:szCs w:val="17"/>
                <w:color w:val="auto"/>
              </w:rPr>
            </w:pPr>
          </w:p>
        </w:tc>
        <w:tc>
          <w:tcPr>
            <w:tcW w:w="10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31"/>
        </w:trPr>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2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8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6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w:t>
            </w:r>
          </w:p>
        </w:tc>
        <w:tc>
          <w:tcPr>
            <w:tcW w:w="220" w:type="dxa"/>
            <w:vAlign w:val="bottom"/>
          </w:tcPr>
          <w:p>
            <w:pPr>
              <w:spacing w:after="0"/>
              <w:rPr>
                <w:sz w:val="15"/>
                <w:szCs w:val="15"/>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5"/>
                <w:szCs w:val="15"/>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31"/>
        </w:trPr>
        <w:tc>
          <w:tcPr>
            <w:tcW w:w="5860" w:type="dxa"/>
            <w:vAlign w:val="bottom"/>
            <w:vMerge w:val="restart"/>
          </w:tcPr>
          <w:p>
            <w:pPr>
              <w:spacing w:after="0"/>
              <w:rPr>
                <w:sz w:val="20"/>
                <w:szCs w:val="20"/>
                <w:color w:val="auto"/>
              </w:rPr>
            </w:pPr>
            <w:r>
              <w:rPr>
                <w:rFonts w:ascii="Arial" w:cs="Arial" w:eastAsia="Arial" w:hAnsi="Arial"/>
                <w:sz w:val="18"/>
                <w:szCs w:val="18"/>
                <w:color w:val="auto"/>
              </w:rPr>
              <w:t>($92) million</w:t>
            </w: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8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(378)</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Accounts receivable includes freight and other receivables reduced by an allowance for doubtful accounts. At December 31, 2023 and 2022, our accounts receivable were reduced by $9 million and $10 million, respectively. Receivables not expected to be collected in one year and the associated allowances are classified as other assets in our Consolidated Statements of Financial Position. At December 31, 2023 and 2022, receivables classified as other assets were reduced by allowances of $71 million and $58 million, respectively.</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an $800 million, 3-year receivables securitization facility (the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maturing in July 2025.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 recorded under the Receivables Facility was $0 and $100 million at December 31, 2023 and 2022, respectively. The Receivables Facility was supported by $1.7 billion and $1.6 billion of accounts receivable as collateral at December 31, 2023 and 2022, respectively, which, as a retained interest, is included in accounts receivable, net in our Consolidated Statements of Financial Position.</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$800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$9 million, $10 million, and $4 million for 2023, 2022, and 2021,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Accumulated</w:t>
            </w:r>
          </w:p>
        </w:tc>
        <w:tc>
          <w:tcPr>
            <w:tcW w:w="340" w:type="dxa"/>
            <w:vAlign w:val="bottom"/>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i w:val="1"/>
                <w:iCs w:val="1"/>
                <w:color w:val="auto"/>
              </w:rPr>
              <w:t>Net Book</w:t>
            </w:r>
          </w:p>
        </w:tc>
        <w:tc>
          <w:tcPr>
            <w:tcW w:w="1200" w:type="dxa"/>
            <w:vAlign w:val="bottom"/>
          </w:tcPr>
          <w:p>
            <w:pPr>
              <w:jc w:val="right"/>
              <w:ind w:right="10"/>
              <w:spacing w:after="0"/>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December 31, 2023</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5,426</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5,426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18,837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7,344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11,493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11,985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3,895</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8,090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6,345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4,284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23,175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5,368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17,807</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60,342</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18,668</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41,674</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9,295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3,591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5,704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2,765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956</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1,809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Work equipment and other</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1,344</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546</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798</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13,404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5,093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8,311</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814</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1,173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1,173</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81,733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24,335</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57,398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9"/>
        </w:trPr>
        <w:tc>
          <w:tcPr>
            <w:tcW w:w="4500" w:type="dxa"/>
            <w:vAlign w:val="bottom"/>
          </w:tcPr>
          <w:p>
            <w:pPr>
              <w:spacing w:after="0" w:line="179" w:lineRule="exact"/>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right"/>
              <w:ind w:right="30"/>
              <w:spacing w:after="0" w:line="179" w:lineRule="exact"/>
              <w:rPr>
                <w:sz w:val="20"/>
                <w:szCs w:val="20"/>
                <w:color w:val="auto"/>
              </w:rPr>
            </w:pPr>
            <w:r>
              <w:rPr>
                <w:rFonts w:ascii="Arial" w:cs="Arial" w:eastAsia="Arial" w:hAnsi="Arial"/>
                <w:sz w:val="18"/>
                <w:szCs w:val="18"/>
                <w:i w:val="1"/>
                <w:iCs w:val="1"/>
                <w:color w:val="auto"/>
              </w:rPr>
              <w:t>Accumulated</w:t>
            </w:r>
          </w:p>
        </w:tc>
        <w:tc>
          <w:tcPr>
            <w:tcW w:w="340" w:type="dxa"/>
            <w:vAlign w:val="bottom"/>
          </w:tcPr>
          <w:p>
            <w:pPr>
              <w:spacing w:after="0"/>
              <w:rPr>
                <w:sz w:val="15"/>
                <w:szCs w:val="15"/>
                <w:color w:val="auto"/>
              </w:rPr>
            </w:pPr>
          </w:p>
        </w:tc>
        <w:tc>
          <w:tcPr>
            <w:tcW w:w="1100" w:type="dxa"/>
            <w:vAlign w:val="bottom"/>
          </w:tcPr>
          <w:p>
            <w:pPr>
              <w:jc w:val="right"/>
              <w:ind w:right="150"/>
              <w:spacing w:after="0" w:line="179" w:lineRule="exact"/>
              <w:rPr>
                <w:sz w:val="20"/>
                <w:szCs w:val="20"/>
                <w:color w:val="auto"/>
              </w:rPr>
            </w:pPr>
            <w:r>
              <w:rPr>
                <w:rFonts w:ascii="Arial" w:cs="Arial" w:eastAsia="Arial" w:hAnsi="Arial"/>
                <w:sz w:val="18"/>
                <w:szCs w:val="18"/>
                <w:i w:val="1"/>
                <w:iCs w:val="1"/>
                <w:color w:val="auto"/>
              </w:rPr>
              <w:t>Net Book</w:t>
            </w:r>
          </w:p>
        </w:tc>
        <w:tc>
          <w:tcPr>
            <w:tcW w:w="1200" w:type="dxa"/>
            <w:vAlign w:val="bottom"/>
          </w:tcPr>
          <w:p>
            <w:pPr>
              <w:jc w:val="right"/>
              <w:ind w:right="10"/>
              <w:spacing w:after="0" w:line="179" w:lineRule="exact"/>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December 31, 2022</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5,344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5,344</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18,419</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7,096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11,323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11,676</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3,699</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7,977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6,222</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1,950</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4,272</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22,411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4,970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17,441</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58,728</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17,715</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41,013</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9,166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3,606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5,560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2,562</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898</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1,664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Work equipment and other</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1,253</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473</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780</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12,981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4,977</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8,004</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525</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729</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948</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948</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79,255</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23,217</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56,038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bl>
    <w:p>
      <w:pPr>
        <w:spacing w:after="0" w:line="10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Other roadway includes grading, bridges and tunnels, signals, buildings, and other road assets.</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Our railroad operations are highly capital-intensive, and our large base of homogeneous, network-type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turns over on a continuous basis. Each year we develop a capital program for the replacement of assets and for the acquisition or construction of assets that enable us to enhance our operations or provide new service offerings to customers. We currently have more than 60 depreciable asset classes, and we may increase or decrease the number of asset classes due to changes in technology, asset strategies, or other factors.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the estimated service lives of depreciable railroad assets by means of depreciation studies. We perform depreciation studies at least every 3 years for equipment and every 6 years for track assets (i.e., rail and other track material, ties, and ballast) and other road property. Our depreciation studies take into account the following factors:</w:t>
      </w:r>
    </w:p>
    <w:p>
      <w:pPr>
        <w:spacing w:after="0" w:line="15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Statistical analysis of historical patterns of use and retirements of each of our asset classes,</w:t>
      </w:r>
    </w:p>
    <w:p>
      <w:pPr>
        <w:spacing w:after="0" w:line="13"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Evaluation of any expected changes in current operations and the outlook for continued use of the assets,</w:t>
      </w:r>
    </w:p>
    <w:p>
      <w:pPr>
        <w:ind w:left="340" w:hanging="332"/>
        <w:spacing w:after="0" w:line="23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Evaluation of technological advances and changes to maintenance practices, and</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salvage to be received upon retirement.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rail in high -density traffic corridors, we measure estimated service lives in millions of gross tons per mile of track. It has been our experience that the lives of rail in high-density traffic corridors are closely correlated to usage (i.e., the amount of weight carried over the rail). The service lives also vary based on rail weight, rail condition (e.g., new or secondhand), and rail type (e.g., straight or curve). Our depreciation studies for rail in high-density traffic corridors consider each of these factors in determining the estimated service lives. For rail in high-density traffic corridors, we calculate depreciation rates annually by dividing the number of gross ton-miles carried over the rail (i.e., the weight of loaded and empty freight cars, locomotives, and maintenance of way equipment transported over the rail) by the estimated service lives of the rail measured in millions of gross tons per mile. For all other depreciable assets, we compute depreciation based on the estimated service lives of our assets as determined from the analysis of our depreciation studies. Changes in the estimated service lives of our assets and their related depreciation rates are implemented prospectively.</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group method of depreciation, the historical cost (net of salvage) of depreciable property that is retired or replaced in the ordinary course of business is charged to accumulated depreciation and no gain or loss is recognized. The historical cost of certain track assets is estimated by multiplying the current replacement cost of track assets by a historical index factor derived from (a) inflation indices published by the Bureau of Labor Statistics and (b) the estimated useful lives of the assets as determined by our depreciation studies. The indices were selected because they closely correlate with the major costs of the properties comprising the applicable track asset classes. Because of the number of estimates inherent in the depreciation and retirement processes and because it is impossible to precisely estimate each of these variables until a group of property is completely retired, we continually monitor the estimated service lives of our assets and the accumulated depreciation associated with each asset class to ensure our depreciation rates are appropriate. In addition, we determine if the recorded amount of accumulated depreciation is deficient (or in excess) of the amount indicated by our depreciation studies. Any deficiency (or excess) is amortized as a component of depreciation expense over the remaining service lives of the applicable classes of assets.</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A gain or loss is recognized in other income when we sell land or dispose of assets that are not part of our railroad operations.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review construction in progress assets that have not yet been placed into service, for impairment when events or changes in circumstances indicate that the carrying amount of a long-lived asset or assets may not be recoverable. If impairment indicators are present and the estimated future undiscounted cash flows are less than the carrying value of construction in progress assets when grouped with other assets and liabilities at the lowest level where identifiable cash flows are largely independent, the carrying value is reduced to the estimated fair value.</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 we purchase an asset, we capitalize all costs necessary to make the asset ready for its intended use. However, many of our assets are self-constructed. A large portion of our capital expenditures is for replacement of existing track assets and other road properties, which is typically performed by our employees, and for track line expansion and other capacity projects. Costs that are directly attributable to capital projects (including overhead costs) are capitalized. Direct costs that are capitalized as part of self-constructed assets include material, labor, and work equipment. Indirect costs are capitalized if they clearly relate to the construction of the asset.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incurred that extend the useful life of an asset, improve the safety of our operations, or improve operating efficiency are capitalized, while normal repairs and maintenance are expensed as incurred. These costs are allocated using appropriate statistical bases. Total expense for repairs and maintenance incurred was $2.5 billion for 2023, $2.4 billion for 2022, and $2.1 billion for 2021.</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held under finance leases are recorded at the lower of the net present value of the minimum lease payments or the fair value of the leased asset at the inception of the lease. Amortization expense is computed using the straight-line method over the shorter of the estimated useful lives of the assets or the period of the related lease.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Dec. 31,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Dec. 31,</w:t>
            </w:r>
          </w:p>
        </w:tc>
      </w:tr>
      <w:tr>
        <w:trPr>
          <w:trHeight w:val="219"/>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856</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784</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Income and other taxes payable</w:t>
            </w:r>
          </w:p>
        </w:tc>
        <w:tc>
          <w:tcPr>
            <w:tcW w:w="27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685</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628</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Compensation-related accruals</w:t>
            </w:r>
          </w:p>
        </w:tc>
        <w:tc>
          <w:tcPr>
            <w:tcW w:w="27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533</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938</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Interest payable</w:t>
            </w:r>
          </w:p>
        </w:tc>
        <w:tc>
          <w:tcPr>
            <w:tcW w:w="27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389</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379</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 (Note 16)</w:t>
            </w:r>
          </w:p>
        </w:tc>
        <w:tc>
          <w:tcPr>
            <w:tcW w:w="27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355</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Accrued casualty costs</w:t>
            </w:r>
          </w:p>
        </w:tc>
        <w:tc>
          <w:tcPr>
            <w:tcW w:w="27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307</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rents payable</w:t>
            </w:r>
          </w:p>
        </w:tc>
        <w:tc>
          <w:tcPr>
            <w:tcW w:w="27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98</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6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460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431</w:t>
            </w:r>
          </w:p>
        </w:tc>
      </w:tr>
      <w:tr>
        <w:trPr>
          <w:trHeight w:val="209"/>
        </w:trPr>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accounts payable and other current liabilities</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December 31, 2023 and 2022, the Company had $16 million and $46 million of short-term investments, respectively. All short-term investments have a maturity of less than one year and are classified as held-to-maturity.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December 31, 2023, the fair value of total debt was $28.5 billion, approximately $4.1 billion less than the carrying value. At December 31, 2022, the fair value of total debt was $ 28.1 billion, approximately $5.2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debt as of December 31, 2023 and 2022, is summarized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0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Notes and debentures, 2.2% to 7.1% due through February 14, 2072</w:t>
            </w:r>
          </w:p>
        </w:tc>
        <w:tc>
          <w:tcPr>
            <w:tcW w:w="2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33,383</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33,658</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Equipment obligations, 2.6% to 6.2% due through January 2, 2031 [a]</w:t>
            </w:r>
          </w:p>
        </w:tc>
        <w:tc>
          <w:tcPr>
            <w:tcW w:w="20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770</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leases, 3.1% to 6.8% due through December 10, 2028</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158</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234</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20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 Facility (Note 10)</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Term loans</w:t>
            </w:r>
          </w:p>
        </w:tc>
        <w:tc>
          <w:tcPr>
            <w:tcW w:w="200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r>
      <w:tr>
        <w:trPr>
          <w:trHeight w:val="216"/>
        </w:trPr>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discount and deferred issuance costs</w:t>
            </w:r>
          </w:p>
        </w:tc>
        <w:tc>
          <w:tcPr>
            <w:tcW w:w="20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(1,732)</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32,579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33,326</w:t>
            </w:r>
          </w:p>
        </w:tc>
      </w:tr>
      <w:tr>
        <w:trPr>
          <w:trHeight w:val="209"/>
        </w:trPr>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debt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31,156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31,648</w:t>
            </w:r>
          </w:p>
        </w:tc>
      </w:tr>
    </w:tbl>
    <w:p>
      <w:pPr>
        <w:spacing w:after="0" w:line="109" w:lineRule="exact"/>
        <w:rPr>
          <w:sz w:val="20"/>
          <w:szCs w:val="20"/>
          <w:color w:val="auto"/>
        </w:rPr>
      </w:pPr>
    </w:p>
    <w:p>
      <w:pPr>
        <w:ind w:left="340" w:right="120" w:hanging="332"/>
        <w:spacing w:after="0" w:line="182" w:lineRule="auto"/>
        <w:tabs>
          <w:tab w:leader="none" w:pos="340" w:val="left"/>
        </w:tabs>
        <w:numPr>
          <w:ilvl w:val="0"/>
          <w:numId w:val="24"/>
        </w:numPr>
        <w:rPr>
          <w:rFonts w:ascii="Arial" w:cs="Arial" w:eastAsia="Arial" w:hAnsi="Arial"/>
          <w:sz w:val="30"/>
          <w:szCs w:val="30"/>
          <w:i w:val="1"/>
          <w:iCs w:val="1"/>
          <w:color w:val="auto"/>
          <w:vertAlign w:val="subscript"/>
        </w:rPr>
      </w:pPr>
      <w:r>
        <w:rPr>
          <w:rFonts w:ascii="Arial" w:cs="Arial" w:eastAsia="Arial" w:hAnsi="Arial"/>
          <w:sz w:val="16"/>
          <w:szCs w:val="16"/>
          <w:i w:val="1"/>
          <w:iCs w:val="1"/>
          <w:color w:val="auto"/>
        </w:rPr>
        <w:t>Equipment obligations are secured by an interest in certain railroad equipment with a carrying value of approximately $0.9 billion at both December 31, 2023 and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Maturities </w:t>
      </w:r>
      <w:r>
        <w:rPr>
          <w:rFonts w:ascii="Arial" w:cs="Arial" w:eastAsia="Arial" w:hAnsi="Arial"/>
          <w:sz w:val="18"/>
          <w:szCs w:val="18"/>
          <w:color w:val="auto"/>
        </w:rPr>
        <w:t>– The following table presents aggregate debt maturities as of December 31, 2023, excluding market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33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1,427</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1,426</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1,515</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32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1,285</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1,235</w:t>
            </w:r>
          </w:p>
        </w:tc>
      </w:tr>
      <w:tr>
        <w:trPr>
          <w:trHeight w:val="216"/>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w:t>
            </w:r>
          </w:p>
        </w:tc>
      </w:tr>
      <w:tr>
        <w:trPr>
          <w:trHeight w:val="210"/>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principal</w:t>
            </w:r>
          </w:p>
        </w:tc>
        <w:tc>
          <w:tcPr>
            <w:tcW w:w="3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34,311</w:t>
            </w:r>
          </w:p>
        </w:tc>
      </w:tr>
      <w:tr>
        <w:trPr>
          <w:trHeight w:val="196"/>
        </w:trPr>
        <w:tc>
          <w:tcPr>
            <w:tcW w:w="7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Unamortized discount and deferred issuance costs</w:t>
            </w:r>
          </w:p>
        </w:tc>
        <w:tc>
          <w:tcPr>
            <w:tcW w:w="3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(1,732)</w:t>
            </w:r>
          </w:p>
        </w:tc>
      </w:tr>
      <w:tr>
        <w:trPr>
          <w:trHeight w:val="209"/>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3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32,579</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Debt Redemption </w:t>
      </w:r>
      <w:r>
        <w:rPr>
          <w:rFonts w:ascii="Arial" w:cs="Arial" w:eastAsia="Arial" w:hAnsi="Arial"/>
          <w:sz w:val="18"/>
          <w:szCs w:val="18"/>
          <w:color w:val="auto"/>
        </w:rPr>
        <w:t>– On April 15, 2022, we redeemed all $750 million of outstanding 4.163% notes due July 15, 2022, at a redemption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principal amount of the notes plus accrued and unpaid interest.</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December 31, 2023, we had $2.0 billion of credit available under our revolving credit facility, which is designated for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corporate purposes and supports the issuance of commercial paper. Credit facility withdrawals totaled $0 during 2023.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ERISA, and unamortized debt discount and deferred debt issuance costs. At December 31, 2023, the Company was in compliance with the adjusted debt-to-EBITDA coverage ratio, which allows us to carry up to $44.4 billion of debt (as defined in the Facility), and we had $34.3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2023, we issued $1.4 billion and repaid $1.6 billion of commercial paper with maturities ranging from 11 to 64 days. As of December 31, 2023 and 2022, we had $ 0 and $200 million of commercial paper outstanding, respectively.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In 2022, the Board of Directors reauthorized the issuance of up to $12.0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of debt securities. Under our shelf registration, we may issue, from time to time, any combination of debt securities, preferred stock, common stock, or warrants for debt securities or preferred stock in one or more offerings.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issued the following unsecured, fixed-rate debt securities under our shelf registration: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Date</w:t>
            </w:r>
          </w:p>
        </w:tc>
        <w:tc>
          <w:tcPr>
            <w:tcW w:w="8240" w:type="dxa"/>
            <w:vAlign w:val="bottom"/>
            <w:tcBorders>
              <w:top w:val="single" w:sz="8" w:color="auto"/>
              <w:bottom w:val="single" w:sz="8" w:color="auto"/>
            </w:tcBorders>
            <w:gridSpan w:val="2"/>
          </w:tcPr>
          <w:p>
            <w:pPr>
              <w:ind w:left="1500"/>
              <w:spacing w:after="0"/>
              <w:rPr>
                <w:sz w:val="20"/>
                <w:szCs w:val="20"/>
                <w:color w:val="auto"/>
              </w:rPr>
            </w:pPr>
            <w:r>
              <w:rPr>
                <w:rFonts w:ascii="Arial" w:cs="Arial" w:eastAsia="Arial" w:hAnsi="Arial"/>
                <w:sz w:val="18"/>
                <w:szCs w:val="18"/>
                <w:i w:val="1"/>
                <w:iCs w:val="1"/>
                <w:color w:val="auto"/>
              </w:rPr>
              <w:t>Description of Securities</w:t>
            </w: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February 21, 2023</w:t>
            </w:r>
          </w:p>
        </w:tc>
        <w:tc>
          <w:tcPr>
            <w:tcW w:w="3340" w:type="dxa"/>
            <w:vAlign w:val="bottom"/>
            <w:shd w:val="clear" w:color="auto" w:fill="CCEEFF"/>
          </w:tcPr>
          <w:p>
            <w:pPr>
              <w:ind w:left="1500"/>
              <w:spacing w:after="0" w:line="196" w:lineRule="exact"/>
              <w:rPr>
                <w:sz w:val="20"/>
                <w:szCs w:val="20"/>
                <w:color w:val="auto"/>
              </w:rPr>
            </w:pPr>
            <w:r>
              <w:rPr>
                <w:rFonts w:ascii="Arial" w:cs="Arial" w:eastAsia="Arial" w:hAnsi="Arial"/>
                <w:sz w:val="18"/>
                <w:szCs w:val="18"/>
                <w:color w:val="auto"/>
                <w:w w:val="99"/>
              </w:rPr>
              <w:t>$0.50 billion of 4.750%</w:t>
            </w:r>
          </w:p>
        </w:tc>
        <w:tc>
          <w:tcPr>
            <w:tcW w:w="49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Notes due February 21, 2026</w:t>
            </w:r>
          </w:p>
        </w:tc>
      </w:tr>
      <w:tr>
        <w:trPr>
          <w:trHeight w:val="203"/>
        </w:trPr>
        <w:tc>
          <w:tcPr>
            <w:tcW w:w="30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ind w:left="1500"/>
              <w:spacing w:after="0" w:line="202" w:lineRule="exact"/>
              <w:rPr>
                <w:sz w:val="20"/>
                <w:szCs w:val="20"/>
                <w:color w:val="auto"/>
              </w:rPr>
            </w:pPr>
            <w:r>
              <w:rPr>
                <w:rFonts w:ascii="Arial" w:cs="Arial" w:eastAsia="Arial" w:hAnsi="Arial"/>
                <w:sz w:val="18"/>
                <w:szCs w:val="18"/>
                <w:color w:val="auto"/>
                <w:w w:val="99"/>
              </w:rPr>
              <w:t>$0.50 billion of 4.950%</w:t>
            </w:r>
          </w:p>
        </w:tc>
        <w:tc>
          <w:tcPr>
            <w:tcW w:w="490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Notes due May 15, 2053</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used the net proceeds from the offerings for general corporate purposes, including the repurchase of common stock pursuant to our share repurchase programs. These debt securities include change-of-control provisions. At December 31, 2023, we had remaining authority to issue up to $5.6 billion of debt securities under our shelf registration.</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December 31, 2023 and 2022, we recorded $0 and $100 million, respectively, of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Receivables Facility, as secured debt. (See further discussion of our "Receivables Securitization Facility" section in Note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entered into various lease transactions in which the structure of the leases contain variable interest entities (VIEs). These VIEs were created solely for the purpose of doing lease transactions (principally involving railroad equipment and facilities) and have no other activities, assets, or liabilities outside of the lease transactions. Within these lease arrangements, we have the right to purchase some or all of the assets at fixed prices. Depending on market conditions, fixed-price purchase options available in the leases could potentially provide benefits to us; however, these benefits are not expected to be significant.</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maintain and operate the assets based on contractual obligations within the lease arrangements, which set specific guidelines consistent within the railroad industry. As such, we have no control over activities that could materially impact the fair value of the leased assets. We do not hold the power to direct the activities of the VIEs and, therefore, do not control the ongoing activities that have a significant impact on the economic performance of the VIEs. Additionally, we do not have the obligation to absorb losses of the VIEs or the right to receive benefits of the VIEs that could potentially be significant to the VIEs.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considered to be the primary beneficiary and do not consolidate these VIEs because our actions and decisions do not have the most significant effect on the VIE’s performance and our fixed-price purchase options are not considered to be potentially significant to the VIEs. The future minimum lease payments associated with the VIE leases totaled $831 million as of December 31, 2023, and are recorded as operating lease liabilities at present value in our Consolidated Statements of Financial Position.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lease certain locomotives, freight cars, and other property for use in our rail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additional details related to our lease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top w:val="single" w:sz="8" w:color="auto"/>
            </w:tcBorders>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Dec. 31,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Dec. 31,</w:t>
            </w:r>
          </w:p>
        </w:tc>
      </w:tr>
      <w:tr>
        <w:trPr>
          <w:trHeight w:val="21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5500" w:type="dxa"/>
            <w:vAlign w:val="bottom"/>
            <w:tcBorders>
              <w:bottom w:val="single" w:sz="8" w:color="auto"/>
            </w:tcBorders>
          </w:tcPr>
          <w:p>
            <w:pPr>
              <w:ind w:left="800"/>
              <w:spacing w:after="0"/>
              <w:rPr>
                <w:sz w:val="20"/>
                <w:szCs w:val="20"/>
                <w:color w:val="auto"/>
              </w:rPr>
            </w:pPr>
            <w:r>
              <w:rPr>
                <w:rFonts w:ascii="Arial" w:cs="Arial" w:eastAsia="Arial" w:hAnsi="Arial"/>
                <w:sz w:val="18"/>
                <w:szCs w:val="18"/>
                <w:i w:val="1"/>
                <w:iCs w:val="1"/>
                <w:color w:val="auto"/>
              </w:rPr>
              <w:t>Classification</w:t>
            </w: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480" w:type="dxa"/>
            <w:vAlign w:val="bottom"/>
          </w:tcPr>
          <w:p>
            <w:pPr>
              <w:ind w:left="340"/>
              <w:spacing w:after="0" w:line="202" w:lineRule="exact"/>
              <w:rPr>
                <w:sz w:val="20"/>
                <w:szCs w:val="20"/>
                <w:color w:val="auto"/>
              </w:rPr>
            </w:pPr>
            <w:r>
              <w:rPr>
                <w:rFonts w:ascii="Arial" w:cs="Arial" w:eastAsia="Arial" w:hAnsi="Arial"/>
                <w:sz w:val="18"/>
                <w:szCs w:val="18"/>
                <w:color w:val="auto"/>
              </w:rPr>
              <w:t>Operating leases</w:t>
            </w:r>
          </w:p>
        </w:tc>
        <w:tc>
          <w:tcPr>
            <w:tcW w:w="5500" w:type="dxa"/>
            <w:vAlign w:val="bottom"/>
          </w:tcPr>
          <w:p>
            <w:pPr>
              <w:ind w:left="800"/>
              <w:spacing w:after="0" w:line="202" w:lineRule="exact"/>
              <w:rPr>
                <w:sz w:val="20"/>
                <w:szCs w:val="20"/>
                <w:color w:val="auto"/>
              </w:rPr>
            </w:pPr>
            <w:r>
              <w:rPr>
                <w:rFonts w:ascii="Arial" w:cs="Arial" w:eastAsia="Arial" w:hAnsi="Arial"/>
                <w:sz w:val="18"/>
                <w:szCs w:val="18"/>
                <w:color w:val="auto"/>
              </w:rPr>
              <w:t>Operating lease assets</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1,643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1,672</w:t>
            </w:r>
          </w:p>
        </w:tc>
      </w:tr>
      <w:tr>
        <w:trPr>
          <w:trHeight w:val="203"/>
        </w:trPr>
        <w:tc>
          <w:tcPr>
            <w:tcW w:w="248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Finance leases</w:t>
            </w:r>
          </w:p>
        </w:tc>
        <w:tc>
          <w:tcPr>
            <w:tcW w:w="5500" w:type="dxa"/>
            <w:vAlign w:val="bottom"/>
            <w:tcBorders>
              <w:bottom w:val="single" w:sz="8" w:color="auto"/>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Properties, net [a]</w:t>
            </w:r>
          </w:p>
        </w:tc>
        <w:tc>
          <w:tcPr>
            <w:tcW w:w="1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244</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310</w:t>
            </w:r>
          </w:p>
        </w:tc>
      </w:tr>
      <w:tr>
        <w:trPr>
          <w:trHeight w:val="210"/>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leased assets</w:t>
            </w:r>
          </w:p>
        </w:tc>
        <w:tc>
          <w:tcPr>
            <w:tcW w:w="5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1,982</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5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480" w:type="dxa"/>
            <w:vAlign w:val="bottom"/>
          </w:tcPr>
          <w:p>
            <w:pPr>
              <w:ind w:left="180"/>
              <w:spacing w:after="0" w:line="202" w:lineRule="exact"/>
              <w:rPr>
                <w:sz w:val="20"/>
                <w:szCs w:val="20"/>
                <w:color w:val="auto"/>
              </w:rPr>
            </w:pPr>
            <w:r>
              <w:rPr>
                <w:rFonts w:ascii="Arial" w:cs="Arial" w:eastAsia="Arial" w:hAnsi="Arial"/>
                <w:sz w:val="18"/>
                <w:szCs w:val="18"/>
                <w:color w:val="auto"/>
              </w:rPr>
              <w:t>Current</w:t>
            </w:r>
          </w:p>
        </w:tc>
        <w:tc>
          <w:tcPr>
            <w:tcW w:w="5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Operating</w:t>
            </w:r>
          </w:p>
        </w:tc>
        <w:tc>
          <w:tcPr>
            <w:tcW w:w="55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355</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2480" w:type="dxa"/>
            <w:vAlign w:val="bottom"/>
          </w:tcPr>
          <w:p>
            <w:pPr>
              <w:ind w:left="340"/>
              <w:spacing w:after="0" w:line="202" w:lineRule="exact"/>
              <w:rPr>
                <w:sz w:val="20"/>
                <w:szCs w:val="20"/>
                <w:color w:val="auto"/>
              </w:rPr>
            </w:pPr>
            <w:r>
              <w:rPr>
                <w:rFonts w:ascii="Arial" w:cs="Arial" w:eastAsia="Arial" w:hAnsi="Arial"/>
                <w:sz w:val="18"/>
                <w:szCs w:val="18"/>
                <w:color w:val="auto"/>
              </w:rPr>
              <w:t>Finance</w:t>
            </w:r>
          </w:p>
        </w:tc>
        <w:tc>
          <w:tcPr>
            <w:tcW w:w="5500" w:type="dxa"/>
            <w:vAlign w:val="bottom"/>
          </w:tcPr>
          <w:p>
            <w:pPr>
              <w:ind w:left="800"/>
              <w:spacing w:after="0" w:line="202" w:lineRule="exact"/>
              <w:rPr>
                <w:sz w:val="20"/>
                <w:szCs w:val="20"/>
                <w:color w:val="auto"/>
              </w:rPr>
            </w:pPr>
            <w:r>
              <w:rPr>
                <w:rFonts w:ascii="Arial" w:cs="Arial" w:eastAsia="Arial" w:hAnsi="Arial"/>
                <w:sz w:val="18"/>
                <w:szCs w:val="18"/>
                <w:color w:val="auto"/>
              </w:rPr>
              <w:t>Debt due within one year</w:t>
            </w:r>
          </w:p>
        </w:tc>
        <w:tc>
          <w:tcPr>
            <w:tcW w:w="130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w:t>
            </w:r>
          </w:p>
        </w:tc>
      </w:tr>
      <w:tr>
        <w:trPr>
          <w:trHeight w:val="203"/>
        </w:trPr>
        <w:tc>
          <w:tcPr>
            <w:tcW w:w="24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Noncurrent</w:t>
            </w:r>
          </w:p>
        </w:tc>
        <w:tc>
          <w:tcPr>
            <w:tcW w:w="5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480" w:type="dxa"/>
            <w:vAlign w:val="bottom"/>
          </w:tcPr>
          <w:p>
            <w:pPr>
              <w:ind w:left="340"/>
              <w:spacing w:after="0" w:line="202" w:lineRule="exact"/>
              <w:rPr>
                <w:sz w:val="20"/>
                <w:szCs w:val="20"/>
                <w:color w:val="auto"/>
              </w:rPr>
            </w:pPr>
            <w:r>
              <w:rPr>
                <w:rFonts w:ascii="Arial" w:cs="Arial" w:eastAsia="Arial" w:hAnsi="Arial"/>
                <w:sz w:val="18"/>
                <w:szCs w:val="18"/>
                <w:color w:val="auto"/>
              </w:rPr>
              <w:t>Operating</w:t>
            </w:r>
          </w:p>
        </w:tc>
        <w:tc>
          <w:tcPr>
            <w:tcW w:w="5500" w:type="dxa"/>
            <w:vAlign w:val="bottom"/>
          </w:tcPr>
          <w:p>
            <w:pPr>
              <w:ind w:left="800"/>
              <w:spacing w:after="0" w:line="202" w:lineRule="exact"/>
              <w:rPr>
                <w:sz w:val="20"/>
                <w:szCs w:val="20"/>
                <w:color w:val="auto"/>
              </w:rPr>
            </w:pPr>
            <w:r>
              <w:rPr>
                <w:rFonts w:ascii="Arial" w:cs="Arial" w:eastAsia="Arial" w:hAnsi="Arial"/>
                <w:sz w:val="18"/>
                <w:szCs w:val="18"/>
                <w:color w:val="auto"/>
              </w:rPr>
              <w:t>Operating lease liabilities</w:t>
            </w:r>
          </w:p>
        </w:tc>
        <w:tc>
          <w:tcPr>
            <w:tcW w:w="130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1,245</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w:t>
            </w:r>
          </w:p>
        </w:tc>
      </w:tr>
      <w:tr>
        <w:trPr>
          <w:trHeight w:val="203"/>
        </w:trPr>
        <w:tc>
          <w:tcPr>
            <w:tcW w:w="248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Finance</w:t>
            </w:r>
          </w:p>
        </w:tc>
        <w:tc>
          <w:tcPr>
            <w:tcW w:w="5500" w:type="dxa"/>
            <w:vAlign w:val="bottom"/>
            <w:tcBorders>
              <w:bottom w:val="single" w:sz="8" w:color="auto"/>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Debt due after one year</w:t>
            </w:r>
          </w:p>
        </w:tc>
        <w:tc>
          <w:tcPr>
            <w:tcW w:w="1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109</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w:t>
            </w:r>
          </w:p>
        </w:tc>
      </w:tr>
      <w:tr>
        <w:trPr>
          <w:trHeight w:val="20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lease liabilities</w:t>
            </w:r>
          </w:p>
        </w:tc>
        <w:tc>
          <w:tcPr>
            <w:tcW w:w="5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1,865</w:t>
            </w:r>
          </w:p>
        </w:tc>
      </w:tr>
    </w:tbl>
    <w:p>
      <w:pPr>
        <w:spacing w:after="0" w:line="10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Finance lease assets are recorded net of accumulated amortization of $497 million and $658 million as of December 31,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lease cost components are classified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
              <w:spacing w:after="0" w:line="186" w:lineRule="exact"/>
              <w:rPr>
                <w:sz w:val="20"/>
                <w:szCs w:val="20"/>
                <w:color w:val="auto"/>
              </w:rPr>
            </w:pPr>
            <w:r>
              <w:rPr>
                <w:rFonts w:ascii="Arial" w:cs="Arial" w:eastAsia="Arial" w:hAnsi="Arial"/>
                <w:sz w:val="18"/>
                <w:szCs w:val="18"/>
                <w:b w:val="1"/>
                <w:bCs w:val="1"/>
                <w:i w:val="1"/>
                <w:iCs w:val="1"/>
                <w:color w:val="auto"/>
              </w:rPr>
              <w:t>Dec 31,</w:t>
            </w: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233"/>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3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i w:val="1"/>
                <w:iCs w:val="1"/>
                <w:color w:val="auto"/>
              </w:rPr>
              <w:t xml:space="preserve">2023 </w:t>
            </w:r>
            <w:r>
              <w:rPr>
                <w:rFonts w:ascii="Arial" w:cs="Arial" w:eastAsia="Arial" w:hAnsi="Arial"/>
                <w:sz w:val="18"/>
                <w:szCs w:val="18"/>
                <w:i w:val="1"/>
                <w:iCs w:val="1"/>
                <w:color w:val="auto"/>
              </w:rPr>
              <w:t>Dec 31, 2022</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 [a]</w:t>
            </w:r>
          </w:p>
        </w:tc>
        <w:tc>
          <w:tcPr>
            <w:tcW w:w="3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369</w:t>
            </w:r>
          </w:p>
        </w:tc>
        <w:tc>
          <w:tcPr>
            <w:tcW w:w="4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Short-term lease cost</w:t>
            </w:r>
          </w:p>
        </w:tc>
        <w:tc>
          <w:tcPr>
            <w:tcW w:w="336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3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41</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leased assets [b]</w:t>
            </w:r>
          </w:p>
        </w:tc>
        <w:tc>
          <w:tcPr>
            <w:tcW w:w="3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38</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w:t>
            </w:r>
          </w:p>
        </w:tc>
      </w:tr>
      <w:tr>
        <w:trPr>
          <w:trHeight w:val="203"/>
        </w:trPr>
        <w:tc>
          <w:tcPr>
            <w:tcW w:w="59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Interest on lease liabilities [c]</w:t>
            </w:r>
          </w:p>
        </w:tc>
        <w:tc>
          <w:tcPr>
            <w:tcW w:w="3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w:t>
            </w:r>
          </w:p>
        </w:tc>
      </w:tr>
      <w:tr>
        <w:trPr>
          <w:trHeight w:val="210"/>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bl>
    <w:p>
      <w:pPr>
        <w:spacing w:after="0" w:line="10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 is primarily reported in equipment and other rents in our Consolidated Statements of Income.</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of leased assets is reported in depreciation in our Consolidated Statements of Income.</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lease liabilities is reported in interest expense in our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aggregate lease maturities as of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0"/>
              <w:spacing w:after="0" w:line="186" w:lineRule="exact"/>
              <w:rPr>
                <w:sz w:val="20"/>
                <w:szCs w:val="20"/>
                <w:color w:val="auto"/>
              </w:rPr>
            </w:pPr>
            <w:r>
              <w:rPr>
                <w:rFonts w:ascii="Arial" w:cs="Arial" w:eastAsia="Arial" w:hAnsi="Arial"/>
                <w:sz w:val="18"/>
                <w:szCs w:val="18"/>
                <w:i w:val="1"/>
                <w:iCs w:val="1"/>
                <w:color w:val="auto"/>
              </w:rPr>
              <w:t>Operating</w:t>
            </w:r>
          </w:p>
        </w:tc>
        <w:tc>
          <w:tcPr>
            <w:tcW w:w="5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23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37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i w:val="1"/>
                <w:iCs w:val="1"/>
                <w:color w:val="auto"/>
              </w:rPr>
              <w:t>Leases Finance Leases</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37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361</w:t>
            </w:r>
          </w:p>
        </w:tc>
        <w:tc>
          <w:tcPr>
            <w:tcW w:w="5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416</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7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375</w:t>
            </w:r>
          </w:p>
        </w:tc>
        <w:tc>
          <w:tcPr>
            <w:tcW w:w="58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417</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296</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70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237</w:t>
            </w:r>
          </w:p>
        </w:tc>
        <w:tc>
          <w:tcPr>
            <w:tcW w:w="58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w:t>
            </w:r>
          </w:p>
        </w:tc>
        <w:tc>
          <w:tcPr>
            <w:tcW w:w="3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r>
      <w:tr>
        <w:trPr>
          <w:trHeight w:val="216"/>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After 2028</w:t>
            </w:r>
          </w:p>
        </w:tc>
        <w:tc>
          <w:tcPr>
            <w:tcW w:w="3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209"/>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r>
      <w:tr>
        <w:trPr>
          <w:trHeight w:val="196"/>
        </w:trPr>
        <w:tc>
          <w:tcPr>
            <w:tcW w:w="4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Less: Interest</w:t>
            </w:r>
          </w:p>
        </w:tc>
        <w:tc>
          <w:tcPr>
            <w:tcW w:w="3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168</w:t>
            </w: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183</w:t>
            </w:r>
          </w:p>
        </w:tc>
      </w:tr>
      <w:tr>
        <w:trPr>
          <w:trHeight w:val="210"/>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r>
      <w:tr>
        <w:trPr>
          <w:trHeight w:val="429"/>
        </w:trPr>
        <w:tc>
          <w:tcPr>
            <w:tcW w:w="4020" w:type="dxa"/>
            <w:vAlign w:val="bottom"/>
          </w:tcPr>
          <w:p>
            <w:pPr>
              <w:spacing w:after="0"/>
              <w:rPr>
                <w:sz w:val="24"/>
                <w:szCs w:val="24"/>
                <w:color w:val="auto"/>
              </w:rPr>
            </w:pPr>
          </w:p>
        </w:tc>
        <w:tc>
          <w:tcPr>
            <w:tcW w:w="3700" w:type="dxa"/>
            <w:vAlign w:val="bottom"/>
          </w:tcPr>
          <w:p>
            <w:pPr>
              <w:jc w:val="right"/>
              <w:ind w:right="1910"/>
              <w:spacing w:after="0"/>
              <w:rPr>
                <w:sz w:val="20"/>
                <w:szCs w:val="20"/>
                <w:color w:val="auto"/>
              </w:rPr>
            </w:pPr>
            <w:r>
              <w:rPr>
                <w:rFonts w:ascii="Arial" w:cs="Arial" w:eastAsia="Arial" w:hAnsi="Arial"/>
                <w:sz w:val="18"/>
                <w:szCs w:val="18"/>
                <w:color w:val="auto"/>
              </w:rPr>
              <w:t>68</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98"/>
        </w:trPr>
        <w:tc>
          <w:tcPr>
            <w:tcW w:w="402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Dec. 31,</w:t>
            </w:r>
          </w:p>
        </w:tc>
      </w:tr>
      <w:tr>
        <w:trPr>
          <w:trHeight w:val="219"/>
        </w:trPr>
        <w:tc>
          <w:tcPr>
            <w:tcW w:w="7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leases</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Finance leases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Weighted-average discount rate (%)</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16"/>
        </w:trPr>
        <w:tc>
          <w:tcPr>
            <w:tcW w:w="7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Finance leases</w:t>
            </w:r>
          </w:p>
        </w:tc>
        <w:tc>
          <w:tcPr>
            <w:tcW w:w="2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r>
      <w:tr>
        <w:trPr>
          <w:trHeight w:val="416"/>
        </w:trPr>
        <w:tc>
          <w:tcPr>
            <w:tcW w:w="10140" w:type="dxa"/>
            <w:vAlign w:val="bottom"/>
            <w:gridSpan w:val="3"/>
          </w:tcPr>
          <w:p>
            <w:pPr>
              <w:spacing w:after="0"/>
              <w:rPr>
                <w:sz w:val="20"/>
                <w:szCs w:val="20"/>
                <w:color w:val="auto"/>
              </w:rPr>
            </w:pPr>
            <w:r>
              <w:rPr>
                <w:rFonts w:ascii="Arial" w:cs="Arial" w:eastAsia="Arial" w:hAnsi="Arial"/>
                <w:sz w:val="18"/>
                <w:szCs w:val="18"/>
                <w:color w:val="auto"/>
              </w:rPr>
              <w:t>The following table presents other information related to our operating and finance leases for the years ended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5"/>
        </w:trPr>
        <w:tc>
          <w:tcPr>
            <w:tcW w:w="7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9"/>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0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319</w:t>
            </w:r>
          </w:p>
        </w:tc>
      </w:tr>
      <w:tr>
        <w:trPr>
          <w:trHeight w:val="203"/>
        </w:trPr>
        <w:tc>
          <w:tcPr>
            <w:tcW w:w="7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Investing cash flows from operating leases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33</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06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7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Financing cash flows from finance leases</w:t>
            </w:r>
          </w:p>
        </w:tc>
        <w:tc>
          <w:tcPr>
            <w:tcW w:w="20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65</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Leased assets obtained in exchange for finance lease liabilities</w:t>
            </w:r>
          </w:p>
        </w:tc>
        <w:tc>
          <w:tcPr>
            <w:tcW w:w="206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6"/>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 assets obtained in exchange for operating lease liabilities</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Union Pacific and the plaintiff are currently in the discovery phase. While we believe that we have strong defenses to the claims made in the complaint and will vigorously defend ourselves, there is no assurance regarding the ultimate outcome. Therefore, the outcome of this litigation is inherently uncertain, and we cannot reasonably estimate any loss or range of loss that may arise from this matter.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Approximately 95% of the recorded liability is related to asserted claims and approximately 5% is related to unasserted claims at December 31, 2023. Because of the uncertainty surrounding the ultimate outcome of personal injury claims, it is reasonably possible that future costs to settle these claims may range from approximately $383 million to $494 million. We record an accrual at the low end of the range as no amount of loss within the range is more probable than any other. Estimates can vary over time due to evolving trends in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36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6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361</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325</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270</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Current year accruals</w:t>
            </w:r>
          </w:p>
        </w:tc>
        <w:tc>
          <w:tcPr>
            <w:tcW w:w="360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112</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107</w:t>
            </w: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w:t>
            </w: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estimates for prior years</w:t>
            </w:r>
          </w:p>
        </w:tc>
        <w:tc>
          <w:tcPr>
            <w:tcW w:w="36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89</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w:t>
            </w: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3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9"/>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 at December 31</w:t>
            </w:r>
          </w:p>
        </w:tc>
        <w:tc>
          <w:tcPr>
            <w:tcW w:w="3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portion, ending balance at December 31</w:t>
            </w:r>
          </w:p>
        </w:tc>
        <w:tc>
          <w:tcPr>
            <w:tcW w:w="3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416"/>
        </w:trPr>
        <w:tc>
          <w:tcPr>
            <w:tcW w:w="4700" w:type="dxa"/>
            <w:vAlign w:val="bottom"/>
          </w:tcPr>
          <w:p>
            <w:pPr>
              <w:spacing w:after="0"/>
              <w:rPr>
                <w:sz w:val="24"/>
                <w:szCs w:val="24"/>
                <w:color w:val="auto"/>
              </w:rPr>
            </w:pPr>
          </w:p>
        </w:tc>
        <w:tc>
          <w:tcPr>
            <w:tcW w:w="3600" w:type="dxa"/>
            <w:vAlign w:val="bottom"/>
          </w:tcPr>
          <w:p>
            <w:pPr>
              <w:jc w:val="right"/>
              <w:ind w:right="2490"/>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8"/>
        </w:trPr>
        <w:tc>
          <w:tcPr>
            <w:tcW w:w="470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333 sites</w:t>
      </w:r>
      <w:r>
        <w:rPr>
          <w:rFonts w:ascii="Arial" w:cs="Arial" w:eastAsia="Arial" w:hAnsi="Arial"/>
          <w:sz w:val="18"/>
          <w:szCs w:val="18"/>
          <w:b w:val="1"/>
          <w:bCs w:val="1"/>
          <w:color w:val="auto"/>
        </w:rPr>
        <w:t xml:space="preserve"> </w:t>
      </w:r>
      <w:r>
        <w:rPr>
          <w:rFonts w:ascii="Arial" w:cs="Arial" w:eastAsia="Arial" w:hAnsi="Arial"/>
          <w:sz w:val="18"/>
          <w:szCs w:val="18"/>
          <w:color w:val="auto"/>
        </w:rPr>
        <w:t>where we are or may be liable for remediation costs associated with alleged contamination or for violations of environmental requirements. This includes 32 sites that are the subject of actions taken by the U.S. government, including 20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2021</w:t>
            </w: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253</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233</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2380" w:type="dxa"/>
            <w:vAlign w:val="bottom"/>
          </w:tcPr>
          <w:p>
            <w:pPr>
              <w:spacing w:after="0"/>
              <w:rPr>
                <w:sz w:val="17"/>
                <w:szCs w:val="17"/>
                <w:color w:val="auto"/>
              </w:rPr>
            </w:pPr>
          </w:p>
        </w:tc>
        <w:tc>
          <w:tcPr>
            <w:tcW w:w="7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99</w:t>
            </w:r>
          </w:p>
        </w:tc>
        <w:tc>
          <w:tcPr>
            <w:tcW w:w="360" w:type="dxa"/>
            <w:vAlign w:val="bottom"/>
          </w:tcPr>
          <w:p>
            <w:pPr>
              <w:spacing w:after="0"/>
              <w:rPr>
                <w:sz w:val="17"/>
                <w:szCs w:val="17"/>
                <w:color w:val="auto"/>
              </w:rPr>
            </w:pP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84</w:t>
            </w: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2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 at December 31</w:t>
            </w:r>
          </w:p>
        </w:tc>
        <w:tc>
          <w:tcPr>
            <w:tcW w:w="2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245</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r>
      <w:tr>
        <w:trPr>
          <w:trHeight w:val="209"/>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portion, ending balance at December 31</w:t>
            </w:r>
          </w:p>
        </w:tc>
        <w:tc>
          <w:tcPr>
            <w:tcW w:w="2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 The Company has a consolidated, wholly-owned captive insurance subsidiary (the Captive), that provides insurance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for certain risks including general liability, property, cyber, and FELA claims that are subject to reinsurance. The Captive entered into annual reinsurance treaty agreements that insure workers compensation, general liability, auto liability, and FELA risk. The Captive cedes a portion of its FELA exposure through the treaty and assumes a proportionate share of the entire risk. The Captive receives direct premiums, which are netted against the Company’s premium costs in other expenses in the Consolidated Statements of Income. The treaty agreements provide for certain protections against the risk of treaty participants’ non-performance, and we do not believe our exposure to treaty participants’ non-performance is material at this time. We record both liabilities and reinsurance receivables using an actuarial analysis based on historical experience in our Consolidated Statements of Financial Position. Effective January 2019, the Captive insurance subsidiary no longer participates in the reinsurance treaty agreement. The Company established a trust in the fourth quarter of 2018 for the purpose of providing collateral as required under the reinsurance treaty agreement for prior years’ participation.</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Repurchase Programs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Effective April 1, 2022, our Board of Directors authorized the repurchase of up to 100 million shares of our common stock by March 31, 2025. As of December 31, 2023, we repurchased a total of 19.6 million shares of our common stock under the 2022 authorization. These repurchases may be made on the open market or through other transactions. Our management has sole discretion with respect to determining the timing and amount of these transactions.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previous authorization, which was effective April 1, 2019, through March 31, 2022, was approved by our Board of Directors for up to 150 million shares of common stock. As of March 31, 2022, we repurchased a total of 83.3 million shares of our common stock under the 2019 authorization.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during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Number of Shares Purchased</w:t>
            </w:r>
          </w:p>
        </w:tc>
        <w:tc>
          <w:tcPr>
            <w:tcW w:w="220" w:type="dxa"/>
            <w:vAlign w:val="bottom"/>
            <w:tcBorders>
              <w:top w:val="single" w:sz="8" w:color="auto"/>
            </w:tcBorders>
          </w:tcPr>
          <w:p>
            <w:pPr>
              <w:spacing w:after="0"/>
              <w:rPr>
                <w:sz w:val="19"/>
                <w:szCs w:val="19"/>
                <w:color w:val="auto"/>
              </w:rPr>
            </w:pPr>
          </w:p>
        </w:tc>
        <w:tc>
          <w:tcPr>
            <w:tcW w:w="20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rPr>
              <w:t>Average Price Paid [a]</w:t>
            </w:r>
          </w:p>
        </w:tc>
      </w:tr>
      <w:tr>
        <w:trPr>
          <w:trHeight w:val="210"/>
        </w:trPr>
        <w:tc>
          <w:tcPr>
            <w:tcW w:w="5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i w:val="1"/>
                <w:iCs w:val="1"/>
                <w:color w:val="auto"/>
              </w:rPr>
              <w:t>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2023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2022</w:t>
            </w:r>
          </w:p>
        </w:tc>
      </w:tr>
      <w:tr>
        <w:trPr>
          <w:trHeight w:val="196"/>
        </w:trPr>
        <w:tc>
          <w:tcPr>
            <w:tcW w:w="6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First quarter [b]</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b w:val="1"/>
                <w:bCs w:val="1"/>
                <w:color w:val="auto"/>
              </w:rPr>
              <w:t>2,908,703</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11,014,201</w:t>
            </w:r>
          </w:p>
        </w:tc>
        <w:tc>
          <w:tcPr>
            <w:tcW w:w="100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$203.19</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249.95</w:t>
            </w: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[c]</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606,581</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3,100,683</w:t>
            </w: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199.81</w:t>
            </w:r>
          </w:p>
        </w:tc>
        <w:tc>
          <w:tcPr>
            <w:tcW w:w="2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232.87</w:t>
            </w:r>
          </w:p>
        </w:tc>
      </w:tr>
      <w:tr>
        <w:trPr>
          <w:trHeight w:val="203"/>
        </w:trPr>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9,490,339</w:t>
            </w: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221.52</w:t>
            </w:r>
          </w:p>
        </w:tc>
      </w:tr>
      <w:tr>
        <w:trPr>
          <w:trHeight w:val="216"/>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Fourth quarter</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3,501,667</w:t>
            </w: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201.33</w:t>
            </w:r>
          </w:p>
        </w:tc>
      </w:tr>
      <w:tr>
        <w:trPr>
          <w:trHeight w:val="209"/>
        </w:trPr>
        <w:tc>
          <w:tcPr>
            <w:tcW w:w="6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3,515,284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27,106,890</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231.76</w:t>
            </w:r>
          </w:p>
        </w:tc>
      </w:tr>
      <w:tr>
        <w:trPr>
          <w:trHeight w:val="210"/>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Remaining number of shares that may be repurchased under current authority</w:t>
            </w:r>
          </w:p>
        </w:tc>
        <w:tc>
          <w:tcPr>
            <w:tcW w:w="1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80,392,027</w:t>
            </w:r>
          </w:p>
        </w:tc>
      </w:tr>
    </w:tbl>
    <w:p>
      <w:pPr>
        <w:spacing w:after="0" w:line="109" w:lineRule="exact"/>
        <w:rPr>
          <w:sz w:val="20"/>
          <w:szCs w:val="20"/>
          <w:color w:val="auto"/>
        </w:rPr>
      </w:pPr>
    </w:p>
    <w:p>
      <w:pPr>
        <w:jc w:val="both"/>
        <w:ind w:left="340" w:hanging="332"/>
        <w:spacing w:after="0" w:line="252"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paid under the accelerated share repurchase programs is calculated based on the total program value less the value assigned to the initial delivery of shares. The average price of the completed 2022 accelerated share repurchase programs was $248.32.</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7,012,232 shares repurchased in 2022 under accelerated share repurchase programs.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an incremental 1,847,185 shares received upon final settlement in 2022 under accelerated share repurchase programs.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Management's assessments of market conditions and other pertinent factors guide the timing, manner,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fees, and excise taxes.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Accelerated Share Repurchase Programs </w:t>
      </w:r>
      <w:r>
        <w:rPr>
          <w:rFonts w:ascii="Arial" w:cs="Arial" w:eastAsia="Arial" w:hAnsi="Arial"/>
          <w:sz w:val="18"/>
          <w:szCs w:val="18"/>
          <w:color w:val="auto"/>
        </w:rPr>
        <w:t>– The Company has established accelerated share repurchase programs (ASRs) with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18, 2022, the Company received 7,012,232 shares of its common stock repurchased under ASRs for an aggregate of $2.2 billion. Upon settlement of these ASRs in the second quarter of 2022, we received 1,847,185 additional shares.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and voting interest in TTX while the other North American railroads own the remaining interest. In accordance with ASC 323 </w:t>
      </w:r>
      <w:r>
        <w:rPr>
          <w:rFonts w:ascii="Arial" w:cs="Arial" w:eastAsia="Arial" w:hAnsi="Arial"/>
          <w:sz w:val="18"/>
          <w:szCs w:val="18"/>
          <w:i w:val="1"/>
          <w:iCs w:val="1"/>
          <w:color w:val="auto"/>
        </w:rPr>
        <w:t>Investments - 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w:t>
      </w:r>
      <w:r>
        <w:rPr>
          <w:rFonts w:ascii="Arial" w:cs="Arial" w:eastAsia="Arial" w:hAnsi="Arial"/>
          <w:sz w:val="18"/>
          <w:szCs w:val="18"/>
          <w:color w:val="auto"/>
        </w:rPr>
        <w:t>, UPRR applies the equity method of accounting to our investment in TTX.</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have the ability to utilize TTX rail cars through car hire by renting rail cars at stated rates.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UPRR had $1.8 billion and $1.7 billion recognized as investments related to TTX in our Consolidated Statements of Financial Position as of December 31, 2023 and 2022, respectively. TTX car hire expenses of $399 million in 2023, $402 million in 2022, and $375 million in 2021 are included in equipment and other rents in our Consolidated Statements of Income. In addition, UPRR had accounts payable to TTX of $60 million and $68 million at December 31,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management of Union Pacific Corporation and Subsidiary Companies (the Corporation) is responsible for establishing and maintaining adequate internal control over financial reporting (as defined in Exchange Act Rules 13a-15(f) and 15d-15(f)). The Corporation’s internal control system was designed to provide reasonable assurance to the Corporation’s management and Board of Directors regarding the preparation and fair presentation of published financial statements.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Corporation’s management assessed the effectiveness of the Corporation’s internal control over financial reporting as of December 31, 2023.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our assessment, management believes that, as of December 31, 2023, the Corporation’s internal control over financial reporting is effective based on those criteria.</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Corporation’s independent registered public accounting firm has issued an attestation report on the effectiveness of the Corporation’s internal control over financial reporting. This report appears on the next page.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February 8, 2024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right="5500"/>
        <w:spacing w:after="0" w:line="469" w:lineRule="auto"/>
        <w:rPr>
          <w:sz w:val="20"/>
          <w:szCs w:val="20"/>
          <w:color w:val="auto"/>
        </w:rPr>
      </w:pPr>
      <w:r>
        <w:rPr>
          <w:rFonts w:ascii="Arial" w:cs="Arial" w:eastAsia="Arial" w:hAnsi="Arial"/>
          <w:sz w:val="18"/>
          <w:szCs w:val="18"/>
          <w:color w:val="auto"/>
        </w:rPr>
        <w:t xml:space="preserve">To the Shareholders and Board of Directors of Union Pacific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audited the internal control over financial reporting of Union Pacific Corporation and Subsidiary Companies (the “Corporation”)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In our opinion, the Corporation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COSO.</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of the Corporation and our report dated February 9, 2024, expressed an unqualified opinion on those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Corporation’s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Annual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 Corporation’s internal control over financial reporting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9,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24, 2023, Elizabeth F. Whited, President, adopted a trading plan intended to satisfy Rule 10b5-1(c) to sell up to 7,500 shares of Union Pacific Corporation common stock, of which 7,500 are to be acquired upon the exercise of vested stock options, between February 14, 2024, and April 18, 2024, subject to certain conditions.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15, 2023, Todd M. Rynaski, Senior Vice President and Chief Accounting, Risk, and Compliance Officer, adopted a trading plan intended to satisfy Rule 10b5-1(c) to sell up to 5,271 shares of Union Pacific Corporation common stock, of which 5,271 are to be acquired upon the exercise of vested stock options, between March 15, 2024, and September 16, 2024, subject to certain conditions.</w:t>
      </w:r>
    </w:p>
    <w:p>
      <w:pPr>
        <w:spacing w:after="0" w:line="196" w:lineRule="exact"/>
        <w:rPr>
          <w:sz w:val="20"/>
          <w:szCs w:val="20"/>
          <w:color w:val="auto"/>
        </w:rPr>
      </w:pPr>
    </w:p>
    <w:p>
      <w:pPr>
        <w:ind w:right="4600"/>
        <w:spacing w:after="0" w:line="469" w:lineRule="auto"/>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u w:val="single" w:color="auto"/>
          <w:color w:val="auto"/>
        </w:rPr>
        <w:t>Disclosure Regarding Foreign Jurisdictions that Prevent Inspections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19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of Registrant.</w:t>
      </w:r>
    </w:p>
    <w:p>
      <w:pPr>
        <w:spacing w:after="0" w:line="198"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Information as to the names, ages, positions, and offices with UPC, terms of office, periods of service, business experience during the past five years, and certain other directorships held by each director or person nominated to become a director of UPC is set forth in the Election of Directors segment of the Proxy Statement and is incorporated herein by reference.</w:t>
      </w:r>
    </w:p>
    <w:p>
      <w:pPr>
        <w:spacing w:after="0" w:line="155"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Information concerning our Audit Committee and the independence of its members, along with information about the audit committee financial expert(s) serving on the Audit Committee, is set forth in the Audit Committee segment of the Proxy Statement and is incorporated herein by reference.</w:t>
      </w:r>
    </w:p>
    <w:p>
      <w:pPr>
        <w:spacing w:after="0" w:line="15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Officers of Registrant.</w:t>
      </w:r>
    </w:p>
    <w:p>
      <w:pPr>
        <w:spacing w:after="0" w:line="198" w:lineRule="exact"/>
        <w:rPr>
          <w:rFonts w:ascii="Arial" w:cs="Arial" w:eastAsia="Arial" w:hAnsi="Arial"/>
          <w:sz w:val="18"/>
          <w:szCs w:val="18"/>
          <w:color w:val="auto"/>
        </w:rPr>
      </w:pPr>
    </w:p>
    <w:p>
      <w:pPr>
        <w:ind w:left="340"/>
        <w:spacing w:after="0" w:line="271" w:lineRule="auto"/>
        <w:rPr>
          <w:rFonts w:ascii="Arial" w:cs="Arial" w:eastAsia="Arial" w:hAnsi="Arial"/>
          <w:sz w:val="18"/>
          <w:szCs w:val="18"/>
          <w:color w:val="auto"/>
        </w:rPr>
      </w:pPr>
      <w:r>
        <w:rPr>
          <w:rFonts w:ascii="Arial" w:cs="Arial" w:eastAsia="Arial" w:hAnsi="Arial"/>
          <w:sz w:val="18"/>
          <w:szCs w:val="18"/>
          <w:color w:val="auto"/>
        </w:rPr>
        <w:t>Information concerning the executive officers of UPC and its subsidiaries is presented in Part I of this report under Information About Our Executive Officers and Principal Executive Officers of Our Subsidiaries.</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Delinquent Section 16(a) Reports.</w:t>
      </w:r>
    </w:p>
    <w:p>
      <w:pPr>
        <w:spacing w:after="0" w:line="198" w:lineRule="exact"/>
        <w:rPr>
          <w:rFonts w:ascii="Arial" w:cs="Arial" w:eastAsia="Arial" w:hAnsi="Arial"/>
          <w:sz w:val="18"/>
          <w:szCs w:val="18"/>
          <w:color w:val="auto"/>
        </w:rPr>
      </w:pPr>
    </w:p>
    <w:p>
      <w:pPr>
        <w:ind w:left="340"/>
        <w:spacing w:after="0" w:line="271" w:lineRule="auto"/>
        <w:rPr>
          <w:rFonts w:ascii="Arial" w:cs="Arial" w:eastAsia="Arial" w:hAnsi="Arial"/>
          <w:sz w:val="18"/>
          <w:szCs w:val="18"/>
          <w:color w:val="auto"/>
        </w:rPr>
      </w:pPr>
      <w:r>
        <w:rPr>
          <w:rFonts w:ascii="Arial" w:cs="Arial" w:eastAsia="Arial" w:hAnsi="Arial"/>
          <w:sz w:val="18"/>
          <w:szCs w:val="18"/>
          <w:color w:val="auto"/>
        </w:rPr>
        <w:t>Information concerning compliance with Section 16(a) of the Securities Exchange Act of 1934 is set forth in the Delinquent Section 16(a) Reports segment of the Proxy Statement and is incorporated herein by reference.</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Code of Ethics for Chief Executive Officer and Senior Financial Officers of Registrant.</w:t>
      </w:r>
    </w:p>
    <w:p>
      <w:pPr>
        <w:spacing w:after="0" w:line="198"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The Board of Directors of UPC has adopted the UPC Code of Ethics for the Chief Executive Officer and Senior Financial Officers (the Code). A copy of the Code may be found on the Internet at our website www.up.com/investor/governance. We intend to disclose any amendments to the Code or any waiver from a provision of the Code on our website.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concerning compensation received by our directors and our named executive officers is presented in the Compensation Discussion and Analysis, Summary Compensation Table, Grants of Plan-Based Awards in Fiscal Year 2023, Outstanding Equity Awards at 2023 Fiscal Year-End, Option Exercises and Stock Vested in Fiscal Year 2023, Pension Benefits at 2023 Fiscal Year-End, Nonqualified Deferred Compensation at 2023 Fiscal Year-End, Potential Payments Upon Termination or Change in Control and Director Compensation in Fiscal Year 2023 segments of the Proxy Statement and is incorporated herein by reference. Additional information regarding compensation of directors, including Board committee members, is set forth in the By-Laws of UPC and the Stock Unit Grant and Deferred Compensation Plan for the Board of Directors, both of which are included as exhibits to this report. Information regarding the Compensation and Benefits Committee is set forth in the Compensation Committee segment of the Proxy Statement and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as to the number of shares of our equity securities beneficially owned by each of our directors and nominees for director, our named executive officers, our directors and executive officers as a group, and certain beneficial owners is set forth in the Security Ownership of Certain Beneficial Owners and Management segment of the Proxy Statement and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equity compensation plans under which UPC common stock may be issued as of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i w:val="1"/>
                <w:iCs w:val="1"/>
                <w:color w:val="auto"/>
              </w:rPr>
              <w:t>(a)</w:t>
            </w:r>
          </w:p>
        </w:tc>
        <w:tc>
          <w:tcPr>
            <w:tcW w:w="36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i w:val="1"/>
                <w:iCs w:val="1"/>
                <w:color w:val="auto"/>
              </w:rPr>
              <w:t>(b)</w:t>
            </w:r>
          </w:p>
        </w:tc>
        <w:tc>
          <w:tcPr>
            <w:tcW w:w="206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i w:val="1"/>
                <w:iCs w:val="1"/>
                <w:color w:val="auto"/>
              </w:rPr>
              <w:t>(c)</w:t>
            </w:r>
          </w:p>
        </w:tc>
        <w:tc>
          <w:tcPr>
            <w:tcW w:w="2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60" w:type="dxa"/>
            <w:vAlign w:val="bottom"/>
          </w:tcPr>
          <w:p>
            <w:pPr>
              <w:jc w:val="right"/>
              <w:spacing w:after="0" w:line="179" w:lineRule="exact"/>
              <w:rPr>
                <w:sz w:val="20"/>
                <w:szCs w:val="20"/>
                <w:color w:val="auto"/>
              </w:rPr>
            </w:pPr>
            <w:r>
              <w:rPr>
                <w:rFonts w:ascii="Arial" w:cs="Arial" w:eastAsia="Arial" w:hAnsi="Arial"/>
                <w:sz w:val="18"/>
                <w:szCs w:val="18"/>
                <w:i w:val="1"/>
                <w:iCs w:val="1"/>
                <w:color w:val="auto"/>
              </w:rPr>
              <w:t>Number of securities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remaining available for</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future issuance under</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Number of securities to</w:t>
            </w:r>
          </w:p>
        </w:tc>
        <w:tc>
          <w:tcPr>
            <w:tcW w:w="360" w:type="dxa"/>
            <w:vAlign w:val="bottom"/>
          </w:tcPr>
          <w:p>
            <w:pPr>
              <w:spacing w:after="0"/>
              <w:rPr>
                <w:sz w:val="17"/>
                <w:szCs w:val="17"/>
                <w:color w:val="auto"/>
              </w:rPr>
            </w:pP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Weighted-average</w:t>
            </w:r>
          </w:p>
        </w:tc>
        <w:tc>
          <w:tcPr>
            <w:tcW w:w="2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equity compensation</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be issued upon exercise</w:t>
            </w:r>
          </w:p>
        </w:tc>
        <w:tc>
          <w:tcPr>
            <w:tcW w:w="360" w:type="dxa"/>
            <w:vAlign w:val="bottom"/>
          </w:tcPr>
          <w:p>
            <w:pPr>
              <w:spacing w:after="0"/>
              <w:rPr>
                <w:sz w:val="17"/>
                <w:szCs w:val="17"/>
                <w:color w:val="auto"/>
              </w:rPr>
            </w:pP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exercise price of</w:t>
            </w:r>
          </w:p>
        </w:tc>
        <w:tc>
          <w:tcPr>
            <w:tcW w:w="2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plans (excluding</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of outstanding options,</w:t>
            </w:r>
          </w:p>
        </w:tc>
        <w:tc>
          <w:tcPr>
            <w:tcW w:w="360" w:type="dxa"/>
            <w:vAlign w:val="bottom"/>
          </w:tcPr>
          <w:p>
            <w:pPr>
              <w:spacing w:after="0"/>
              <w:rPr>
                <w:sz w:val="17"/>
                <w:szCs w:val="17"/>
                <w:color w:val="auto"/>
              </w:rPr>
            </w:pP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i w:val="1"/>
                <w:iCs w:val="1"/>
                <w:color w:val="auto"/>
              </w:rPr>
              <w:t>outstanding options,</w:t>
            </w:r>
          </w:p>
        </w:tc>
        <w:tc>
          <w:tcPr>
            <w:tcW w:w="2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securities reflected in</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Plan Category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warrants and rights</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warrants and rights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column (a))</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2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Equity compensation plans approved by security</w:t>
            </w:r>
          </w:p>
        </w:tc>
        <w:tc>
          <w:tcPr>
            <w:tcW w:w="2340" w:type="dxa"/>
            <w:vAlign w:val="bottom"/>
            <w:vMerge w:val="restart"/>
            <w:shd w:val="clear" w:color="auto" w:fill="CCEEFF"/>
          </w:tcPr>
          <w:p>
            <w:pPr>
              <w:ind w:left="1180"/>
              <w:spacing w:after="0"/>
              <w:rPr>
                <w:sz w:val="20"/>
                <w:szCs w:val="20"/>
                <w:color w:val="auto"/>
              </w:rPr>
            </w:pPr>
            <w:r>
              <w:rPr>
                <w:rFonts w:ascii="Arial" w:cs="Arial" w:eastAsia="Arial" w:hAnsi="Arial"/>
                <w:sz w:val="18"/>
                <w:szCs w:val="18"/>
                <w:color w:val="auto"/>
              </w:rPr>
              <w:t>2,438,300  [1]</w:t>
            </w:r>
          </w:p>
        </w:tc>
        <w:tc>
          <w:tcPr>
            <w:tcW w:w="3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147.06  [1]</w:t>
            </w: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31,979,909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1"/>
        </w:trPr>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holders</w:t>
            </w:r>
          </w:p>
        </w:tc>
        <w:tc>
          <w:tcPr>
            <w:tcW w:w="234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2000" w:type="dxa"/>
            <w:vAlign w:val="bottom"/>
            <w:vMerge w:val="continue"/>
            <w:shd w:val="clear" w:color="auto" w:fill="CCEEFF"/>
          </w:tcPr>
          <w:p>
            <w:pPr>
              <w:spacing w:after="0"/>
              <w:rPr>
                <w:sz w:val="11"/>
                <w:szCs w:val="11"/>
                <w:color w:val="auto"/>
              </w:rPr>
            </w:pPr>
          </w:p>
        </w:tc>
        <w:tc>
          <w:tcPr>
            <w:tcW w:w="206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20" w:type="dxa"/>
            <w:vAlign w:val="bottom"/>
            <w:tcBorders>
              <w:bottom w:val="single" w:sz="8" w:color="auto"/>
            </w:tcBorders>
            <w:vMerge w:val="continue"/>
            <w:shd w:val="clear" w:color="auto" w:fill="CCEEFF"/>
          </w:tcPr>
          <w:p>
            <w:pPr>
              <w:spacing w:after="0"/>
              <w:rPr>
                <w:sz w:val="7"/>
                <w:szCs w:val="7"/>
                <w:color w:val="auto"/>
              </w:rPr>
            </w:pPr>
          </w:p>
        </w:tc>
        <w:tc>
          <w:tcPr>
            <w:tcW w:w="234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00" w:type="dxa"/>
            <w:vAlign w:val="bottom"/>
            <w:tcBorders>
              <w:bottom w:val="single" w:sz="8" w:color="auto"/>
            </w:tcBorders>
            <w:shd w:val="clear" w:color="auto" w:fill="CCEEFF"/>
          </w:tcPr>
          <w:p>
            <w:pPr>
              <w:spacing w:after="0"/>
              <w:rPr>
                <w:sz w:val="7"/>
                <w:szCs w:val="7"/>
                <w:color w:val="auto"/>
              </w:rPr>
            </w:pPr>
          </w:p>
        </w:tc>
        <w:tc>
          <w:tcPr>
            <w:tcW w:w="20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2,438,300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147.06</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31,979,909</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40" w:hanging="232"/>
        <w:spacing w:after="0" w:line="255" w:lineRule="auto"/>
        <w:tabs>
          <w:tab w:leader="none" w:pos="2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366,046 retention units that do not have an exercise price. Does not include 954,405 retention shares that have been issued and are outstanding.</w:t>
      </w:r>
    </w:p>
    <w:p>
      <w:pPr>
        <w:spacing w:after="0" w:line="196" w:lineRule="exact"/>
        <w:rPr>
          <w:rFonts w:ascii="Arial" w:cs="Arial" w:eastAsia="Arial" w:hAnsi="Arial"/>
          <w:sz w:val="16"/>
          <w:szCs w:val="16"/>
          <w:i w:val="1"/>
          <w:iCs w:val="1"/>
          <w:color w:val="auto"/>
        </w:rPr>
      </w:pPr>
    </w:p>
    <w:p>
      <w:pPr>
        <w:ind w:left="240" w:hanging="232"/>
        <w:spacing w:after="0"/>
        <w:tabs>
          <w:tab w:leader="none" w:pos="2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retention units or retention shares described above in footnote [1].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on related transactions is set forth in the Related Party Policy and Procedures segment of the Proxy Statement and is incorporated herein by reference. We do not have any relationship with any outside third-party that would enable such a party to negotiate terms of a material transaction that may not be available to, or available from, other parties on an arm’s-length basis.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regarding the independence of our directors is set forth in the Director Independence segment of the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Information concerning the fees billed by our independent registered public accounting firm and the nature of services comprising the fees for each of the two most recent fiscal years in each of the following categories: (a) audit fees, (b) audit-related fees, (c) tax fees, and (d) all other fees, is set forth in the Independent Registered Public Accounting Firm’s Fees and Services segment of the Proxy Statement and is incorporated herein by reference.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our Audit Committee’s policies and procedures pertaining to pre-approval of audit and non-audit services rendered by our independent registered public accounting firm is set forth in the Pre-approval of Audit and Non-Audit Services Policy segment of the Proxy Statement and is incorporated herein by reference.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 and Financial Statement Schedules</w:t>
      </w:r>
    </w:p>
    <w:p>
      <w:pPr>
        <w:spacing w:after="0" w:line="198"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198" w:lineRule="exact"/>
        <w:rPr>
          <w:rFonts w:ascii="Arial" w:cs="Arial" w:eastAsia="Arial" w:hAnsi="Arial"/>
          <w:sz w:val="18"/>
          <w:szCs w:val="18"/>
          <w:color w:val="auto"/>
        </w:rPr>
      </w:pPr>
    </w:p>
    <w:p>
      <w:pPr>
        <w:ind w:left="700" w:hanging="278"/>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98" w:lineRule="exact"/>
        <w:rPr>
          <w:sz w:val="20"/>
          <w:szCs w:val="20"/>
          <w:color w:val="auto"/>
        </w:rPr>
      </w:pPr>
    </w:p>
    <w:p>
      <w:pPr>
        <w:ind w:left="420"/>
        <w:spacing w:after="0" w:line="271" w:lineRule="auto"/>
        <w:rPr>
          <w:sz w:val="20"/>
          <w:szCs w:val="20"/>
          <w:color w:val="auto"/>
        </w:rPr>
      </w:pPr>
      <w:r>
        <w:rPr>
          <w:rFonts w:ascii="Arial" w:cs="Arial" w:eastAsia="Arial" w:hAnsi="Arial"/>
          <w:sz w:val="18"/>
          <w:szCs w:val="18"/>
          <w:color w:val="auto"/>
        </w:rPr>
        <w:t xml:space="preserve">The financial statements filed as part of this filing are listed on the index to the Financial Statements and Supplementary Data, Item 8, on page </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420"/>
        <w:spacing w:after="0" w:line="271" w:lineRule="auto"/>
        <w:rPr>
          <w:sz w:val="20"/>
          <w:szCs w:val="20"/>
          <w:color w:val="auto"/>
        </w:rPr>
      </w:pPr>
      <w:r>
        <w:rPr>
          <w:rFonts w:ascii="Arial" w:cs="Arial" w:eastAsia="Arial" w:hAnsi="Arial"/>
          <w:sz w:val="18"/>
          <w:szCs w:val="18"/>
          <w:color w:val="auto"/>
        </w:rPr>
        <w:t>Schedules have been omitted because they are not applicable or not required or the information required to be set forth therein is included in the Financial Statements and Supplementary Data, Item 8, or notes thereto.</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420" w:right="20"/>
        <w:spacing w:after="0" w:line="271" w:lineRule="auto"/>
        <w:rPr>
          <w:sz w:val="20"/>
          <w:szCs w:val="20"/>
          <w:color w:val="auto"/>
        </w:rPr>
      </w:pPr>
      <w:r>
        <w:rPr>
          <w:rFonts w:ascii="Arial" w:cs="Arial" w:eastAsia="Arial" w:hAnsi="Arial"/>
          <w:sz w:val="18"/>
          <w:szCs w:val="18"/>
          <w:color w:val="auto"/>
        </w:rPr>
        <w:t xml:space="preserve">Exhibits are listed in the exhibit index beginning on page </w:t>
      </w:r>
      <w:r>
        <w:rPr>
          <w:rFonts w:ascii="Arial" w:cs="Arial" w:eastAsia="Arial" w:hAnsi="Arial"/>
          <w:sz w:val="18"/>
          <w:szCs w:val="18"/>
          <w:u w:val="single" w:color="auto"/>
          <w:color w:val="0000EE"/>
        </w:rPr>
        <w:t>76</w:t>
      </w:r>
      <w:r>
        <w:rPr>
          <w:rFonts w:ascii="Arial" w:cs="Arial" w:eastAsia="Arial" w:hAnsi="Arial"/>
          <w:sz w:val="18"/>
          <w:szCs w:val="18"/>
          <w:color w:val="auto"/>
        </w:rPr>
        <w:t>. The exhibits include management contracts, compensatory plans and arrangements required to be filed as exhibits to the Form 10-K by Item 601 (10) (iii)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150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Description</w:t>
            </w:r>
          </w:p>
        </w:tc>
        <w:tc>
          <w:tcPr>
            <w:tcW w:w="8020" w:type="dxa"/>
            <w:vAlign w:val="bottom"/>
            <w:gridSpan w:val="15"/>
          </w:tcPr>
          <w:p>
            <w:pPr>
              <w:spacing w:after="0"/>
              <w:rPr>
                <w:sz w:val="17"/>
                <w:szCs w:val="17"/>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Filed with this Statement</w:t>
            </w:r>
          </w:p>
        </w:tc>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10(a)†</w:t>
            </w:r>
          </w:p>
        </w:tc>
        <w:tc>
          <w:tcPr>
            <w:tcW w:w="42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Form of Performance Stock Unit Agreement dated February 8, 2024.</w:t>
            </w:r>
          </w:p>
        </w:tc>
      </w:tr>
      <w:tr>
        <w:trPr>
          <w:trHeight w:val="20"/>
        </w:trPr>
        <w:tc>
          <w:tcPr>
            <w:tcW w:w="2380" w:type="dxa"/>
            <w:vAlign w:val="bottom"/>
            <w:gridSpan w:val="3"/>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10(b)†</w:t>
            </w:r>
          </w:p>
        </w:tc>
        <w:tc>
          <w:tcPr>
            <w:tcW w:w="8920" w:type="dxa"/>
            <w:vAlign w:val="bottom"/>
            <w:gridSpan w:val="16"/>
          </w:tcPr>
          <w:p>
            <w:pPr>
              <w:spacing w:after="0"/>
              <w:rPr>
                <w:sz w:val="20"/>
                <w:szCs w:val="20"/>
                <w:color w:val="auto"/>
              </w:rPr>
            </w:pPr>
            <w:r>
              <w:rPr>
                <w:rFonts w:ascii="Arial" w:cs="Arial" w:eastAsia="Arial" w:hAnsi="Arial"/>
                <w:sz w:val="18"/>
                <w:szCs w:val="18"/>
                <w:color w:val="0000EE"/>
              </w:rPr>
              <w:t>Form of Non-Qualified Stock Option Agreement for Executives dated February 8, 2024.</w:t>
            </w: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10(c)†</w:t>
            </w:r>
          </w:p>
        </w:tc>
        <w:tc>
          <w:tcPr>
            <w:tcW w:w="69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Performance Stock Unit Agreement dated February 8, 2024, for V. James Vena.</w:t>
            </w:r>
          </w:p>
        </w:tc>
        <w:tc>
          <w:tcPr>
            <w:tcW w:w="2000" w:type="dxa"/>
            <w:vAlign w:val="bottom"/>
            <w:gridSpan w:val="5"/>
          </w:tcPr>
          <w:p>
            <w:pPr>
              <w:spacing w:after="0"/>
              <w:rPr>
                <w:sz w:val="24"/>
                <w:szCs w:val="24"/>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10(d)†</w:t>
            </w:r>
          </w:p>
        </w:tc>
        <w:tc>
          <w:tcPr>
            <w:tcW w:w="63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Non-Qualified Option Agreement dated February 8, 2024, for V. James Vena.</w:t>
            </w:r>
          </w:p>
        </w:tc>
        <w:tc>
          <w:tcPr>
            <w:tcW w:w="2580" w:type="dxa"/>
            <w:vAlign w:val="bottom"/>
            <w:gridSpan w:val="6"/>
          </w:tcPr>
          <w:p>
            <w:pPr>
              <w:spacing w:after="0"/>
              <w:rPr>
                <w:sz w:val="24"/>
                <w:szCs w:val="24"/>
                <w:color w:val="auto"/>
              </w:rPr>
            </w:pPr>
          </w:p>
        </w:tc>
      </w:tr>
      <w:tr>
        <w:trPr>
          <w:trHeight w:val="20"/>
        </w:trPr>
        <w:tc>
          <w:tcPr>
            <w:tcW w:w="2380" w:type="dxa"/>
            <w:vAlign w:val="bottom"/>
            <w:gridSpan w:val="3"/>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10(e)†</w:t>
            </w:r>
          </w:p>
        </w:tc>
        <w:tc>
          <w:tcPr>
            <w:tcW w:w="8920" w:type="dxa"/>
            <w:vAlign w:val="bottom"/>
            <w:gridSpan w:val="16"/>
          </w:tcPr>
          <w:p>
            <w:pPr>
              <w:spacing w:after="0"/>
              <w:rPr>
                <w:sz w:val="20"/>
                <w:szCs w:val="20"/>
                <w:color w:val="auto"/>
              </w:rPr>
            </w:pPr>
            <w:r>
              <w:rPr>
                <w:rFonts w:ascii="Arial" w:cs="Arial" w:eastAsia="Arial" w:hAnsi="Arial"/>
                <w:sz w:val="18"/>
                <w:szCs w:val="18"/>
                <w:color w:val="0000EE"/>
              </w:rPr>
              <w:t>Supplemental Pension Plan for Officers and Managers (409A Non-Grandfathered Component) of Union Pacific</w:t>
            </w:r>
          </w:p>
        </w:tc>
      </w:tr>
      <w:tr>
        <w:trPr>
          <w:trHeight w:val="183"/>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Corporation and Affiliates, as amended November 1, 2023.</w:t>
            </w:r>
          </w:p>
        </w:tc>
        <w:tc>
          <w:tcPr>
            <w:tcW w:w="418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List of the Corporation’s significant subsidiaries and their respective states of incorporation.</w:t>
            </w: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9"/>
              </w:rPr>
              <w:t>Independent Registered Public Accounting Firm’s Consent.</w:t>
            </w:r>
          </w:p>
        </w:tc>
        <w:tc>
          <w:tcPr>
            <w:tcW w:w="2520" w:type="dxa"/>
            <w:vAlign w:val="bottom"/>
            <w:tcBorders>
              <w:top w:val="single" w:sz="8" w:color="0000EE"/>
            </w:tcBorders>
            <w:gridSpan w:val="5"/>
          </w:tcPr>
          <w:p>
            <w:pPr>
              <w:spacing w:after="0"/>
              <w:rPr>
                <w:sz w:val="24"/>
                <w:szCs w:val="24"/>
                <w:color w:val="auto"/>
              </w:rPr>
            </w:pPr>
          </w:p>
        </w:tc>
        <w:tc>
          <w:tcPr>
            <w:tcW w:w="1700" w:type="dxa"/>
            <w:vAlign w:val="bottom"/>
            <w:gridSpan w:val="4"/>
          </w:tcPr>
          <w:p>
            <w:pPr>
              <w:spacing w:after="0"/>
              <w:rPr>
                <w:sz w:val="24"/>
                <w:szCs w:val="24"/>
                <w:color w:val="auto"/>
              </w:rPr>
            </w:pP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Powers of attorney executed by the directors of UPC.</w:t>
            </w:r>
          </w:p>
        </w:tc>
        <w:tc>
          <w:tcPr>
            <w:tcW w:w="4680" w:type="dxa"/>
            <w:vAlign w:val="bottom"/>
            <w:gridSpan w:val="12"/>
          </w:tcPr>
          <w:p>
            <w:pPr>
              <w:spacing w:after="0"/>
              <w:rPr>
                <w:sz w:val="24"/>
                <w:szCs w:val="24"/>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31(a)</w:t>
            </w:r>
          </w:p>
        </w:tc>
        <w:tc>
          <w:tcPr>
            <w:tcW w:w="8920" w:type="dxa"/>
            <w:vAlign w:val="bottom"/>
            <w:gridSpan w:val="16"/>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w:t>
            </w:r>
          </w:p>
        </w:tc>
      </w:tr>
      <w:tr>
        <w:trPr>
          <w:trHeight w:val="183"/>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Sarbanes-Oxley Act of 2002 - V. James Vena.</w:t>
            </w:r>
          </w:p>
        </w:tc>
        <w:tc>
          <w:tcPr>
            <w:tcW w:w="20" w:type="dxa"/>
            <w:vAlign w:val="bottom"/>
          </w:tcPr>
          <w:p>
            <w:pPr>
              <w:spacing w:after="0"/>
              <w:rPr>
                <w:sz w:val="15"/>
                <w:szCs w:val="15"/>
                <w:color w:val="auto"/>
              </w:rPr>
            </w:pPr>
          </w:p>
        </w:tc>
      </w:tr>
      <w:tr>
        <w:trPr>
          <w:trHeight w:val="20"/>
        </w:trPr>
        <w:tc>
          <w:tcPr>
            <w:tcW w:w="2380" w:type="dxa"/>
            <w:vAlign w:val="bottom"/>
            <w:gridSpan w:val="3"/>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31(b)</w:t>
            </w:r>
          </w:p>
        </w:tc>
        <w:tc>
          <w:tcPr>
            <w:tcW w:w="8920" w:type="dxa"/>
            <w:vAlign w:val="bottom"/>
            <w:gridSpan w:val="16"/>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w:t>
            </w:r>
          </w:p>
        </w:tc>
      </w:tr>
      <w:tr>
        <w:trPr>
          <w:trHeight w:val="183"/>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Sarbanes-Oxley Act of 2002 - Jennifer L. Hamann.</w:t>
            </w:r>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Arial" w:cs="Arial" w:eastAsia="Arial" w:hAnsi="Arial"/>
                <w:sz w:val="18"/>
                <w:szCs w:val="18"/>
                <w:color w:val="0000EE"/>
              </w:rPr>
              <w:t>Certifications Pursuant to 18 U.S.C. Section 1350, as Adopted pursuant to Section 906 of the Sarbanes-Oxley</w:t>
            </w:r>
          </w:p>
        </w:tc>
      </w:tr>
      <w:tr>
        <w:trPr>
          <w:trHeight w:val="183"/>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Act of 2002 - V. James Vena and Jennifer L. Hamann.</w:t>
            </w:r>
          </w:p>
        </w:tc>
        <w:tc>
          <w:tcPr>
            <w:tcW w:w="40" w:type="dxa"/>
            <w:vAlign w:val="bottom"/>
            <w:gridSpan w:val="2"/>
          </w:tcPr>
          <w:p>
            <w:pPr>
              <w:spacing w:after="0"/>
              <w:rPr>
                <w:sz w:val="15"/>
                <w:szCs w:val="15"/>
                <w:color w:val="auto"/>
              </w:rPr>
            </w:pPr>
          </w:p>
        </w:tc>
      </w:tr>
      <w:tr>
        <w:trPr>
          <w:trHeight w:val="429"/>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tcBorders>
              <w:top w:val="single" w:sz="8" w:color="0000EE"/>
            </w:tcBorders>
            <w:gridSpan w:val="2"/>
          </w:tcPr>
          <w:p>
            <w:pPr>
              <w:ind w:left="3140"/>
              <w:spacing w:after="0"/>
              <w:rPr>
                <w:sz w:val="20"/>
                <w:szCs w:val="20"/>
                <w:color w:val="auto"/>
              </w:rPr>
            </w:pPr>
            <w:r>
              <w:rPr>
                <w:rFonts w:ascii="Arial" w:cs="Arial" w:eastAsia="Arial" w:hAnsi="Arial"/>
                <w:sz w:val="18"/>
                <w:szCs w:val="18"/>
                <w:color w:val="auto"/>
              </w:rPr>
              <w:t>76</w:t>
            </w: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8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7"/>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Arial" w:cs="Arial" w:eastAsia="Arial" w:hAnsi="Arial"/>
                <w:sz w:val="18"/>
                <w:szCs w:val="18"/>
                <w:color w:val="auto"/>
              </w:rPr>
              <w:t>The following financial and related information from Union Pacific Corporation’s Annual Report on Form 10-K</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for the year ended December 31, 2023 (filed with the SEC on February 9, 2024), formatted in Inline Extensible</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Business Reporting Language (iXBRL) includes (a) Consolidated Statements of Income for the years ended</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December 31, 2023, 2022, and 2021, (b) Consolidated Statements of Comprehensive Income for the years</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ended December 31, 2023, 2022, and 2021, (c) Consolidated Statements of Financial Position at December</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31, 2023 and 2022, (d) Consolidated Statements of Cash Flows for the years ended December 31, 2023, 2022,</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and 2021, (e) Consolidated Statements of Changes in Common Shareholders’ Equity for the years ended</w:t>
            </w:r>
          </w:p>
        </w:tc>
      </w:tr>
      <w:tr>
        <w:trPr>
          <w:trHeight w:val="239"/>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21"/>
          </w:tcPr>
          <w:p>
            <w:pPr>
              <w:spacing w:after="0"/>
              <w:rPr>
                <w:sz w:val="20"/>
                <w:szCs w:val="20"/>
                <w:color w:val="auto"/>
              </w:rPr>
            </w:pPr>
            <w:r>
              <w:rPr>
                <w:rFonts w:ascii="Arial" w:cs="Arial" w:eastAsia="Arial" w:hAnsi="Arial"/>
                <w:sz w:val="18"/>
                <w:szCs w:val="18"/>
                <w:color w:val="auto"/>
              </w:rPr>
              <w:t>December 31, 2023, 2022, and 2021, and (f) the Notes to the Consolidated Financial Statements.</w:t>
            </w:r>
          </w:p>
        </w:tc>
      </w:tr>
      <w:tr>
        <w:trPr>
          <w:trHeight w:val="405"/>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Arial" w:cs="Arial" w:eastAsia="Arial" w:hAnsi="Arial"/>
                <w:sz w:val="18"/>
                <w:szCs w:val="18"/>
                <w:color w:val="auto"/>
              </w:rPr>
              <w:t>Cover Page Interactive Data File, formatted in Inline XBRL (contained in Exhibit 101).</w:t>
            </w:r>
          </w:p>
        </w:tc>
      </w:tr>
      <w:tr>
        <w:trPr>
          <w:trHeight w:val="360"/>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Incorporated by Reference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3(a)</w:t>
            </w:r>
          </w:p>
        </w:tc>
        <w:tc>
          <w:tcPr>
            <w:tcW w:w="9080" w:type="dxa"/>
            <w:vAlign w:val="bottom"/>
            <w:gridSpan w:val="21"/>
          </w:tcPr>
          <w:p>
            <w:pPr>
              <w:spacing w:after="0"/>
              <w:rPr>
                <w:rFonts w:ascii="Arial" w:cs="Arial" w:eastAsia="Arial" w:hAnsi="Arial"/>
                <w:sz w:val="18"/>
                <w:szCs w:val="18"/>
                <w:color w:val="0000EE"/>
              </w:rPr>
            </w:pPr>
            <w:hyperlink r:id="rId86">
              <w:r>
                <w:rPr>
                  <w:rFonts w:ascii="Arial" w:cs="Arial" w:eastAsia="Arial" w:hAnsi="Arial"/>
                  <w:sz w:val="18"/>
                  <w:szCs w:val="18"/>
                  <w:color w:val="0000EE"/>
                </w:rPr>
                <w:t>Restated Articles of Incorporation of UPC, as amended and restated through June 27, 2011, and as further</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amended May 15, 2014, are incorporated herein by reference to Exhibit 3(a) to the Corporation’s Quarterly</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Report on Form 10-Q for the quarter ended June 30, 2014.</w:t>
              </w:r>
            </w:hyperlink>
          </w:p>
        </w:tc>
        <w:tc>
          <w:tcPr>
            <w:tcW w:w="42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3(b)</w:t>
            </w:r>
          </w:p>
        </w:tc>
        <w:tc>
          <w:tcPr>
            <w:tcW w:w="9080" w:type="dxa"/>
            <w:vAlign w:val="bottom"/>
            <w:gridSpan w:val="21"/>
          </w:tcPr>
          <w:p>
            <w:pPr>
              <w:spacing w:after="0"/>
              <w:rPr>
                <w:rFonts w:ascii="Arial" w:cs="Arial" w:eastAsia="Arial" w:hAnsi="Arial"/>
                <w:sz w:val="18"/>
                <w:szCs w:val="18"/>
                <w:color w:val="0000EE"/>
              </w:rPr>
            </w:pPr>
            <w:hyperlink r:id="rId87">
              <w:r>
                <w:rPr>
                  <w:rFonts w:ascii="Arial" w:cs="Arial" w:eastAsia="Arial" w:hAnsi="Arial"/>
                  <w:sz w:val="18"/>
                  <w:szCs w:val="18"/>
                  <w:color w:val="0000EE"/>
                </w:rPr>
                <w:t>By-Laws of UPC, as amended, effective November 19, 2015, are incorporated herein by reference to Exhibit</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Corporation’s Current Report on Form 8-K dated November 19,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2380" w:type="dxa"/>
            <w:vAlign w:val="bottom"/>
            <w:gridSpan w:val="3"/>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4(a)</w:t>
            </w:r>
          </w:p>
        </w:tc>
        <w:tc>
          <w:tcPr>
            <w:tcW w:w="9080" w:type="dxa"/>
            <w:vAlign w:val="bottom"/>
            <w:gridSpan w:val="21"/>
          </w:tcPr>
          <w:p>
            <w:pPr>
              <w:spacing w:after="0"/>
              <w:rPr>
                <w:rFonts w:ascii="Arial" w:cs="Arial" w:eastAsia="Arial" w:hAnsi="Arial"/>
                <w:sz w:val="18"/>
                <w:szCs w:val="18"/>
                <w:color w:val="0000EE"/>
              </w:rPr>
            </w:pPr>
            <w:hyperlink r:id="rId88">
              <w:r>
                <w:rPr>
                  <w:rFonts w:ascii="Arial" w:cs="Arial" w:eastAsia="Arial" w:hAnsi="Arial"/>
                  <w:sz w:val="18"/>
                  <w:szCs w:val="18"/>
                  <w:color w:val="0000EE"/>
                </w:rPr>
                <w:t>Description of securities registered under Section 12 of the Exchange Act is incorporated herein by reference to</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Exhibit 4(a) to the Corporation’s Annual Report on Form 10-K for the year ended December 31, 2019.</w:t>
              </w:r>
            </w:hyperlink>
          </w:p>
        </w:tc>
        <w:tc>
          <w:tcPr>
            <w:tcW w:w="88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4(b)</w:t>
            </w:r>
          </w:p>
        </w:tc>
        <w:tc>
          <w:tcPr>
            <w:tcW w:w="9080" w:type="dxa"/>
            <w:vAlign w:val="bottom"/>
            <w:gridSpan w:val="21"/>
          </w:tcPr>
          <w:p>
            <w:pPr>
              <w:spacing w:after="0"/>
              <w:rPr>
                <w:rFonts w:ascii="Arial" w:cs="Arial" w:eastAsia="Arial" w:hAnsi="Arial"/>
                <w:sz w:val="18"/>
                <w:szCs w:val="18"/>
                <w:color w:val="0000EE"/>
              </w:rPr>
            </w:pPr>
            <w:hyperlink r:id="rId89">
              <w:r>
                <w:rPr>
                  <w:rFonts w:ascii="Arial" w:cs="Arial" w:eastAsia="Arial" w:hAnsi="Arial"/>
                  <w:sz w:val="18"/>
                  <w:szCs w:val="18"/>
                  <w:color w:val="0000EE"/>
                </w:rPr>
                <w:t>Indenture, dated as of December 20, 1996, between UPC and Wells Fargo Bank, National Association, as</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9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successor to Citibank, N.A., as Trustee, is incorporated herein by reference to Exhibit 4.1 to UPC’s Registration</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Statement on Form S-3 (No. 333-18345).</w:t>
              </w:r>
            </w:hyperlink>
          </w:p>
        </w:tc>
        <w:tc>
          <w:tcPr>
            <w:tcW w:w="5760" w:type="dxa"/>
            <w:vAlign w:val="bottom"/>
            <w:gridSpan w:val="15"/>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4(c)</w:t>
            </w:r>
          </w:p>
        </w:tc>
        <w:tc>
          <w:tcPr>
            <w:tcW w:w="9080" w:type="dxa"/>
            <w:vAlign w:val="bottom"/>
            <w:gridSpan w:val="21"/>
          </w:tcPr>
          <w:p>
            <w:pPr>
              <w:spacing w:after="0"/>
              <w:rPr>
                <w:rFonts w:ascii="Arial" w:cs="Arial" w:eastAsia="Arial" w:hAnsi="Arial"/>
                <w:sz w:val="18"/>
                <w:szCs w:val="18"/>
                <w:color w:val="0000EE"/>
              </w:rPr>
            </w:pPr>
            <w:hyperlink r:id="rId90">
              <w:r>
                <w:rPr>
                  <w:rFonts w:ascii="Arial" w:cs="Arial" w:eastAsia="Arial" w:hAnsi="Arial"/>
                  <w:sz w:val="18"/>
                  <w:szCs w:val="18"/>
                  <w:color w:val="0000EE"/>
                </w:rPr>
                <w:t>Indenture, dated as of April 1, 1999, between UPC and The Bank of New York, as successor to JP Morgan</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Chase Bank, formerly The Chase Manhattan Bank, as Trustee, is incorporated herein by reference to Exhibit</w:t>
              </w:r>
            </w:hyperlink>
          </w:p>
        </w:tc>
        <w:tc>
          <w:tcPr>
            <w:tcW w:w="60" w:type="dxa"/>
            <w:vAlign w:val="bottom"/>
            <w:gridSpan w:val="3"/>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4.</w:t>
              </w:r>
              <w:r>
                <w:rPr>
                  <w:rFonts w:ascii="Arial" w:cs="Arial" w:eastAsia="Arial" w:hAnsi="Arial"/>
                  <w:sz w:val="18"/>
                  <w:szCs w:val="18"/>
                  <w:u w:val="single" w:color="auto"/>
                  <w:color w:val="0000EE"/>
                  <w:w w:val="99"/>
                </w:rPr>
                <w:t>2</w:t>
              </w:r>
              <w:r>
                <w:rPr>
                  <w:rFonts w:ascii="Arial" w:cs="Arial" w:eastAsia="Arial" w:hAnsi="Arial"/>
                  <w:sz w:val="18"/>
                  <w:szCs w:val="18"/>
                  <w:color w:val="0000EE"/>
                  <w:w w:val="99"/>
                </w:rPr>
                <w:t xml:space="preserve"> to UPC’s Registration Statement on Form S-3 (No. 333-75989).</w:t>
              </w:r>
            </w:hyperlink>
          </w:p>
        </w:tc>
        <w:tc>
          <w:tcPr>
            <w:tcW w:w="3640" w:type="dxa"/>
            <w:vAlign w:val="bottom"/>
            <w:tcBorders>
              <w:top w:val="single" w:sz="8" w:color="0000EE"/>
            </w:tcBorders>
            <w:gridSpan w:val="10"/>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4(d)</w:t>
            </w:r>
          </w:p>
        </w:tc>
        <w:tc>
          <w:tcPr>
            <w:tcW w:w="9080" w:type="dxa"/>
            <w:vAlign w:val="bottom"/>
            <w:gridSpan w:val="21"/>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4.750% Note due 2026 is incorporated by reference to Exhibit 4.1 to the Corporation’s Current Report</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on Form 8-K dated February 21, 2023.</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0"/>
        </w:trPr>
        <w:tc>
          <w:tcPr>
            <w:tcW w:w="2380" w:type="dxa"/>
            <w:vAlign w:val="bottom"/>
            <w:gridSpan w:val="3"/>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4(e)</w:t>
            </w:r>
          </w:p>
        </w:tc>
        <w:tc>
          <w:tcPr>
            <w:tcW w:w="9080" w:type="dxa"/>
            <w:vAlign w:val="bottom"/>
            <w:gridSpan w:val="21"/>
          </w:tcPr>
          <w:p>
            <w:pPr>
              <w:spacing w:after="0"/>
              <w:rPr>
                <w:rFonts w:ascii="Arial" w:cs="Arial" w:eastAsia="Arial" w:hAnsi="Arial"/>
                <w:sz w:val="18"/>
                <w:szCs w:val="18"/>
                <w:color w:val="0000EE"/>
              </w:rPr>
            </w:pPr>
            <w:hyperlink r:id="rId92">
              <w:r>
                <w:rPr>
                  <w:rFonts w:ascii="Arial" w:cs="Arial" w:eastAsia="Arial" w:hAnsi="Arial"/>
                  <w:sz w:val="18"/>
                  <w:szCs w:val="18"/>
                  <w:color w:val="0000EE"/>
                </w:rPr>
                <w:t>Form of 4.950% Note due 2053 is incorporated by reference to Exhibit 4.2 to the Corporation’s Current Report</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on Form 8-K dated February 21. 2023.</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93"/>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gridSpan w:val="21"/>
          </w:tcPr>
          <w:p>
            <w:pPr>
              <w:spacing w:after="0"/>
              <w:rPr>
                <w:sz w:val="20"/>
                <w:szCs w:val="20"/>
                <w:color w:val="auto"/>
              </w:rPr>
            </w:pPr>
            <w:r>
              <w:rPr>
                <w:rFonts w:ascii="Arial" w:cs="Arial" w:eastAsia="Arial" w:hAnsi="Arial"/>
                <w:sz w:val="18"/>
                <w:szCs w:val="18"/>
                <w:color w:val="auto"/>
              </w:rPr>
              <w:t>Certain instruments evidencing long-term indebtedness of UPC are not filed as exhibits because the total</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amount of securities authorized under any single such instrument does not exceed 10% of the Corporation’s</w:t>
            </w:r>
          </w:p>
        </w:tc>
      </w:tr>
      <w:tr>
        <w:trPr>
          <w:trHeight w:val="203"/>
        </w:trPr>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21"/>
          </w:tcPr>
          <w:p>
            <w:pPr>
              <w:spacing w:after="0" w:line="202" w:lineRule="exact"/>
              <w:rPr>
                <w:sz w:val="20"/>
                <w:szCs w:val="20"/>
                <w:color w:val="auto"/>
              </w:rPr>
            </w:pPr>
            <w:r>
              <w:rPr>
                <w:rFonts w:ascii="Arial" w:cs="Arial" w:eastAsia="Arial" w:hAnsi="Arial"/>
                <w:sz w:val="18"/>
                <w:szCs w:val="18"/>
                <w:color w:val="auto"/>
              </w:rPr>
              <w:t>total consolidated assets. UPC agrees to furnish the Commission with a copy of any such instrument upon</w:t>
            </w:r>
          </w:p>
        </w:tc>
      </w:tr>
      <w:tr>
        <w:trPr>
          <w:trHeight w:val="239"/>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21"/>
          </w:tcPr>
          <w:p>
            <w:pPr>
              <w:spacing w:after="0"/>
              <w:rPr>
                <w:sz w:val="20"/>
                <w:szCs w:val="20"/>
                <w:color w:val="auto"/>
              </w:rPr>
            </w:pPr>
            <w:r>
              <w:rPr>
                <w:rFonts w:ascii="Arial" w:cs="Arial" w:eastAsia="Arial" w:hAnsi="Arial"/>
                <w:sz w:val="18"/>
                <w:szCs w:val="18"/>
                <w:color w:val="auto"/>
              </w:rPr>
              <w:t>request by the Commission.</w:t>
            </w:r>
          </w:p>
        </w:tc>
      </w:tr>
      <w:tr>
        <w:trPr>
          <w:trHeight w:val="361"/>
        </w:trPr>
        <w:tc>
          <w:tcPr>
            <w:tcW w:w="2380" w:type="dxa"/>
            <w:vAlign w:val="bottom"/>
            <w:gridSpan w:val="3"/>
          </w:tcPr>
          <w:p>
            <w:pPr>
              <w:spacing w:after="0"/>
              <w:rPr>
                <w:sz w:val="20"/>
                <w:szCs w:val="20"/>
                <w:color w:val="auto"/>
              </w:rPr>
            </w:pPr>
            <w:r>
              <w:rPr>
                <w:rFonts w:ascii="Arial" w:cs="Arial" w:eastAsia="Arial" w:hAnsi="Arial"/>
                <w:sz w:val="18"/>
                <w:szCs w:val="18"/>
                <w:color w:val="auto"/>
              </w:rPr>
              <w:t>10(f)†</w:t>
            </w:r>
          </w:p>
        </w:tc>
        <w:tc>
          <w:tcPr>
            <w:tcW w:w="9080" w:type="dxa"/>
            <w:vAlign w:val="bottom"/>
            <w:gridSpan w:val="21"/>
          </w:tcPr>
          <w:p>
            <w:pPr>
              <w:spacing w:after="0"/>
              <w:rPr>
                <w:rFonts w:ascii="Arial" w:cs="Arial" w:eastAsia="Arial" w:hAnsi="Arial"/>
                <w:sz w:val="18"/>
                <w:szCs w:val="18"/>
                <w:color w:val="0000EE"/>
              </w:rPr>
            </w:pPr>
            <w:hyperlink r:id="rId93">
              <w:r>
                <w:rPr>
                  <w:rFonts w:ascii="Arial" w:cs="Arial" w:eastAsia="Arial" w:hAnsi="Arial"/>
                  <w:sz w:val="18"/>
                  <w:szCs w:val="18"/>
                  <w:color w:val="0000EE"/>
                </w:rPr>
                <w:t>Transition and Separation Agreement between the Corporation, the Railroad and Lance M. Fritz dated August</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9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11, 2023, is incorporated by reference to Exhibit 10.1 to the Corporation’s Current Report on Form 8-K dated</w:t>
              </w:r>
            </w:hyperlink>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93">
              <w:r>
                <w:rPr>
                  <w:rFonts w:ascii="Arial" w:cs="Arial" w:eastAsia="Arial" w:hAnsi="Arial"/>
                  <w:sz w:val="18"/>
                  <w:szCs w:val="18"/>
                  <w:color w:val="0000EE"/>
                  <w:w w:val="96"/>
                </w:rPr>
                <w:t>August 11, 2023.</w:t>
              </w:r>
            </w:hyperlink>
          </w:p>
        </w:tc>
        <w:tc>
          <w:tcPr>
            <w:tcW w:w="7520" w:type="dxa"/>
            <w:vAlign w:val="bottom"/>
            <w:tcBorders>
              <w:top w:val="single" w:sz="8" w:color="0000EE"/>
            </w:tcBorders>
            <w:gridSpan w:val="9"/>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385"/>
        </w:trPr>
        <w:tc>
          <w:tcPr>
            <w:tcW w:w="2380" w:type="dxa"/>
            <w:vAlign w:val="bottom"/>
            <w:gridSpan w:val="3"/>
          </w:tcPr>
          <w:p>
            <w:pPr>
              <w:spacing w:after="0"/>
              <w:rPr>
                <w:sz w:val="20"/>
                <w:szCs w:val="20"/>
                <w:color w:val="auto"/>
              </w:rPr>
            </w:pPr>
            <w:r>
              <w:rPr>
                <w:rFonts w:ascii="Arial" w:cs="Arial" w:eastAsia="Arial" w:hAnsi="Arial"/>
                <w:sz w:val="18"/>
                <w:szCs w:val="18"/>
                <w:color w:val="auto"/>
              </w:rPr>
              <w:t>10(g)†</w:t>
            </w:r>
          </w:p>
        </w:tc>
        <w:tc>
          <w:tcPr>
            <w:tcW w:w="9080" w:type="dxa"/>
            <w:vAlign w:val="bottom"/>
            <w:gridSpan w:val="21"/>
          </w:tcPr>
          <w:p>
            <w:pPr>
              <w:spacing w:after="0"/>
              <w:rPr>
                <w:rFonts w:ascii="Arial" w:cs="Arial" w:eastAsia="Arial" w:hAnsi="Arial"/>
                <w:sz w:val="18"/>
                <w:szCs w:val="18"/>
                <w:color w:val="0000EE"/>
              </w:rPr>
            </w:pPr>
            <w:hyperlink r:id="rId94">
              <w:r>
                <w:rPr>
                  <w:rFonts w:ascii="Arial" w:cs="Arial" w:eastAsia="Arial" w:hAnsi="Arial"/>
                  <w:sz w:val="18"/>
                  <w:szCs w:val="18"/>
                  <w:color w:val="0000EE"/>
                </w:rPr>
                <w:t>Union Pacific Corporation Key Employee Continuity Plan, as amended December 10, 2021, is incorporated</w:t>
              </w:r>
            </w:hyperlink>
          </w:p>
        </w:tc>
      </w:tr>
      <w:tr>
        <w:trPr>
          <w:trHeight w:val="183"/>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9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herein by reference to Exhibit 10(c) to the Corporation's Annual Report on Form 10-K for the year ended</w:t>
              </w:r>
            </w:hyperlink>
          </w:p>
        </w:tc>
        <w:tc>
          <w:tcPr>
            <w:tcW w:w="120" w:type="dxa"/>
            <w:vAlign w:val="bottom"/>
            <w:gridSpan w:val="6"/>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December 31, 2021.</w:t>
              </w:r>
            </w:hyperlink>
          </w:p>
        </w:tc>
        <w:tc>
          <w:tcPr>
            <w:tcW w:w="20" w:type="dxa"/>
            <w:vAlign w:val="bottom"/>
          </w:tcPr>
          <w:p>
            <w:pPr>
              <w:spacing w:after="0"/>
              <w:rPr>
                <w:sz w:val="15"/>
                <w:szCs w:val="15"/>
                <w:color w:val="auto"/>
              </w:rPr>
            </w:pPr>
          </w:p>
        </w:tc>
      </w:tr>
      <w:tr>
        <w:trPr>
          <w:trHeight w:val="430"/>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Borders>
              <w:top w:val="single" w:sz="8" w:color="0000EE"/>
            </w:tcBorders>
            <w:gridSpan w:val="2"/>
          </w:tcPr>
          <w:p>
            <w:pPr>
              <w:spacing w:after="0"/>
              <w:rPr>
                <w:sz w:val="24"/>
                <w:szCs w:val="24"/>
                <w:color w:val="auto"/>
              </w:rPr>
            </w:pPr>
          </w:p>
        </w:tc>
        <w:tc>
          <w:tcPr>
            <w:tcW w:w="3060" w:type="dxa"/>
            <w:vAlign w:val="bottom"/>
            <w:gridSpan w:val="3"/>
          </w:tcPr>
          <w:p>
            <w:pPr>
              <w:jc w:val="right"/>
              <w:ind w:right="1340"/>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10(h)†</w:t>
            </w:r>
          </w:p>
        </w:tc>
        <w:tc>
          <w:tcPr>
            <w:tcW w:w="1100" w:type="dxa"/>
            <w:vAlign w:val="bottom"/>
          </w:tcPr>
          <w:p>
            <w:pPr>
              <w:spacing w:after="0"/>
              <w:rPr>
                <w:sz w:val="24"/>
                <w:szCs w:val="24"/>
                <w:color w:val="auto"/>
              </w:rPr>
            </w:pPr>
          </w:p>
        </w:tc>
        <w:tc>
          <w:tcPr>
            <w:tcW w:w="9200" w:type="dxa"/>
            <w:vAlign w:val="bottom"/>
            <w:gridSpan w:val="27"/>
          </w:tcPr>
          <w:p>
            <w:pPr>
              <w:spacing w:after="0"/>
              <w:rPr>
                <w:rFonts w:ascii="Arial" w:cs="Arial" w:eastAsia="Arial" w:hAnsi="Arial"/>
                <w:sz w:val="18"/>
                <w:szCs w:val="18"/>
                <w:color w:val="0000EE"/>
              </w:rPr>
            </w:pPr>
            <w:hyperlink r:id="rId95">
              <w:r>
                <w:rPr>
                  <w:rFonts w:ascii="Arial" w:cs="Arial" w:eastAsia="Arial" w:hAnsi="Arial"/>
                  <w:sz w:val="18"/>
                  <w:szCs w:val="18"/>
                  <w:color w:val="0000EE"/>
                </w:rPr>
                <w:t>Supplemental Thrift Plan (409A Grandfathered Component) of Union Pacific Corporation, as amended March</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1, 2013, is incorporated herein by reference to Exhibit 10(d) to the Corporation’s Quarterly Report on Form 10-</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95">
              <w:r>
                <w:rPr>
                  <w:rFonts w:ascii="Arial" w:cs="Arial" w:eastAsia="Arial" w:hAnsi="Arial"/>
                  <w:sz w:val="18"/>
                  <w:szCs w:val="18"/>
                  <w:color w:val="0000EE"/>
                  <w:w w:val="99"/>
                </w:rPr>
                <w:t>Q for the quarter ended March 31, 2013.</w:t>
              </w:r>
            </w:hyperlink>
          </w:p>
        </w:tc>
        <w:tc>
          <w:tcPr>
            <w:tcW w:w="572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10(i)†</w:t>
            </w:r>
          </w:p>
        </w:tc>
        <w:tc>
          <w:tcPr>
            <w:tcW w:w="9200" w:type="dxa"/>
            <w:vAlign w:val="bottom"/>
            <w:gridSpan w:val="27"/>
          </w:tcPr>
          <w:p>
            <w:pPr>
              <w:spacing w:after="0"/>
              <w:rPr>
                <w:rFonts w:ascii="Arial" w:cs="Arial" w:eastAsia="Arial" w:hAnsi="Arial"/>
                <w:sz w:val="18"/>
                <w:szCs w:val="18"/>
                <w:color w:val="0000EE"/>
              </w:rPr>
            </w:pPr>
            <w:hyperlink r:id="rId96">
              <w:r>
                <w:rPr>
                  <w:rFonts w:ascii="Arial" w:cs="Arial" w:eastAsia="Arial" w:hAnsi="Arial"/>
                  <w:sz w:val="18"/>
                  <w:szCs w:val="18"/>
                  <w:color w:val="0000EE"/>
                </w:rPr>
                <w:t>Supplemental Thrift Plan (409A Non-Grandfathered Component) of Union Pacific Corporation, as amended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January 1, 2018, is incorporated herein by reference to Exhibit 10(d) to the Corporation’s Annual Report 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Form 10-K for the year ended December 31, 2017.</w:t>
              </w:r>
            </w:hyperlink>
          </w:p>
        </w:tc>
        <w:tc>
          <w:tcPr>
            <w:tcW w:w="494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10(j)†</w:t>
            </w:r>
          </w:p>
        </w:tc>
        <w:tc>
          <w:tcPr>
            <w:tcW w:w="9200" w:type="dxa"/>
            <w:vAlign w:val="bottom"/>
            <w:gridSpan w:val="27"/>
          </w:tcPr>
          <w:p>
            <w:pPr>
              <w:spacing w:after="0"/>
              <w:rPr>
                <w:rFonts w:ascii="Arial" w:cs="Arial" w:eastAsia="Arial" w:hAnsi="Arial"/>
                <w:sz w:val="18"/>
                <w:szCs w:val="18"/>
                <w:color w:val="0000EE"/>
              </w:rPr>
            </w:pPr>
            <w:hyperlink r:id="rId97">
              <w:r>
                <w:rPr>
                  <w:rFonts w:ascii="Arial" w:cs="Arial" w:eastAsia="Arial" w:hAnsi="Arial"/>
                  <w:sz w:val="18"/>
                  <w:szCs w:val="18"/>
                  <w:color w:val="0000EE"/>
                </w:rPr>
                <w:t>Supplemental Pension Plan for Officers and Managers (409A Grandfathered Component) of Union Pacific</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Corporation and Affiliates, as amended February 1, 2013, and March 1, 2013 is incorporated herein by</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40" w:type="dxa"/>
            <w:vAlign w:val="bottom"/>
            <w:tcBorders>
              <w:bottom w:val="single" w:sz="8" w:color="0000EE"/>
            </w:tcBorders>
            <w:gridSpan w:val="19"/>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10(f) to the Corporation’s Quarterly Report on Form 10-Q for the quarter ended March 31,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Borders>
              <w:bottom w:val="single" w:sz="8" w:color="0000EE"/>
            </w:tcBorders>
          </w:tcPr>
          <w:p>
            <w:pPr>
              <w:spacing w:after="0" w:line="182"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2013.</w:t>
              </w:r>
            </w:hyperlink>
          </w:p>
        </w:tc>
        <w:tc>
          <w:tcPr>
            <w:tcW w:w="1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10(k)†</w:t>
            </w:r>
          </w:p>
        </w:tc>
        <w:tc>
          <w:tcPr>
            <w:tcW w:w="9200" w:type="dxa"/>
            <w:vAlign w:val="bottom"/>
            <w:gridSpan w:val="27"/>
          </w:tcPr>
          <w:p>
            <w:pPr>
              <w:spacing w:after="0"/>
              <w:rPr>
                <w:rFonts w:ascii="Arial" w:cs="Arial" w:eastAsia="Arial" w:hAnsi="Arial"/>
                <w:sz w:val="18"/>
                <w:szCs w:val="18"/>
                <w:color w:val="0000EE"/>
              </w:rPr>
            </w:pPr>
            <w:hyperlink r:id="rId98">
              <w:r>
                <w:rPr>
                  <w:rFonts w:ascii="Arial" w:cs="Arial" w:eastAsia="Arial" w:hAnsi="Arial"/>
                  <w:sz w:val="18"/>
                  <w:szCs w:val="18"/>
                  <w:color w:val="0000EE"/>
                </w:rPr>
                <w:t>Deferred Compensation Plan (409A Grandfathered Component) of Union Pacific Corporation, as amended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March 1, 2013, is incorporated herein by reference to Exhibit 10(b) to the Corporation’s Quarterly Report on</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gridSpan w:val="13"/>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Form 10-Q for the quarter ended March 31, 2013.</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380" w:type="dxa"/>
            <w:vAlign w:val="bottom"/>
            <w:gridSpan w:val="2"/>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10(l)†</w:t>
            </w:r>
          </w:p>
        </w:tc>
        <w:tc>
          <w:tcPr>
            <w:tcW w:w="9200" w:type="dxa"/>
            <w:vAlign w:val="bottom"/>
            <w:gridSpan w:val="27"/>
          </w:tcPr>
          <w:p>
            <w:pPr>
              <w:spacing w:after="0"/>
              <w:rPr>
                <w:rFonts w:ascii="Arial" w:cs="Arial" w:eastAsia="Arial" w:hAnsi="Arial"/>
                <w:sz w:val="18"/>
                <w:szCs w:val="18"/>
                <w:color w:val="0000EE"/>
              </w:rPr>
            </w:pPr>
            <w:hyperlink r:id="rId99">
              <w:r>
                <w:rPr>
                  <w:rFonts w:ascii="Arial" w:cs="Arial" w:eastAsia="Arial" w:hAnsi="Arial"/>
                  <w:sz w:val="18"/>
                  <w:szCs w:val="18"/>
                  <w:color w:val="0000EE"/>
                </w:rPr>
                <w:t>Deferred  Compensation  Plan  (409A  Non-Grandfathered  Component)  of  Union  Pacific  Corporation,  as</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amended December 9, 2020, is incorporated herein by reference to Exhibit 10(c) to the Corporation’s Annual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Report on Form 10-K for the year ended December 31, 2020.</w:t>
              </w:r>
            </w:hyperlink>
          </w:p>
        </w:tc>
        <w:tc>
          <w:tcPr>
            <w:tcW w:w="4260" w:type="dxa"/>
            <w:vAlign w:val="bottom"/>
            <w:tcBorders>
              <w:top w:val="single" w:sz="8" w:color="0000EE"/>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10(m)†</w:t>
            </w:r>
          </w:p>
        </w:tc>
        <w:tc>
          <w:tcPr>
            <w:tcW w:w="9200" w:type="dxa"/>
            <w:vAlign w:val="bottom"/>
            <w:gridSpan w:val="27"/>
          </w:tcPr>
          <w:p>
            <w:pPr>
              <w:spacing w:after="0"/>
              <w:rPr>
                <w:rFonts w:ascii="Arial" w:cs="Arial" w:eastAsia="Arial" w:hAnsi="Arial"/>
                <w:sz w:val="18"/>
                <w:szCs w:val="18"/>
                <w:color w:val="0000EE"/>
              </w:rPr>
            </w:pPr>
            <w:hyperlink r:id="rId100">
              <w:r>
                <w:rPr>
                  <w:rFonts w:ascii="Arial" w:cs="Arial" w:eastAsia="Arial" w:hAnsi="Arial"/>
                  <w:sz w:val="18"/>
                  <w:szCs w:val="18"/>
                  <w:color w:val="0000EE"/>
                </w:rPr>
                <w:t>Union Pacific Corporation 2000 Directors Plan, effective as of April 21, 2000, as amended November 16, 2006,</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January 30, 2007 and January 1, 2009 is incorporated herein by reference to Exhibit 10(j) to the Corporation’s</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0" w:type="dxa"/>
            <w:vAlign w:val="bottom"/>
            <w:gridSpan w:val="1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Annual Report on Form 10-K for the year ended December 31, 2008.</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380" w:type="dxa"/>
            <w:vAlign w:val="bottom"/>
            <w:gridSpan w:val="2"/>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10(n)†</w:t>
            </w:r>
          </w:p>
        </w:tc>
        <w:tc>
          <w:tcPr>
            <w:tcW w:w="9200" w:type="dxa"/>
            <w:vAlign w:val="bottom"/>
            <w:gridSpan w:val="27"/>
          </w:tcPr>
          <w:p>
            <w:pPr>
              <w:spacing w:after="0"/>
              <w:rPr>
                <w:rFonts w:ascii="Arial" w:cs="Arial" w:eastAsia="Arial" w:hAnsi="Arial"/>
                <w:sz w:val="18"/>
                <w:szCs w:val="18"/>
                <w:color w:val="0000EE"/>
              </w:rPr>
            </w:pPr>
            <w:hyperlink r:id="rId101">
              <w:r>
                <w:rPr>
                  <w:rFonts w:ascii="Arial" w:cs="Arial" w:eastAsia="Arial" w:hAnsi="Arial"/>
                  <w:sz w:val="18"/>
                  <w:szCs w:val="18"/>
                  <w:color w:val="0000EE"/>
                </w:rPr>
                <w:t>Union Pacific Corporation Stock Unit Grant and Deferred Compensation Plan for the Board of Directors (409A</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Non-Grandfathered Component), effective as of January 1, 2009 is incorporated herein by reference to Exhibit</w:t>
              </w:r>
            </w:hyperlink>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5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10(k) to the Corporation’s Annual Report on Form 10-K for the year ended December 31, 2008.</w:t>
              </w:r>
            </w:hyperlink>
          </w:p>
        </w:tc>
        <w:tc>
          <w:tcPr>
            <w:tcW w:w="152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10(o)†</w:t>
            </w:r>
          </w:p>
        </w:tc>
        <w:tc>
          <w:tcPr>
            <w:tcW w:w="9200" w:type="dxa"/>
            <w:vAlign w:val="bottom"/>
            <w:gridSpan w:val="27"/>
          </w:tcPr>
          <w:p>
            <w:pPr>
              <w:spacing w:after="0"/>
              <w:rPr>
                <w:rFonts w:ascii="Arial" w:cs="Arial" w:eastAsia="Arial" w:hAnsi="Arial"/>
                <w:sz w:val="18"/>
                <w:szCs w:val="18"/>
                <w:color w:val="0000EE"/>
              </w:rPr>
            </w:pPr>
            <w:hyperlink r:id="rId102">
              <w:r>
                <w:rPr>
                  <w:rFonts w:ascii="Arial" w:cs="Arial" w:eastAsia="Arial" w:hAnsi="Arial"/>
                  <w:sz w:val="18"/>
                  <w:szCs w:val="18"/>
                  <w:color w:val="0000EE"/>
                </w:rPr>
                <w:t>Union Pacific Corporation Stock Unit Grant and Deferred Compensation Plan for the Board of Directors (409A</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Grandfathered Component), as amended and restated in its entirety, effective as of January 1, 2009 is</w:t>
              </w:r>
            </w:hyperlink>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incorporated herein by reference to Exhibit 10(l) to the Corporation’s Annual Report on Form 10-K for the year</w:t>
              </w:r>
            </w:hyperlink>
          </w:p>
        </w:tc>
        <w:tc>
          <w:tcPr>
            <w:tcW w:w="20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ended December 31, 2008.</w:t>
              </w:r>
            </w:hyperlink>
          </w:p>
        </w:tc>
        <w:tc>
          <w:tcPr>
            <w:tcW w:w="6800" w:type="dxa"/>
            <w:vAlign w:val="bottom"/>
            <w:tcBorders>
              <w:top w:val="single" w:sz="8" w:color="0000EE"/>
            </w:tcBorders>
            <w:gridSpan w:val="1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10(p)†</w:t>
            </w:r>
          </w:p>
        </w:tc>
        <w:tc>
          <w:tcPr>
            <w:tcW w:w="9200" w:type="dxa"/>
            <w:vAlign w:val="bottom"/>
            <w:gridSpan w:val="27"/>
          </w:tcPr>
          <w:p>
            <w:pPr>
              <w:spacing w:after="0"/>
              <w:rPr>
                <w:rFonts w:ascii="Arial" w:cs="Arial" w:eastAsia="Arial" w:hAnsi="Arial"/>
                <w:sz w:val="18"/>
                <w:szCs w:val="18"/>
                <w:color w:val="0000EE"/>
              </w:rPr>
            </w:pPr>
            <w:hyperlink r:id="rId103">
              <w:r>
                <w:rPr>
                  <w:rFonts w:ascii="Arial" w:cs="Arial" w:eastAsia="Arial" w:hAnsi="Arial"/>
                  <w:sz w:val="18"/>
                  <w:szCs w:val="18"/>
                  <w:color w:val="0000EE"/>
                </w:rPr>
                <w:t>Union Pacific Corporation 2013 Stock Incentive Plan, effective May 16, 2013, as amended effective as of</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6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January 1, 2020 is incorporated herein by reference to Exhibit 10(d) to the Corporation’s Annual Report on</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Form 10-K for the year ended December 31, 2019.</w:t>
              </w:r>
            </w:hyperlink>
          </w:p>
        </w:tc>
        <w:tc>
          <w:tcPr>
            <w:tcW w:w="5080" w:type="dxa"/>
            <w:vAlign w:val="bottom"/>
            <w:gridSpan w:val="18"/>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10(q)†</w:t>
            </w:r>
          </w:p>
        </w:tc>
        <w:tc>
          <w:tcPr>
            <w:tcW w:w="9200" w:type="dxa"/>
            <w:vAlign w:val="bottom"/>
            <w:gridSpan w:val="27"/>
          </w:tcPr>
          <w:p>
            <w:pPr>
              <w:spacing w:after="0"/>
              <w:rPr>
                <w:rFonts w:ascii="Arial" w:cs="Arial" w:eastAsia="Arial" w:hAnsi="Arial"/>
                <w:sz w:val="18"/>
                <w:szCs w:val="18"/>
                <w:color w:val="0000EE"/>
              </w:rPr>
            </w:pPr>
            <w:hyperlink r:id="rId104">
              <w:r>
                <w:rPr>
                  <w:rFonts w:ascii="Arial" w:cs="Arial" w:eastAsia="Arial" w:hAnsi="Arial"/>
                  <w:sz w:val="18"/>
                  <w:szCs w:val="18"/>
                  <w:color w:val="0000EE"/>
                </w:rPr>
                <w:t>Union Pacific Corporation Executive Incentive Plan, effective May 5, 2005, amended and restated effective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January 1, 2020 is incorporated herein by reference to Exhibit 10(e) to the Corporation’s Annual Report on</w:t>
              </w:r>
            </w:hyperlink>
          </w:p>
        </w:tc>
        <w:tc>
          <w:tcPr>
            <w:tcW w:w="100" w:type="dxa"/>
            <w:vAlign w:val="bottom"/>
            <w:gridSpan w:val="5"/>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Form 10-K for the year ended December 31, 2019.</w:t>
              </w:r>
            </w:hyperlink>
          </w:p>
        </w:tc>
        <w:tc>
          <w:tcPr>
            <w:tcW w:w="80" w:type="dxa"/>
            <w:vAlign w:val="bottom"/>
            <w:gridSpan w:val="4"/>
          </w:tcPr>
          <w:p>
            <w:pPr>
              <w:spacing w:after="0"/>
              <w:rPr>
                <w:sz w:val="15"/>
                <w:szCs w:val="15"/>
                <w:color w:val="auto"/>
              </w:rPr>
            </w:pPr>
          </w:p>
        </w:tc>
      </w:tr>
      <w:tr>
        <w:trPr>
          <w:trHeight w:val="429"/>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Borders>
              <w:top w:val="single" w:sz="8" w:color="0000EE"/>
            </w:tcBorders>
            <w:gridSpan w:val="4"/>
          </w:tcPr>
          <w:p>
            <w:pPr>
              <w:ind w:left="314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10(r)†</w:t>
            </w:r>
          </w:p>
        </w:tc>
        <w:tc>
          <w:tcPr>
            <w:tcW w:w="1100" w:type="dxa"/>
            <w:vAlign w:val="bottom"/>
          </w:tcPr>
          <w:p>
            <w:pPr>
              <w:spacing w:after="0"/>
              <w:rPr>
                <w:sz w:val="24"/>
                <w:szCs w:val="24"/>
                <w:color w:val="auto"/>
              </w:rPr>
            </w:pPr>
          </w:p>
        </w:tc>
        <w:tc>
          <w:tcPr>
            <w:tcW w:w="9140" w:type="dxa"/>
            <w:vAlign w:val="bottom"/>
            <w:gridSpan w:val="24"/>
          </w:tcPr>
          <w:p>
            <w:pPr>
              <w:spacing w:after="0"/>
              <w:rPr>
                <w:rFonts w:ascii="Arial" w:cs="Arial" w:eastAsia="Arial" w:hAnsi="Arial"/>
                <w:sz w:val="18"/>
                <w:szCs w:val="18"/>
                <w:color w:val="0000EE"/>
              </w:rPr>
            </w:pPr>
            <w:hyperlink r:id="rId105">
              <w:r>
                <w:rPr>
                  <w:rFonts w:ascii="Arial" w:cs="Arial" w:eastAsia="Arial" w:hAnsi="Arial"/>
                  <w:sz w:val="18"/>
                  <w:szCs w:val="18"/>
                  <w:color w:val="0000EE"/>
                </w:rPr>
                <w:t>Union Pacific Corporation 2021 Stock Incentive Plan, effective as of May 13, 2021 is incorporated by reference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to Exhibit 99.1 to the Corporation's Form S-8 dated May 25, 2021.</w:t>
              </w:r>
            </w:hyperlink>
          </w:p>
        </w:tc>
        <w:tc>
          <w:tcPr>
            <w:tcW w:w="382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10(s)</w:t>
            </w:r>
          </w:p>
        </w:tc>
        <w:tc>
          <w:tcPr>
            <w:tcW w:w="9140" w:type="dxa"/>
            <w:vAlign w:val="bottom"/>
            <w:gridSpan w:val="24"/>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Registration Rights Agreement, dated as of July 12, 1996, among UPC, UP Holding</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Company, Inc., Union Pacific Merger Co. and Southern Pacific Rail Corporation (SP) is incorporated herein 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reference to Annex J to the Joint Proxy Statement/Prospectus included in Post-Effective Amendment No. 2 to</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7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UPC’s Registration Statement on Form S-4 (No. 33-64707).</w:t>
              </w:r>
            </w:hyperlink>
          </w:p>
        </w:tc>
        <w:tc>
          <w:tcPr>
            <w:tcW w:w="42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10(t)</w:t>
            </w:r>
          </w:p>
        </w:tc>
        <w:tc>
          <w:tcPr>
            <w:tcW w:w="9140" w:type="dxa"/>
            <w:vAlign w:val="bottom"/>
            <w:gridSpan w:val="2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Agreement, dated September 25, 1995, among UPC, UPRR, Missouri Pacific Railroad Company (MPRR), SP,</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Southern Pacific Transportation Company (SPT), The Denver &amp; Rio Grande Western Railroad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(D&amp;RGW), St. Louis Southwestern Railway Company (SLSRC) and SPCSL Corp. (SPCSL), on the one hand,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gridSpan w:val="23"/>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and Burlington Northern Railroad Company (BN) and The Atchison, Topeka and Santa Fe Railway Company</w:t>
              </w:r>
            </w:hyperlink>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(Santa Fe), on the other hand, is incorporated by reference to Exhibit 10.11 to UPC’s Registration Statement on</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07">
              <w:r>
                <w:rPr>
                  <w:rFonts w:ascii="Arial" w:cs="Arial" w:eastAsia="Arial" w:hAnsi="Arial"/>
                  <w:sz w:val="18"/>
                  <w:szCs w:val="18"/>
                  <w:color w:val="0000EE"/>
                  <w:w w:val="98"/>
                </w:rPr>
                <w:t>Form S-4 (No. 33-64707).</w:t>
              </w:r>
            </w:hyperlink>
          </w:p>
        </w:tc>
        <w:tc>
          <w:tcPr>
            <w:tcW w:w="702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10(u)</w:t>
            </w:r>
          </w:p>
        </w:tc>
        <w:tc>
          <w:tcPr>
            <w:tcW w:w="9140" w:type="dxa"/>
            <w:vAlign w:val="bottom"/>
            <w:gridSpan w:val="2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Supplemental Agreement, dated November 18, 1995, between UPC, UPRR, MPRR, SP, SPT, D&amp;RGW,</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SLSRC and SPCSL, on the one hand, and BN and Santa Fe, on the other hand, is incorporated herein by</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reference to Exhibit 10.12 to UPC’s Registration Statement on Form S-4 (No. 33-64707).</w:t>
              </w:r>
            </w:hyperlink>
          </w:p>
        </w:tc>
        <w:tc>
          <w:tcPr>
            <w:tcW w:w="190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10(v)†</w:t>
            </w:r>
          </w:p>
        </w:tc>
        <w:tc>
          <w:tcPr>
            <w:tcW w:w="9140" w:type="dxa"/>
            <w:vAlign w:val="bottom"/>
            <w:gridSpan w:val="24"/>
          </w:tcPr>
          <w:p>
            <w:pPr>
              <w:spacing w:after="0"/>
              <w:rPr>
                <w:rFonts w:ascii="Arial" w:cs="Arial" w:eastAsia="Arial" w:hAnsi="Arial"/>
                <w:sz w:val="18"/>
                <w:szCs w:val="18"/>
                <w:color w:val="0000EE"/>
              </w:rPr>
            </w:pPr>
            <w:hyperlink r:id="rId108">
              <w:r>
                <w:rPr>
                  <w:rFonts w:ascii="Arial" w:cs="Arial" w:eastAsia="Arial" w:hAnsi="Arial"/>
                  <w:sz w:val="18"/>
                  <w:szCs w:val="18"/>
                  <w:color w:val="0000EE"/>
                </w:rPr>
                <w:t>Form of Non-Qualified Stock Option Agreement for Executives is incorporated herein by reference to Exhibit</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5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10(c) to the Corporation’s Annual Report on Form 10-K for the year ended December 31, 2013.</w:t>
              </w:r>
            </w:hyperlink>
          </w:p>
        </w:tc>
        <w:tc>
          <w:tcPr>
            <w:tcW w:w="1460" w:type="dxa"/>
            <w:vAlign w:val="bottom"/>
            <w:tcBorders>
              <w:top w:val="single" w:sz="8" w:color="0000EE"/>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10(w)†</w:t>
            </w:r>
          </w:p>
        </w:tc>
        <w:tc>
          <w:tcPr>
            <w:tcW w:w="9140" w:type="dxa"/>
            <w:vAlign w:val="bottom"/>
            <w:gridSpan w:val="24"/>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Form of 2021 Long Term Plan Stock Unit Agreement is incorporated herein by reference to Exhibit 10(a) to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Corporation’s Annual Report on Form 10-K for the year ended December 31, 2020.</w:t>
              </w:r>
            </w:hyperlink>
          </w:p>
        </w:tc>
        <w:tc>
          <w:tcPr>
            <w:tcW w:w="246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10(x)†</w:t>
            </w:r>
          </w:p>
        </w:tc>
        <w:tc>
          <w:tcPr>
            <w:tcW w:w="9140" w:type="dxa"/>
            <w:vAlign w:val="bottom"/>
            <w:gridSpan w:val="2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2022 Long Term Plan Stock Unit Agreement is incorporated herein by reference to Exhibit 10(a) to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Corporation’s Annual Report on Form 10-K for the year ended December 31, 2021.</w:t>
              </w:r>
            </w:hyperlink>
          </w:p>
        </w:tc>
        <w:tc>
          <w:tcPr>
            <w:tcW w:w="246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10(y)†</w:t>
            </w:r>
          </w:p>
        </w:tc>
        <w:tc>
          <w:tcPr>
            <w:tcW w:w="9140" w:type="dxa"/>
            <w:vAlign w:val="bottom"/>
            <w:gridSpan w:val="2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2023 Long Term Plan Stock Unit Agreement is incorporated herein by reference to Exhibit 10(a) to the</w:t>
              </w:r>
            </w:hyperlink>
          </w:p>
        </w:tc>
      </w:tr>
      <w:tr>
        <w:trPr>
          <w:trHeight w:val="182"/>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Corporation’s Annual Report on Form 10-K for the year ended December 31, 2022.</w:t>
              </w:r>
            </w:hyperlink>
          </w:p>
        </w:tc>
        <w:tc>
          <w:tcPr>
            <w:tcW w:w="246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2380" w:type="dxa"/>
            <w:vAlign w:val="bottom"/>
            <w:gridSpan w:val="2"/>
          </w:tcPr>
          <w:p>
            <w:pPr>
              <w:spacing w:after="0"/>
              <w:rPr>
                <w:sz w:val="20"/>
                <w:szCs w:val="20"/>
                <w:color w:val="auto"/>
              </w:rPr>
            </w:pPr>
            <w:r>
              <w:rPr>
                <w:rFonts w:ascii="Arial" w:cs="Arial" w:eastAsia="Arial" w:hAnsi="Arial"/>
                <w:sz w:val="18"/>
                <w:szCs w:val="18"/>
                <w:color w:val="auto"/>
              </w:rPr>
              <w:t>10(z)†</w:t>
            </w:r>
          </w:p>
        </w:tc>
        <w:tc>
          <w:tcPr>
            <w:tcW w:w="9140" w:type="dxa"/>
            <w:vAlign w:val="bottom"/>
            <w:gridSpan w:val="2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Executive Incentive Plan (2005) - Deferred Compensation Program, dated December 21, 2005 is incorporated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herein by reference to Exhibit 10(g) to the Corporation’s Annual Report on Form 10-K for the year ended</w:t>
              </w:r>
            </w:hyperlink>
          </w:p>
        </w:tc>
        <w:tc>
          <w:tcPr>
            <w:tcW w:w="80" w:type="dxa"/>
            <w:vAlign w:val="bottom"/>
            <w:tcBorders>
              <w:bottom w:val="single" w:sz="8" w:color="0000EE"/>
            </w:tcBorders>
            <w:gridSpan w:val="4"/>
          </w:tcPr>
          <w:p>
            <w:pPr>
              <w:spacing w:after="0"/>
              <w:rPr>
                <w:sz w:val="15"/>
                <w:szCs w:val="15"/>
                <w:color w:val="auto"/>
              </w:rPr>
            </w:pPr>
          </w:p>
        </w:tc>
        <w:tc>
          <w:tcPr>
            <w:tcW w:w="120" w:type="dxa"/>
            <w:vAlign w:val="bottom"/>
            <w:tcBorders>
              <w:bottom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00" w:type="dxa"/>
            <w:vAlign w:val="bottom"/>
            <w:gridSpan w:val="22"/>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December 31, 2005.</w:t>
              </w:r>
            </w:hyperlink>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380" w:type="dxa"/>
            <w:vAlign w:val="bottom"/>
            <w:gridSpan w:val="1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97</w:t>
            </w:r>
          </w:p>
        </w:tc>
        <w:tc>
          <w:tcPr>
            <w:tcW w:w="1100" w:type="dxa"/>
            <w:vAlign w:val="bottom"/>
          </w:tcPr>
          <w:p>
            <w:pPr>
              <w:spacing w:after="0"/>
              <w:rPr>
                <w:sz w:val="24"/>
                <w:szCs w:val="24"/>
                <w:color w:val="auto"/>
              </w:rPr>
            </w:pPr>
          </w:p>
        </w:tc>
        <w:tc>
          <w:tcPr>
            <w:tcW w:w="9140" w:type="dxa"/>
            <w:vAlign w:val="bottom"/>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Union Pacific Corporation Policy for Recoupment of Certain Compensation, amended and restated effective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October 2, 2023, is incorporated by reference to Exhibit 10(a) to the Corporation Quarterly Report on Form 10-</w:t>
              </w:r>
            </w:hyperlink>
          </w:p>
        </w:tc>
        <w:tc>
          <w:tcPr>
            <w:tcW w:w="4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Q for the quarter ended September 30, 2023.</w:t>
              </w:r>
            </w:hyperlink>
          </w:p>
        </w:tc>
        <w:tc>
          <w:tcPr>
            <w:tcW w:w="5380" w:type="dxa"/>
            <w:vAlign w:val="bottom"/>
            <w:tcBorders>
              <w:top w:val="single" w:sz="8" w:color="0000EE"/>
            </w:tcBorders>
            <w:gridSpan w:val="13"/>
          </w:tcPr>
          <w:p>
            <w:pPr>
              <w:spacing w:after="0"/>
              <w:rPr>
                <w:sz w:val="15"/>
                <w:szCs w:val="15"/>
                <w:color w:val="auto"/>
              </w:rPr>
            </w:pPr>
          </w:p>
        </w:tc>
        <w:tc>
          <w:tcPr>
            <w:tcW w:w="160" w:type="dxa"/>
            <w:vAlign w:val="bottom"/>
            <w:gridSpan w:val="8"/>
          </w:tcPr>
          <w:p>
            <w:pPr>
              <w:spacing w:after="0"/>
              <w:rPr>
                <w:sz w:val="15"/>
                <w:szCs w:val="15"/>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9th day of February, 2024.</w:t>
      </w:r>
    </w:p>
    <w:p>
      <w:pPr>
        <w:spacing w:after="0" w:line="14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UNION PACIFIC CORPORATION</w:t>
      </w:r>
    </w:p>
    <w:p>
      <w:pPr>
        <w:spacing w:after="0" w:line="198" w:lineRule="exact"/>
        <w:rPr>
          <w:sz w:val="20"/>
          <w:szCs w:val="20"/>
          <w:color w:val="auto"/>
        </w:rPr>
      </w:pPr>
    </w:p>
    <w:p>
      <w:pPr>
        <w:ind w:left="57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8890</wp:posOffset>
            </wp:positionV>
            <wp:extent cx="2854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 James Vena,</w:t>
      </w:r>
    </w:p>
    <w:p>
      <w:pPr>
        <w:ind w:left="64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9th day of February, 2024, by the following persons on behalf of the registrant and in the capacities indicated.</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PRINCIPAL EXECUTIVE OFFICER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DIRECTOR: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 James Vena</w:t>
            </w:r>
          </w:p>
        </w:tc>
      </w:tr>
      <w:tr>
        <w:trPr>
          <w:trHeight w:val="177"/>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20" w:type="dxa"/>
            <w:vAlign w:val="bottom"/>
          </w:tcPr>
          <w:p>
            <w:pPr>
              <w:spacing w:after="0" w:line="177" w:lineRule="exact"/>
              <w:rPr>
                <w:sz w:val="20"/>
                <w:szCs w:val="20"/>
                <w:color w:val="auto"/>
              </w:rPr>
            </w:pPr>
            <w:r>
              <w:rPr>
                <w:rFonts w:ascii="Arial" w:cs="Arial" w:eastAsia="Arial" w:hAnsi="Arial"/>
                <w:sz w:val="18"/>
                <w:szCs w:val="18"/>
                <w:color w:val="auto"/>
              </w:rPr>
              <w:t>V. James Vena,</w:t>
            </w:r>
          </w:p>
        </w:tc>
      </w:tr>
      <w:tr>
        <w:trPr>
          <w:trHeight w:val="203"/>
        </w:trPr>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39"/>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Union Pacific Corporation</w:t>
            </w:r>
          </w:p>
        </w:tc>
      </w:tr>
      <w:tr>
        <w:trPr>
          <w:trHeight w:val="405"/>
        </w:trPr>
        <w:tc>
          <w:tcPr>
            <w:tcW w:w="66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PRINCIPAL FINANCIAL OFFICER:</w:t>
            </w:r>
          </w:p>
        </w:tc>
        <w:tc>
          <w:tcPr>
            <w:tcW w:w="4520" w:type="dxa"/>
            <w:vAlign w:val="bottom"/>
          </w:tcPr>
          <w:p>
            <w:pPr>
              <w:spacing w:after="0"/>
              <w:rPr>
                <w:sz w:val="24"/>
                <w:szCs w:val="24"/>
                <w:color w:val="auto"/>
              </w:rPr>
            </w:pPr>
          </w:p>
        </w:tc>
      </w:tr>
      <w:tr>
        <w:trPr>
          <w:trHeight w:val="388"/>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L. Hamann</w:t>
            </w:r>
          </w:p>
        </w:tc>
      </w:tr>
      <w:tr>
        <w:trPr>
          <w:trHeight w:val="177"/>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20" w:type="dxa"/>
            <w:vAlign w:val="bottom"/>
          </w:tcPr>
          <w:p>
            <w:pPr>
              <w:spacing w:after="0" w:line="177" w:lineRule="exact"/>
              <w:rPr>
                <w:sz w:val="20"/>
                <w:szCs w:val="20"/>
                <w:color w:val="auto"/>
              </w:rPr>
            </w:pPr>
            <w:r>
              <w:rPr>
                <w:rFonts w:ascii="Arial" w:cs="Arial" w:eastAsia="Arial" w:hAnsi="Arial"/>
                <w:sz w:val="18"/>
                <w:szCs w:val="18"/>
                <w:color w:val="auto"/>
              </w:rPr>
              <w:t>Jennifer L. Hamann</w:t>
            </w:r>
          </w:p>
        </w:tc>
      </w:tr>
      <w:tr>
        <w:trPr>
          <w:trHeight w:val="203"/>
        </w:trPr>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Executive Vice President and</w:t>
            </w:r>
          </w:p>
        </w:tc>
      </w:tr>
      <w:tr>
        <w:trPr>
          <w:trHeight w:val="239"/>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5"/>
        </w:trPr>
        <w:tc>
          <w:tcPr>
            <w:tcW w:w="66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PRINCIPAL ACCOUNTING OFFICER:</w:t>
            </w:r>
          </w:p>
        </w:tc>
        <w:tc>
          <w:tcPr>
            <w:tcW w:w="4520" w:type="dxa"/>
            <w:vAlign w:val="bottom"/>
          </w:tcPr>
          <w:p>
            <w:pPr>
              <w:spacing w:after="0"/>
              <w:rPr>
                <w:sz w:val="24"/>
                <w:szCs w:val="24"/>
                <w:color w:val="auto"/>
              </w:rPr>
            </w:pPr>
          </w:p>
        </w:tc>
      </w:tr>
      <w:tr>
        <w:trPr>
          <w:trHeight w:val="388"/>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M. Rynaski</w:t>
            </w:r>
          </w:p>
        </w:tc>
      </w:tr>
      <w:tr>
        <w:trPr>
          <w:trHeight w:val="177"/>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20" w:type="dxa"/>
            <w:vAlign w:val="bottom"/>
          </w:tcPr>
          <w:p>
            <w:pPr>
              <w:spacing w:after="0" w:line="177" w:lineRule="exact"/>
              <w:rPr>
                <w:sz w:val="20"/>
                <w:szCs w:val="20"/>
                <w:color w:val="auto"/>
              </w:rPr>
            </w:pPr>
            <w:r>
              <w:rPr>
                <w:rFonts w:ascii="Arial" w:cs="Arial" w:eastAsia="Arial" w:hAnsi="Arial"/>
                <w:sz w:val="18"/>
                <w:szCs w:val="18"/>
                <w:color w:val="auto"/>
              </w:rPr>
              <w:t>Todd M. Rynaski,</w:t>
            </w:r>
          </w:p>
        </w:tc>
      </w:tr>
      <w:tr>
        <w:trPr>
          <w:trHeight w:val="203"/>
        </w:trPr>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Senior Vice President and</w:t>
            </w:r>
          </w:p>
        </w:tc>
      </w:tr>
      <w:tr>
        <w:trPr>
          <w:trHeight w:val="203"/>
        </w:trPr>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Chief Accounting, Risk, and</w:t>
            </w:r>
          </w:p>
        </w:tc>
      </w:tr>
      <w:tr>
        <w:trPr>
          <w:trHeight w:val="239"/>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Compliance Officer</w:t>
            </w:r>
          </w:p>
        </w:tc>
      </w:tr>
      <w:tr>
        <w:trPr>
          <w:trHeight w:val="361"/>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DIRECTORS:</w:t>
            </w:r>
          </w:p>
        </w:tc>
        <w:tc>
          <w:tcPr>
            <w:tcW w:w="5240" w:type="dxa"/>
            <w:vAlign w:val="bottom"/>
            <w:gridSpan w:val="2"/>
          </w:tcPr>
          <w:p>
            <w:pPr>
              <w:spacing w:after="0"/>
              <w:rPr>
                <w:sz w:val="24"/>
                <w:szCs w:val="24"/>
                <w:color w:val="auto"/>
              </w:rPr>
            </w:pPr>
          </w:p>
        </w:tc>
        <w:tc>
          <w:tcPr>
            <w:tcW w:w="4520" w:type="dxa"/>
            <w:vAlign w:val="bottom"/>
          </w:tcPr>
          <w:p>
            <w:pPr>
              <w:spacing w:after="0"/>
              <w:rPr>
                <w:sz w:val="24"/>
                <w:szCs w:val="24"/>
                <w:color w:val="auto"/>
              </w:rPr>
            </w:pPr>
          </w:p>
        </w:tc>
      </w:tr>
      <w:tr>
        <w:trPr>
          <w:trHeight w:val="393"/>
        </w:trPr>
        <w:tc>
          <w:tcPr>
            <w:tcW w:w="6360" w:type="dxa"/>
            <w:vAlign w:val="bottom"/>
            <w:gridSpan w:val="4"/>
          </w:tcPr>
          <w:p>
            <w:pPr>
              <w:spacing w:after="0"/>
              <w:rPr>
                <w:sz w:val="20"/>
                <w:szCs w:val="20"/>
                <w:color w:val="auto"/>
              </w:rPr>
            </w:pPr>
            <w:r>
              <w:rPr>
                <w:rFonts w:ascii="Arial" w:cs="Arial" w:eastAsia="Arial" w:hAnsi="Arial"/>
                <w:sz w:val="18"/>
                <w:szCs w:val="18"/>
                <w:color w:val="auto"/>
              </w:rPr>
              <w:t>William J. DeLaney*</w:t>
            </w:r>
          </w:p>
        </w:tc>
        <w:tc>
          <w:tcPr>
            <w:tcW w:w="4520" w:type="dxa"/>
            <w:vAlign w:val="bottom"/>
          </w:tcPr>
          <w:p>
            <w:pPr>
              <w:ind w:left="40"/>
              <w:spacing w:after="0"/>
              <w:rPr>
                <w:sz w:val="20"/>
                <w:szCs w:val="20"/>
                <w:color w:val="auto"/>
              </w:rPr>
            </w:pPr>
            <w:r>
              <w:rPr>
                <w:rFonts w:ascii="Arial" w:cs="Arial" w:eastAsia="Arial" w:hAnsi="Arial"/>
                <w:sz w:val="18"/>
                <w:szCs w:val="18"/>
                <w:color w:val="auto"/>
              </w:rPr>
              <w:t>Michael R. McCarthy*</w:t>
            </w:r>
          </w:p>
        </w:tc>
      </w:tr>
      <w:tr>
        <w:trPr>
          <w:trHeight w:val="203"/>
        </w:trPr>
        <w:tc>
          <w:tcPr>
            <w:tcW w:w="6360" w:type="dxa"/>
            <w:vAlign w:val="bottom"/>
            <w:gridSpan w:val="4"/>
          </w:tcPr>
          <w:p>
            <w:pPr>
              <w:spacing w:after="0" w:line="202" w:lineRule="exact"/>
              <w:rPr>
                <w:sz w:val="20"/>
                <w:szCs w:val="20"/>
                <w:color w:val="auto"/>
              </w:rPr>
            </w:pPr>
            <w:r>
              <w:rPr>
                <w:rFonts w:ascii="Arial" w:cs="Arial" w:eastAsia="Arial" w:hAnsi="Arial"/>
                <w:sz w:val="18"/>
                <w:szCs w:val="18"/>
                <w:color w:val="auto"/>
              </w:rPr>
              <w:t>David B. Dillon*</w:t>
            </w:r>
          </w:p>
        </w:tc>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Doyle R. Simons*</w:t>
            </w:r>
          </w:p>
        </w:tc>
      </w:tr>
      <w:tr>
        <w:trPr>
          <w:trHeight w:val="202"/>
        </w:trPr>
        <w:tc>
          <w:tcPr>
            <w:tcW w:w="6360" w:type="dxa"/>
            <w:vAlign w:val="bottom"/>
            <w:gridSpan w:val="4"/>
          </w:tcPr>
          <w:p>
            <w:pPr>
              <w:spacing w:after="0" w:line="202" w:lineRule="exact"/>
              <w:rPr>
                <w:sz w:val="20"/>
                <w:szCs w:val="20"/>
                <w:color w:val="auto"/>
              </w:rPr>
            </w:pPr>
            <w:r>
              <w:rPr>
                <w:rFonts w:ascii="Arial" w:cs="Arial" w:eastAsia="Arial" w:hAnsi="Arial"/>
                <w:sz w:val="18"/>
                <w:szCs w:val="18"/>
                <w:color w:val="auto"/>
              </w:rPr>
              <w:t>Sheri H. Edison*</w:t>
            </w:r>
          </w:p>
        </w:tc>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John K. Tien*</w:t>
            </w:r>
          </w:p>
        </w:tc>
      </w:tr>
      <w:tr>
        <w:trPr>
          <w:trHeight w:val="203"/>
        </w:trPr>
        <w:tc>
          <w:tcPr>
            <w:tcW w:w="6360" w:type="dxa"/>
            <w:vAlign w:val="bottom"/>
            <w:gridSpan w:val="4"/>
          </w:tcPr>
          <w:p>
            <w:pPr>
              <w:spacing w:after="0" w:line="202" w:lineRule="exact"/>
              <w:rPr>
                <w:sz w:val="20"/>
                <w:szCs w:val="20"/>
                <w:color w:val="auto"/>
              </w:rPr>
            </w:pPr>
            <w:r>
              <w:rPr>
                <w:rFonts w:ascii="Arial" w:cs="Arial" w:eastAsia="Arial" w:hAnsi="Arial"/>
                <w:sz w:val="18"/>
                <w:szCs w:val="18"/>
                <w:color w:val="auto"/>
              </w:rPr>
              <w:t>Teresa M. Finley*</w:t>
            </w:r>
          </w:p>
        </w:tc>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John P. Wiehoff*</w:t>
            </w:r>
          </w:p>
        </w:tc>
      </w:tr>
      <w:tr>
        <w:trPr>
          <w:trHeight w:val="203"/>
        </w:trPr>
        <w:tc>
          <w:tcPr>
            <w:tcW w:w="6360" w:type="dxa"/>
            <w:vAlign w:val="bottom"/>
            <w:gridSpan w:val="4"/>
          </w:tcPr>
          <w:p>
            <w:pPr>
              <w:spacing w:after="0" w:line="202" w:lineRule="exact"/>
              <w:rPr>
                <w:sz w:val="20"/>
                <w:szCs w:val="20"/>
                <w:color w:val="auto"/>
              </w:rPr>
            </w:pPr>
            <w:r>
              <w:rPr>
                <w:rFonts w:ascii="Arial" w:cs="Arial" w:eastAsia="Arial" w:hAnsi="Arial"/>
                <w:sz w:val="18"/>
                <w:szCs w:val="18"/>
                <w:color w:val="auto"/>
              </w:rPr>
              <w:t>Deborah C. Hopkins*</w:t>
            </w:r>
          </w:p>
        </w:tc>
        <w:tc>
          <w:tcPr>
            <w:tcW w:w="4520" w:type="dxa"/>
            <w:vAlign w:val="bottom"/>
          </w:tcPr>
          <w:p>
            <w:pPr>
              <w:ind w:left="40"/>
              <w:spacing w:after="0" w:line="202" w:lineRule="exact"/>
              <w:rPr>
                <w:sz w:val="20"/>
                <w:szCs w:val="20"/>
                <w:color w:val="auto"/>
              </w:rPr>
            </w:pPr>
            <w:r>
              <w:rPr>
                <w:rFonts w:ascii="Arial" w:cs="Arial" w:eastAsia="Arial" w:hAnsi="Arial"/>
                <w:sz w:val="18"/>
                <w:szCs w:val="18"/>
                <w:color w:val="auto"/>
              </w:rPr>
              <w:t>Christopher J. Williams*</w:t>
            </w:r>
          </w:p>
        </w:tc>
      </w:tr>
      <w:tr>
        <w:trPr>
          <w:trHeight w:val="239"/>
        </w:trPr>
        <w:tc>
          <w:tcPr>
            <w:tcW w:w="6360" w:type="dxa"/>
            <w:vAlign w:val="bottom"/>
            <w:gridSpan w:val="4"/>
          </w:tcPr>
          <w:p>
            <w:pPr>
              <w:spacing w:after="0"/>
              <w:rPr>
                <w:sz w:val="20"/>
                <w:szCs w:val="20"/>
                <w:color w:val="auto"/>
              </w:rPr>
            </w:pPr>
            <w:r>
              <w:rPr>
                <w:rFonts w:ascii="Arial" w:cs="Arial" w:eastAsia="Arial" w:hAnsi="Arial"/>
                <w:sz w:val="18"/>
                <w:szCs w:val="18"/>
                <w:color w:val="auto"/>
              </w:rPr>
              <w:t>Jane H. Lute*</w:t>
            </w:r>
          </w:p>
        </w:tc>
        <w:tc>
          <w:tcPr>
            <w:tcW w:w="4520" w:type="dxa"/>
            <w:vAlign w:val="bottom"/>
          </w:tcPr>
          <w:p>
            <w:pPr>
              <w:spacing w:after="0"/>
              <w:rPr>
                <w:sz w:val="20"/>
                <w:szCs w:val="20"/>
                <w:color w:val="auto"/>
              </w:rPr>
            </w:pPr>
          </w:p>
        </w:tc>
      </w:tr>
      <w:tr>
        <w:trPr>
          <w:trHeight w:val="590"/>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700" w:type="dxa"/>
            <w:vAlign w:val="bottom"/>
            <w:gridSpan w:val="3"/>
          </w:tcPr>
          <w:p>
            <w:pPr>
              <w:spacing w:after="0"/>
              <w:rPr>
                <w:sz w:val="20"/>
                <w:szCs w:val="20"/>
                <w:color w:val="auto"/>
              </w:rPr>
            </w:pPr>
            <w:r>
              <w:rPr>
                <w:rFonts w:ascii="Arial" w:cs="Arial" w:eastAsia="Arial" w:hAnsi="Arial"/>
                <w:sz w:val="18"/>
                <w:szCs w:val="18"/>
                <w:color w:val="auto"/>
              </w:rPr>
              <w:t>/s/ Craig V. Richardson</w:t>
            </w:r>
          </w:p>
        </w:tc>
        <w:tc>
          <w:tcPr>
            <w:tcW w:w="4520" w:type="dxa"/>
            <w:vAlign w:val="bottom"/>
          </w:tcPr>
          <w:p>
            <w:pPr>
              <w:spacing w:after="0"/>
              <w:rPr>
                <w:sz w:val="24"/>
                <w:szCs w:val="24"/>
                <w:color w:val="auto"/>
              </w:rPr>
            </w:pPr>
          </w:p>
        </w:tc>
      </w:tr>
      <w:tr>
        <w:trPr>
          <w:trHeight w:val="232"/>
        </w:trPr>
        <w:tc>
          <w:tcPr>
            <w:tcW w:w="660" w:type="dxa"/>
            <w:vAlign w:val="bottom"/>
          </w:tcPr>
          <w:p>
            <w:pPr>
              <w:spacing w:after="0"/>
              <w:rPr>
                <w:sz w:val="20"/>
                <w:szCs w:val="20"/>
                <w:color w:val="auto"/>
              </w:rPr>
            </w:pPr>
          </w:p>
        </w:tc>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Craig V. Richardson, Attorney-in-fact</w:t>
            </w:r>
          </w:p>
        </w:tc>
        <w:tc>
          <w:tcPr>
            <w:tcW w:w="7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86"/>
        </w:trPr>
        <w:tc>
          <w:tcPr>
            <w:tcW w:w="660" w:type="dxa"/>
            <w:vAlign w:val="bottom"/>
          </w:tcPr>
          <w:p>
            <w:pPr>
              <w:spacing w:after="0"/>
              <w:rPr>
                <w:sz w:val="24"/>
                <w:szCs w:val="24"/>
                <w:color w:val="auto"/>
              </w:rPr>
            </w:pPr>
          </w:p>
        </w:tc>
        <w:tc>
          <w:tcPr>
            <w:tcW w:w="5700" w:type="dxa"/>
            <w:vAlign w:val="bottom"/>
            <w:gridSpan w:val="3"/>
          </w:tcPr>
          <w:p>
            <w:pPr>
              <w:ind w:left="4860"/>
              <w:spacing w:after="0"/>
              <w:rPr>
                <w:sz w:val="20"/>
                <w:szCs w:val="20"/>
                <w:color w:val="auto"/>
              </w:rPr>
            </w:pPr>
            <w:r>
              <w:rPr>
                <w:rFonts w:ascii="Arial" w:cs="Arial" w:eastAsia="Arial" w:hAnsi="Arial"/>
                <w:sz w:val="18"/>
                <w:szCs w:val="18"/>
                <w:color w:val="auto"/>
              </w:rPr>
              <w:t>80</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GRANT NOTICE FOR 2021 STOCK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GOOD AND VALUABLE CONSIDERATION, Union Pacific Corporation (the “Company”), hereby grants to Participant named below (for purposes hereof, references herein to “you” or “your” shall refer to such Participant) the number of Stock Units specified below (the “Award”), upon the terms and subject to the conditions set forth in this Grant Notice, the Union Pacific Corporation 2021 Stock Incentive Plan (the “Plan”), the Standard Terms and Conditions (the “Standard Terms and Conditions”) adopted under such Plan and described in this Grant Notice, and the Union Pacific Corporation Long Term Plan (the “Long Term Plan”) approved and adopted by the Compensation and Benefits Committee of the Company’s Board of Directors (the “Committee”), and the Policy for Recoupment of Certain Compensation, each as amended from time to time. In addition, if you become eligible for and entitled to severance benefits under a broad based severance pay policy of the Company that include waiver of the continuous employment requirement applicable to the Stock Units (the “Severance Policy”), the Award also shall be subject to the terms of such Severance Policy.</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Stock Unit subject to this Award represents the right to receive one share of the Company’s common stock, par value $2.50 (the “Common Stock”), subject to the conditions set forth in this Grant Notice, the Plan, the Standard Terms and Conditions, and the Long Term Plan. This Award is granted pursuant to the Plan and the Long Term Plan and is subject to and qualified in its entirety by the Standard Terms and Conditions.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8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Date:</w:t>
            </w:r>
          </w:p>
        </w:tc>
        <w:tc>
          <w:tcPr>
            <w:tcW w:w="7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February 8, 2024</w:t>
            </w:r>
          </w:p>
        </w:tc>
      </w:tr>
      <w:tr>
        <w:trPr>
          <w:trHeight w:val="250"/>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Number:</w:t>
            </w:r>
          </w:p>
        </w:tc>
        <w:tc>
          <w:tcPr>
            <w:tcW w:w="7360" w:type="dxa"/>
            <w:vAlign w:val="bottom"/>
            <w:tcBorders>
              <w:bottom w:val="single" w:sz="8" w:color="auto"/>
            </w:tcBorders>
          </w:tcPr>
          <w:p>
            <w:pPr>
              <w:spacing w:after="0"/>
              <w:rPr>
                <w:sz w:val="21"/>
                <w:szCs w:val="21"/>
                <w:color w:val="auto"/>
              </w:rPr>
            </w:pPr>
          </w:p>
        </w:tc>
      </w:tr>
      <w:tr>
        <w:trPr>
          <w:trHeight w:val="189"/>
        </w:trPr>
        <w:tc>
          <w:tcPr>
            <w:tcW w:w="3880" w:type="dxa"/>
            <w:vAlign w:val="bottom"/>
            <w:gridSpan w:val="2"/>
          </w:tcPr>
          <w:p>
            <w:pPr>
              <w:spacing w:after="0" w:line="189" w:lineRule="exact"/>
              <w:rPr>
                <w:sz w:val="20"/>
                <w:szCs w:val="20"/>
                <w:color w:val="auto"/>
              </w:rPr>
            </w:pPr>
            <w:r>
              <w:rPr>
                <w:rFonts w:ascii="Times New Roman" w:cs="Times New Roman" w:eastAsia="Times New Roman" w:hAnsi="Times New Roman"/>
                <w:sz w:val="20"/>
                <w:szCs w:val="20"/>
                <w:color w:val="auto"/>
              </w:rPr>
              <w:t>Target Number of Stock Units subject to the</w:t>
            </w:r>
          </w:p>
        </w:tc>
        <w:tc>
          <w:tcPr>
            <w:tcW w:w="736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23"/>
        </w:trPr>
        <w:tc>
          <w:tcPr>
            <w:tcW w:w="38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Award:</w:t>
            </w:r>
          </w:p>
        </w:tc>
        <w:tc>
          <w:tcPr>
            <w:tcW w:w="736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The maximum number of stock units subject</w:t>
            </w:r>
          </w:p>
        </w:tc>
        <w:tc>
          <w:tcPr>
            <w:tcW w:w="7360" w:type="dxa"/>
            <w:vAlign w:val="bottom"/>
          </w:tcPr>
          <w:p>
            <w:pPr>
              <w:spacing w:after="0"/>
              <w:rPr>
                <w:sz w:val="19"/>
                <w:szCs w:val="19"/>
                <w:color w:val="auto"/>
              </w:rPr>
            </w:pPr>
          </w:p>
        </w:tc>
      </w:tr>
      <w:tr>
        <w:trPr>
          <w:trHeight w:val="233"/>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 the award is two times the amount shown.</w:t>
            </w:r>
          </w:p>
        </w:tc>
        <w:tc>
          <w:tcPr>
            <w:tcW w:w="7360" w:type="dxa"/>
            <w:vAlign w:val="bottom"/>
          </w:tcPr>
          <w:p>
            <w:pPr>
              <w:spacing w:after="0"/>
              <w:rPr>
                <w:sz w:val="20"/>
                <w:szCs w:val="20"/>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participant is eligible to receive up to the</w:t>
            </w:r>
          </w:p>
        </w:tc>
        <w:tc>
          <w:tcPr>
            <w:tcW w:w="736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maximum number of stock units in accordance</w:t>
            </w:r>
          </w:p>
        </w:tc>
        <w:tc>
          <w:tcPr>
            <w:tcW w:w="7360" w:type="dxa"/>
            <w:vAlign w:val="bottom"/>
          </w:tcPr>
          <w:p>
            <w:pPr>
              <w:spacing w:after="0"/>
              <w:rPr>
                <w:sz w:val="19"/>
                <w:szCs w:val="19"/>
                <w:color w:val="auto"/>
              </w:rPr>
            </w:pPr>
          </w:p>
        </w:tc>
      </w:tr>
      <w:tr>
        <w:trPr>
          <w:trHeight w:val="229"/>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with the program design in the Long Term Plan</w:t>
            </w:r>
          </w:p>
        </w:tc>
        <w:tc>
          <w:tcPr>
            <w:tcW w:w="736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Summary. The actual number of shares paid, if</w:t>
            </w:r>
          </w:p>
        </w:tc>
        <w:tc>
          <w:tcPr>
            <w:tcW w:w="736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any, depends on the achievement level of the</w:t>
            </w:r>
          </w:p>
        </w:tc>
        <w:tc>
          <w:tcPr>
            <w:tcW w:w="7360" w:type="dxa"/>
            <w:vAlign w:val="bottom"/>
          </w:tcPr>
          <w:p>
            <w:pPr>
              <w:spacing w:after="0"/>
              <w:rPr>
                <w:sz w:val="19"/>
                <w:szCs w:val="19"/>
                <w:color w:val="auto"/>
              </w:rPr>
            </w:pPr>
          </w:p>
        </w:tc>
      </w:tr>
      <w:tr>
        <w:trPr>
          <w:trHeight w:val="273"/>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applicable performance criteria.</w:t>
            </w:r>
          </w:p>
        </w:tc>
        <w:tc>
          <w:tcPr>
            <w:tcW w:w="7360" w:type="dxa"/>
            <w:vAlign w:val="bottom"/>
            <w:tcBorders>
              <w:bottom w:val="single" w:sz="8" w:color="auto"/>
            </w:tcBorders>
          </w:tcPr>
          <w:p>
            <w:pPr>
              <w:spacing w:after="0"/>
              <w:rPr>
                <w:sz w:val="23"/>
                <w:szCs w:val="23"/>
                <w:color w:val="auto"/>
              </w:rPr>
            </w:pPr>
          </w:p>
        </w:tc>
      </w:tr>
      <w:tr>
        <w:trPr>
          <w:trHeight w:val="250"/>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Restriction Period:</w:t>
            </w:r>
          </w:p>
        </w:tc>
        <w:tc>
          <w:tcPr>
            <w:tcW w:w="7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 years</w:t>
            </w:r>
          </w:p>
        </w:tc>
      </w:tr>
      <w:tr>
        <w:trPr>
          <w:trHeight w:val="250"/>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Restriction Period Commencement Date:</w:t>
            </w:r>
          </w:p>
        </w:tc>
        <w:tc>
          <w:tcPr>
            <w:tcW w:w="7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February 8, 2024</w:t>
            </w:r>
          </w:p>
        </w:tc>
      </w:tr>
      <w:tr>
        <w:trPr>
          <w:trHeight w:val="250"/>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Restriction Period Termination Date:</w:t>
            </w:r>
          </w:p>
        </w:tc>
        <w:tc>
          <w:tcPr>
            <w:tcW w:w="7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February 8, 2027</w:t>
            </w:r>
          </w:p>
        </w:tc>
      </w:tr>
    </w:tbl>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By electronically accepting this Award, you acknowledge that you have received and read, and agree that this Award shall be subject to, the terms of this Grant Notice, the Plan, the Standard Terms and Conditions, and the Long Term Plan (including, but not limited to, the Committee’s discretionary authority under the Long Term Plan to determine the number of Stock Units payable with respect to the Award) and, if applicable, the Severance Policy (including, but not limited to, the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Stock Units via Company website or other electronic delivery.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1" w:name="page82"/>
    <w:bookmarkEnd w:id="8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0"/>
          <w:szCs w:val="20"/>
          <w:b w:val="1"/>
          <w:bCs w:val="1"/>
          <w:i w:val="1"/>
          <w:iCs w:val="1"/>
          <w:color w:val="auto"/>
        </w:rPr>
        <w:t>FORFEIT</w:t>
      </w:r>
      <w:r>
        <w:rPr>
          <w:rFonts w:ascii="Times New Roman" w:cs="Times New Roman" w:eastAsia="Times New Roman" w:hAnsi="Times New Roman"/>
          <w:sz w:val="20"/>
          <w:szCs w:val="20"/>
          <w:color w:val="auto"/>
        </w:rPr>
        <w:t xml:space="preserve"> THE PERFORMANCE STOCK UNITS THAT ARE THE SUBJECT OF THIS AWARD.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TERMS AND CONDITIONS FOR</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These Standard Terms and Conditions apply to the Award of performance stock units granted pursuant to the Union Pacific Corporation 2021 Stock Incentive Plan, as amended from time to time (the “Plan”), which are evidenced by a Grant Notice that specifically refers to these Standard Terms and Conditions. In addition to these Standard Terms and Conditions, the performance stock units shall be subject to the terms of the Plan and the Long-Term Plan and, if applicable, the Severance Policy and the Policy for Recoupment of Certain Compensation, each as amended from time to time, which are incorporated into these Standard Terms and Conditions by reference. Capitalized terms not otherwise defined herein shall have the meaning set forth in the Plan. For purposes of these Standard Terms and Conditions and the Grant Notice, any reference to the Company (as defined below) shall include a reference to any Subsidiary. Additionally, for purposes of these Standard Terms and Conditions, references in these Standard Terms and Conditions to “you” or “your” shall refer to the Participant named in the Grant Notice provided to said Participant herewith (the “Grant Notice”), and such Participant’s heirs and beneficiaries.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By electronically accepting the Award and these Standard Terms and Conditions, you acknowledge and agree to be bound by the following, which will survive your termination from employment and the vesting or forfeiture of this Award:</w:t>
      </w:r>
    </w:p>
    <w:p>
      <w:pPr>
        <w:spacing w:after="0" w:line="1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UNITS</w:t>
      </w:r>
    </w:p>
    <w:p>
      <w:pPr>
        <w:spacing w:after="0" w:line="229"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PERFORMANCE STOCK UNITS</w:t>
      </w:r>
    </w:p>
    <w:p>
      <w:pPr>
        <w:spacing w:after="0" w:line="233" w:lineRule="exact"/>
        <w:rPr>
          <w:sz w:val="20"/>
          <w:szCs w:val="20"/>
          <w:color w:val="auto"/>
        </w:rPr>
      </w:pPr>
    </w:p>
    <w:p>
      <w:pPr>
        <w:jc w:val="both"/>
        <w:ind w:left="500"/>
        <w:spacing w:after="0" w:line="243" w:lineRule="auto"/>
        <w:rPr>
          <w:sz w:val="20"/>
          <w:szCs w:val="20"/>
          <w:color w:val="auto"/>
        </w:rPr>
      </w:pPr>
      <w:r>
        <w:rPr>
          <w:rFonts w:ascii="Times New Roman" w:cs="Times New Roman" w:eastAsia="Times New Roman" w:hAnsi="Times New Roman"/>
          <w:sz w:val="20"/>
          <w:szCs w:val="20"/>
          <w:color w:val="auto"/>
        </w:rPr>
        <w:t>Union Pacific Corporation, a Utah corporation (the “Company”), has granted to you an award of a target number of performance stock units that may be earned at between 0% and 200% of the specified target level (the “Award” or the “Stock Units”) specified in the Grant Notice. Each Stock Unit represents the right to receive (i) one share of the Company’s common stock, $2.50 par value per share (the “Common Stock”) and (ii) a payment in cash equal to the amount of dividends that would have been payable on one share of Common Stock had you owned such Common Stock from the Grant Date specified in the Grant Notice through the payment date for such Stock Units (“Dividend Equivalent Payments”), in each case to the extent that the applicable Performance Criteria described below have been satisfied. The Award is subject to the terms and conditions set forth in the Grant Notice, these Standard Terms and Conditions, the Plan, the Long Term Plan and, if applicable, the Severance Policy and the Policy for Recoupment of Certain Compensation, each as amended from time to time.</w:t>
      </w:r>
    </w:p>
    <w:p>
      <w:pPr>
        <w:spacing w:after="0" w:line="195"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PERFORMANCE STOCK UNITS</w:t>
      </w:r>
    </w:p>
    <w:p>
      <w:pPr>
        <w:spacing w:after="0" w:line="233"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0"/>
          <w:szCs w:val="20"/>
          <w:color w:val="auto"/>
        </w:rPr>
        <w:t>The Award shall not be vested as of the Grant Date set forth in the Grant Notice and shall be forfeitable until the end of the Restriction Period as set forth in the Grant Notice (the “Restriction Period Termination Date”), unless otherwise provided under these Standard Terms and Conditions and, for the avoidance of doubt, specifically subject to Section 3 hereof. After the end of the Restriction Period, subject to your continued employment with the Company through the Restriction Period Termination Date and to termination or acceleration as provided in these Standard Terms and Conditions, the Plan, the Long Term Plan and, if applicable, the Severance Policy, and to the extent certified by the Committee as described below, the Award (including related Dividend Equivalent Payments) shall become vested as of the Restriction Period Termination Date with respect to that number of Stock Units determined by the Committee to be paid pursuant to the Award. Unless the Committee shall determine otherwise, a period in which you are on a leave of absence during the Restriction Period in accordance with a leave of absence policy adopted by the Company shall count toward satisfaction of the Restriction Period.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83" w:name="page84"/>
    <w:bookmarkEnd w:id="83"/>
    <w:p>
      <w:pPr>
        <w:ind w:left="460" w:hanging="452"/>
        <w:spacing w:after="0"/>
        <w:tabs>
          <w:tab w:leader="none" w:pos="4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CRITERIA</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“Performance Criteria” are average annual Return on Invested Capital (“ROIC”) and relative Operating Income Growth (“OIG”).</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definition and calculation of annual ROIC and relative OIG shall be determined in accordance with the Long-Term Plan.</w:t>
      </w:r>
    </w:p>
    <w:p>
      <w:pPr>
        <w:spacing w:after="0" w:line="207"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0"/>
          <w:szCs w:val="20"/>
          <w:color w:val="auto"/>
        </w:rPr>
        <w:t>You may earn Stock Units at the conclusion of the Restriction Period (or such earlier time as may be provided in Section 6) based on the Company’s satisfaction of the Performance Criteria in accordance with the ROIC targets and payout schedule and the relative OIG targets and payout schedule approved by the Committee, as determined and certified by the Committee (or the Committee’s delegate) in its sole discretion (the “Certification Date”). To the extent certified by the Committee, you may earn up to two times the Stock Unit Target Award as shown on the Grant Notice based on the average of all three fiscal years (2024, 2025 and 2026) of ROIC performance achieved and the Company’s relative OIG percentile ranking (which is based on the Company’s OIG performance over the three fiscal year period as compared to the OIG performance over that period of the constituent companies of the S&amp;P 100 Industrials Index and Class I Railroads as set forth in the Long Term Plan), as determined and certified by the Committee (or the Committee’s delegate) in its sole discretion. Notwithstanding the foregoing, the Committee retains the discretion under the Long-Term Plan to determine the number of Stock Units payable with respect to your Award.</w:t>
      </w:r>
    </w:p>
    <w:p>
      <w:pPr>
        <w:spacing w:after="0" w:line="202"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PAYMENTS</w:t>
      </w:r>
    </w:p>
    <w:p>
      <w:pPr>
        <w:spacing w:after="0" w:line="233"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0"/>
          <w:szCs w:val="20"/>
          <w:color w:val="auto"/>
        </w:rPr>
        <w:t>You are not entitled to receive cash dividends on the Stock Units, but will receive Dividend Equivalent Payments in an amount equal to the value of the cash dividends that would have been paid (based on the record date for such dividends) on the number of shares of Common Stock equal to the number of Stock Units which are earned (as determined by the Committee) based on the achievement of the applicable Performance Criteria as if such shares had been outstanding between the Grant Date and the payment date of such shares of Common Stock. Dividend Equivalent Payments shall not be adjusted for interest, earnings or assumed reinvestment. Except as provided in the immediately following paragraph, Dividend Equivalent Payments shall be paid to you at the time the earned shares of Common Stock to which those Dividend Equivalent Payments relate are delivered (or would be delivered in the absence of a deferral election made by you as described in Section 6(vii)) under Section 6(i) – (vi), as applicable. Distribution of Dividend Equivalent Payments shall be subject to the Company’s collection of all tax withholding obligations applicable to such distribution. No Dividend Equivalent Payment shall be paid or distributed on Stock Units (or shares underlying the Stock Units) that are forfeited or that otherwise do not vest and are not issued or issuable under the Award.</w:t>
      </w:r>
    </w:p>
    <w:p>
      <w:pPr>
        <w:spacing w:after="0" w:line="203" w:lineRule="exact"/>
        <w:rPr>
          <w:sz w:val="20"/>
          <w:szCs w:val="20"/>
          <w:color w:val="auto"/>
        </w:rPr>
      </w:pPr>
    </w:p>
    <w:p>
      <w:pPr>
        <w:jc w:val="both"/>
        <w:ind w:left="500"/>
        <w:spacing w:after="0" w:line="244" w:lineRule="auto"/>
        <w:rPr>
          <w:sz w:val="20"/>
          <w:szCs w:val="20"/>
          <w:color w:val="auto"/>
        </w:rPr>
      </w:pPr>
      <w:r>
        <w:rPr>
          <w:rFonts w:ascii="Times New Roman" w:cs="Times New Roman" w:eastAsia="Times New Roman" w:hAnsi="Times New Roman"/>
          <w:sz w:val="20"/>
          <w:szCs w:val="20"/>
          <w:color w:val="auto"/>
        </w:rPr>
        <w:t>If you have elected to defer receipt of earned Stock Units in accordance with the terms of the Deferred Compensation Plan of Union Pacific Corporation (the “Deferred Compensation Plan”), Dividend Equivalent Payments with respect to such earned and deferred Stock Units which relate to dividends paid on and after the date of the deferral of such Stock Units (i.e., the date that the Stock Units would have been payable to you under the Plan had such Stock Units not been deferred under the Company’s Deferred Compensation Plan) shall be credited as part of the Award Account (as defined in the Deferred Compensation Plan) under the Company’s Deferred Compensation Plan, and shall be deferred for payment at the same time as the Award Account is paid under the terms of the Company’s Deferred Compensation Plan.</w:t>
      </w:r>
    </w:p>
    <w:p>
      <w:pPr>
        <w:spacing w:after="0" w:line="199" w:lineRule="exact"/>
        <w:rPr>
          <w:sz w:val="20"/>
          <w:szCs w:val="20"/>
          <w:color w:val="auto"/>
        </w:rPr>
      </w:pPr>
    </w:p>
    <w:p>
      <w:pPr>
        <w:jc w:val="both"/>
        <w:ind w:left="500"/>
        <w:spacing w:after="0" w:line="269" w:lineRule="auto"/>
        <w:rPr>
          <w:sz w:val="20"/>
          <w:szCs w:val="20"/>
          <w:color w:val="auto"/>
        </w:rPr>
      </w:pPr>
      <w:r>
        <w:rPr>
          <w:rFonts w:ascii="Times New Roman" w:cs="Times New Roman" w:eastAsia="Times New Roman" w:hAnsi="Times New Roman"/>
          <w:sz w:val="20"/>
          <w:szCs w:val="20"/>
          <w:color w:val="auto"/>
        </w:rPr>
        <w:t>Notwithstanding the foregoing, the Company may delay payment of a Dividend Equivalent Payment as described in Section 6(viii) hereof.</w:t>
      </w:r>
    </w:p>
    <w:p>
      <w:pPr>
        <w:spacing w:after="0" w:line="169"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Unless provided otherwise by the Committee, the following restrictions apply to the Stock Units: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84" w:name="page85"/>
    <w:bookmarkEnd w:id="84"/>
    <w:p>
      <w:pPr>
        <w:ind w:left="1320" w:hanging="826"/>
        <w:spacing w:after="0"/>
        <w:tabs>
          <w:tab w:leader="none" w:pos="13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entitled to delivery of the shares of Common Stock underlying the Stock Units only as specified in Section 6</w:t>
      </w:r>
    </w:p>
    <w:p>
      <w:pPr>
        <w:spacing w:after="0" w:line="21"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93" w:lineRule="exact"/>
        <w:rPr>
          <w:rFonts w:ascii="Times New Roman" w:cs="Times New Roman" w:eastAsia="Times New Roman" w:hAnsi="Times New Roman"/>
          <w:sz w:val="20"/>
          <w:szCs w:val="20"/>
          <w:color w:val="auto"/>
        </w:rPr>
      </w:pPr>
    </w:p>
    <w:p>
      <w:pPr>
        <w:jc w:val="both"/>
        <w:ind w:left="500" w:right="20" w:hanging="6"/>
        <w:spacing w:after="0" w:line="274" w:lineRule="auto"/>
        <w:tabs>
          <w:tab w:leader="none" w:pos="116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Stock Units shall be forfeited and all of your rights to such Stock Units and the right to receive Common Stock (and related Dividend Equivalent Payments) shall terminate without further obligation on the part of the Company in the event of your Separation from Service with the Company without having a right to delivery of shares of Common Stock under Section 6 hereof; and</w:t>
      </w:r>
    </w:p>
    <w:p>
      <w:pPr>
        <w:spacing w:after="0" w:line="169" w:lineRule="exact"/>
        <w:rPr>
          <w:rFonts w:ascii="Times New Roman" w:cs="Times New Roman" w:eastAsia="Times New Roman" w:hAnsi="Times New Roman"/>
          <w:sz w:val="19"/>
          <w:szCs w:val="19"/>
          <w:color w:val="auto"/>
        </w:rPr>
      </w:pPr>
    </w:p>
    <w:p>
      <w:pPr>
        <w:ind w:left="500" w:hanging="6"/>
        <w:spacing w:after="0" w:line="269" w:lineRule="auto"/>
        <w:tabs>
          <w:tab w:leader="none" w:pos="11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 Units not earned as of the Restriction Period Termination Date shall be forfeited and all of your rights to such Stock Units, including any Dividend Equivalent Payments, shall terminate without further obligation on the part of the Company.</w:t>
      </w:r>
    </w:p>
    <w:p>
      <w:pPr>
        <w:spacing w:after="0" w:line="169"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ACCELERATION/LAPSE OF RESTRICTION PERIOD</w:t>
      </w:r>
    </w:p>
    <w:p>
      <w:pPr>
        <w:spacing w:after="0" w:line="233" w:lineRule="exact"/>
        <w:rPr>
          <w:sz w:val="20"/>
          <w:szCs w:val="20"/>
          <w:color w:val="auto"/>
        </w:rPr>
      </w:pPr>
    </w:p>
    <w:p>
      <w:pPr>
        <w:ind w:left="500"/>
        <w:spacing w:after="0" w:line="269" w:lineRule="auto"/>
        <w:rPr>
          <w:sz w:val="20"/>
          <w:szCs w:val="20"/>
          <w:color w:val="auto"/>
        </w:rPr>
      </w:pPr>
      <w:r>
        <w:rPr>
          <w:rFonts w:ascii="Times New Roman" w:cs="Times New Roman" w:eastAsia="Times New Roman" w:hAnsi="Times New Roman"/>
          <w:sz w:val="20"/>
          <w:szCs w:val="20"/>
          <w:color w:val="auto"/>
        </w:rPr>
        <w:t>Unless determined otherwise by the Committee and subject to Sections 6(vii) and 6(viii) hereof, the Stock Units shall be treated as follows:</w:t>
      </w:r>
    </w:p>
    <w:p>
      <w:pPr>
        <w:spacing w:after="0" w:line="173" w:lineRule="exact"/>
        <w:rPr>
          <w:sz w:val="20"/>
          <w:szCs w:val="20"/>
          <w:color w:val="auto"/>
        </w:rPr>
      </w:pPr>
    </w:p>
    <w:p>
      <w:pPr>
        <w:jc w:val="both"/>
        <w:ind w:left="500" w:hanging="6"/>
        <w:spacing w:after="0" w:line="243" w:lineRule="auto"/>
        <w:tabs>
          <w:tab w:leader="none" w:pos="11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end of the Restriction Period and provided you have remained continuously employed by the Company through the Restriction Period Termination Date and absent any Change of Control before the Restriction Period Termination Date in which the acquiring or surviving company in the transaction does not assume or continue the outstanding Stock Units, shares of Common Stock equal to the number of Stock Units which are earned (as determined by the Committee) based on the achievement of the applicable Performance Criteria shall be delivered to you (through your account at the Company's third party stock plan administrator, if applicable) free of all restrictions except subject to the covenants contained in these Standard Terms and Conditions. The payment of the Stock Units under this Section 6(i) shall be made to you within thirty (30) days of the Restriction Period Termination Date, but in no event later than the last day of the calendar year that includes the Restriction Period Termination Date.</w:t>
      </w:r>
    </w:p>
    <w:p>
      <w:pPr>
        <w:spacing w:after="0" w:line="202" w:lineRule="exact"/>
        <w:rPr>
          <w:rFonts w:ascii="Times New Roman" w:cs="Times New Roman" w:eastAsia="Times New Roman" w:hAnsi="Times New Roman"/>
          <w:sz w:val="20"/>
          <w:szCs w:val="20"/>
          <w:color w:val="auto"/>
        </w:rPr>
      </w:pPr>
    </w:p>
    <w:p>
      <w:pPr>
        <w:jc w:val="both"/>
        <w:ind w:left="500" w:hanging="6"/>
        <w:spacing w:after="0"/>
        <w:tabs>
          <w:tab w:leader="none" w:pos="1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 have a Separation from Service with the Company due to (1) death, or (2) Retirement (as such term is defined below in this Section 6(ii)) (including a Separation from Service for the reason described in Section 6(v) hereof on or after the date you satisfy the age and service criteria for Retirement); or (B) are determined to be disabled under the provisions of an applicable long-term disability plan of the Company (“Disability”) (each a “Lapse Event”), prior to the Restriction Period Termination Date and prior to a Change in Control in which the acquiring or surviving company in the transaction does not assume or continue the outstanding Stock Units, you, your estate or your beneficiary, as applicable (each a “Payee”), shall be entitled to receive shares of Common Stock equal to the number of Stock Units which are earned (as determined by the Committee) based on the average of all three fiscal years (2024, 2025 and 2026) of the applicable ROIC and relative OIG performance achieved, prorated based on the number of fiscal years in the Restriction Period during which you remained continuously employed by the Company until September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of that year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if your Lapse Event occurs on or after September 30, 2024, then the Payee would be entitled to receive payment for 33 1/3% of the earned Stock Units; if your Lapse Event occurs on or after September 30, 2025, then the Payee would be entitled to receive payment for 66 2/3% of the earned Stock Units; and if your Lapse Event occurs on or after September 30, 2026, then the Payee would be entitled to receive payment for 100% of the earned Stock Units). The payment of the Stock Units earned under this Section 6(ii) shall be made within thirty (30) days of the Restriction Period Termination Date, but in no event later than the last day of the calendar year that includes the Restriction Period Termination Date. The Stock Units paid in accordance with this Section 6(ii) remain subject to the covenants contained in these Standard Terms and Conditions. If you have a Lapse Event and subsequently return to employment with the Company before the end of the Restriction Period, you will not be eligible to earn additional Stock Units beyond those described in this Section 6(ii). “Retirement” shall mean a Separation from Service after having attained age 62 with at least 10 years of vesting service. For this purpose, vesting service shall be calculated by applying the rules for determining “Vesting Service” under the Pension Plan for Salaried Employees of Union Pacific Corporation and Affiliates (“UPC Pension Plan”), regardless of whether you were ever a participant in the UPC Pension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ind w:left="6" w:hanging="6"/>
        <w:spacing w:after="0" w:line="242" w:lineRule="auto"/>
        <w:tabs>
          <w:tab w:leader="none" w:pos="78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in Control in which the acquiring or surviving company in the transaction does not assume or continue the outstanding Stock Units and such Change in Control occurs prior to both your Separation from Service for any reason and the Restriction Period Termination Date,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No additional Stock Units granted as part of the Award may be earned following the Change in Control. Shares of Common Stock to which you are entitled pursuant to this Section 6(iii) shall be delivered as soon as administratively practicable following the date on which the Change in Control occurs, but in no event later than two and one-half (2½) months following the end of the calendar year that includes the date on which the Change in Control occurs.</w:t>
      </w:r>
    </w:p>
    <w:p>
      <w:pPr>
        <w:spacing w:after="0" w:line="203" w:lineRule="exact"/>
        <w:rPr>
          <w:rFonts w:ascii="Times New Roman" w:cs="Times New Roman" w:eastAsia="Times New Roman" w:hAnsi="Times New Roman"/>
          <w:sz w:val="20"/>
          <w:szCs w:val="20"/>
          <w:color w:val="auto"/>
        </w:rPr>
      </w:pPr>
    </w:p>
    <w:p>
      <w:pPr>
        <w:jc w:val="both"/>
        <w:ind w:left="6" w:hanging="6"/>
        <w:spacing w:after="0" w:line="242" w:lineRule="auto"/>
        <w:tabs>
          <w:tab w:leader="none" w:pos="81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6(v) hereof, in the event you have a Separation from Service with the Company prior to both you having satisfied the age and service criteria for Retirement and the Restriction Period Termination Date and, as a result of such Separation from Service, you are eligible for and entitled to payment of severance benefits under the provisions of a Severance Policy that include waiver of the continuous employment requirement applicable to the Stock Units, shares of Common Stock equal to the number or portion of the Stock Units determined under such Severance Policy, which are earned (as determined by the Committee) based on achievement of the Performance Criteria through the end of the fiscal year 2024, 2025 or 2026 (or portion thereof), as established under the Severance Policy, and for which the continuous employment requirement has been waived under the Severance Policy shall be delivered to you (through your account at the Company's third party stock plan administrator, if applicable) free of all restrictions except subject to the covenants contained in these Standard Terms and Conditions. The payment of the Stock Units under this Section 6(iv) shall be made at the time designated under the Severance Policy, but in no event later than two and one-half (2½) months following the end of the calendar year that includes the date on which the Separation from Service occurs.</w:t>
      </w:r>
    </w:p>
    <w:p>
      <w:pPr>
        <w:spacing w:after="0" w:line="203" w:lineRule="exact"/>
        <w:rPr>
          <w:rFonts w:ascii="Times New Roman" w:cs="Times New Roman" w:eastAsia="Times New Roman" w:hAnsi="Times New Roman"/>
          <w:sz w:val="20"/>
          <w:szCs w:val="20"/>
          <w:color w:val="auto"/>
        </w:rPr>
      </w:pPr>
    </w:p>
    <w:p>
      <w:pPr>
        <w:jc w:val="both"/>
        <w:ind w:left="6" w:hanging="6"/>
        <w:spacing w:after="0" w:line="256" w:lineRule="auto"/>
        <w:tabs>
          <w:tab w:leader="none" w:pos="69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have not satisfied the age and service criteria for Retirement and have a Separation from Service prior to the Restriction Period Termination Date because your employment is involuntarily terminated by the Company (other than a termination as a result of your Disability, cause or gross misconduct as determined by the Committee), within twenty-four (24) months following a Change in Control,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The payment of the Stock Units under this Section 6(v) shall be made as soon as administratively practicable following your Separation from Service, but in no event later than two and one-half (2½) months following the end of the calendar year that includes the date on which the Separation from Service occurs.</w:t>
      </w:r>
    </w:p>
    <w:p>
      <w:pPr>
        <w:spacing w:after="0" w:line="194"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82550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576" w:right="339" w:bottom="1440" w:gutter="0" w:footer="0" w:header="0"/>
        </w:sectPr>
      </w:pPr>
    </w:p>
    <w:bookmarkStart w:id="86" w:name="page87"/>
    <w:bookmarkEnd w:id="86"/>
    <w:p>
      <w:pPr>
        <w:jc w:val="both"/>
        <w:ind w:left="500" w:hanging="6"/>
        <w:spacing w:after="0" w:line="255" w:lineRule="auto"/>
        <w:tabs>
          <w:tab w:leader="none" w:pos="133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6, all of the Stock Units shall be forfeited and all of your rights to such Stock Units shall terminate without further obligation on the part of the Company unless you remain in the continuous employment of the Company (such continuous employment shall, for this purpose, include a period of time during which you are absent from active employment in accordance with a leave of absence policy adopted by the Company) until the earlier of the Restriction Period Termination Date or a Change in Control in which the acquiring or surviving company in the transaction does not assume or continue the outstanding Stock Units. Notwithstanding the foregoing, the Committee may, if it finds that the circumstances in the particular case so warrant and subject to your satisfaction of any conditions the Company may require, allow you, even if you cease to be so continuously employed and have a Separation from Service prior to the earlier of the Restriction Period Termination Date or such Change in Control, to vest in some or all of the Stock Units which are earned (as determined by the Committee) based on achievement of the applicable Performance Criteria through the end of the fiscal year ending prior to the year in which such Separation from Service occurs. In such event, the payment of the Stock Units under this Section 6(vi) shall be made as soon as administratively practicable following the date on which the Committee authorizes such payment, but in no event later than two and one-half (2½) months following the end of the calendar year that includes the date on which your Separation from Service occurs. The Stock Units paid in accordance with this Section 6(vi) remain subject to the covenants contained in these Standard Terms and Conditions.</w:t>
      </w:r>
    </w:p>
    <w:p>
      <w:pPr>
        <w:spacing w:after="0" w:line="192" w:lineRule="exact"/>
        <w:rPr>
          <w:rFonts w:ascii="Times New Roman" w:cs="Times New Roman" w:eastAsia="Times New Roman" w:hAnsi="Times New Roman"/>
          <w:sz w:val="19"/>
          <w:szCs w:val="19"/>
          <w:color w:val="auto"/>
        </w:rPr>
      </w:pPr>
    </w:p>
    <w:p>
      <w:pPr>
        <w:jc w:val="both"/>
        <w:ind w:left="500" w:hanging="6"/>
        <w:spacing w:after="0" w:line="249" w:lineRule="auto"/>
        <w:tabs>
          <w:tab w:leader="none" w:pos="133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you may elect to defer receipt of payment of shares underlying the Stock Units to the extent and according to the terms, if any, provided by the Deferred Compensation Plan. If you so elect to defer payment of shares underlying the Stock Units, such payments will be made in accordance with the Deferred Compensation Plan and with any payments of Dividend Equivalent Payments made in accordance with the provisions of Section 4.</w:t>
      </w:r>
    </w:p>
    <w:p>
      <w:pPr>
        <w:spacing w:after="0" w:line="193" w:lineRule="exact"/>
        <w:rPr>
          <w:rFonts w:ascii="Times New Roman" w:cs="Times New Roman" w:eastAsia="Times New Roman" w:hAnsi="Times New Roman"/>
          <w:sz w:val="20"/>
          <w:szCs w:val="20"/>
          <w:color w:val="auto"/>
        </w:rPr>
      </w:pPr>
    </w:p>
    <w:p>
      <w:pPr>
        <w:jc w:val="both"/>
        <w:ind w:left="500" w:hanging="6"/>
        <w:spacing w:after="0" w:line="242" w:lineRule="auto"/>
        <w:tabs>
          <w:tab w:leader="none" w:pos="150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shall not be obligated to deliver any shares of Common Stock during any period when the Company determines that the delivery of shares hereunder would: (A) violate any federal, state or other applicable laws and/or may issue shares subject to any restrictive legend that, as determined by the Company’s counsel, is necessary to comply with securities or other regulatory requirements; or (B) result in the reduction or elimination of the Company’s deduction under Internal Revenue Code section 162(m) with respect to such delivery of shares. Furthermore, the date on which shares are delivered to you (and any Dividend Equivalent Payment thereon) may include a delay to provide the Company such time as it determines appropriate to calculate and certify the extent to which the Performance Criteria were satisfied and to calculate and address tax withholding and/or other administrative matters; provided, however, that delivery of shares of Common Stock underlying the Stock Units (including any Dividend Equivalent Payments) for Stock Units that are determined to be exempt from the requirements of Internal Revenue Code § 409A shall in all events be made at a time that satisfies the “short-term deferral” exception described in Treas. Reg. section 1.409A-1(b)(4) and for Stock Units subject to Internal Revenue Code section 409A shall in all events be made at a time that satisfies Treas. Reg. 1.409A-2(b)(7).</w:t>
      </w:r>
    </w:p>
    <w:p>
      <w:pPr>
        <w:spacing w:after="0" w:line="196"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PROTECTION OF CONFIDENTIAL INFORMATION AND TRADE SECRETS</w:t>
      </w:r>
    </w:p>
    <w:p>
      <w:pPr>
        <w:spacing w:after="0" w:line="229" w:lineRule="exact"/>
        <w:rPr>
          <w:sz w:val="20"/>
          <w:szCs w:val="20"/>
          <w:color w:val="auto"/>
        </w:rPr>
      </w:pPr>
    </w:p>
    <w:p>
      <w:pPr>
        <w:ind w:left="1140" w:hanging="646"/>
        <w:spacing w:after="0"/>
        <w:tabs>
          <w:tab w:leader="none" w:pos="114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AND TRADE SECRETS</w:t>
      </w:r>
    </w:p>
    <w:p>
      <w:pPr>
        <w:spacing w:after="0" w:line="233"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0"/>
          <w:szCs w:val="20"/>
          <w:color w:val="auto"/>
        </w:rPr>
        <w:t>You acknowledge that the Company regards certain information relating to its business and operations as confidential. This includes all confidential and proprietary information concerning the assets, business or affairs of the Company or any customers thereof ("Confidential Information"). You further acknowledge that the Company has certain information that derives economic value from not being known to the general public or to others who could obtain economic value from its disclosure or use, which the Company takes reasonable efforts to protect the secrecy of ("Trade Secrets").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ind w:left="626" w:hanging="626"/>
        <w:spacing w:after="0"/>
        <w:tabs>
          <w:tab w:leader="none" w:pos="626"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TYPES OF CONFIDENTIAL INFORMATION OR TRADE SECRETS</w:t>
      </w:r>
    </w:p>
    <w:p>
      <w:pPr>
        <w:spacing w:after="0" w:line="233" w:lineRule="exact"/>
        <w:rPr>
          <w:sz w:val="20"/>
          <w:szCs w:val="20"/>
          <w:color w:val="auto"/>
        </w:rPr>
      </w:pPr>
    </w:p>
    <w:p>
      <w:pPr>
        <w:jc w:val="both"/>
        <w:ind w:left="6"/>
        <w:spacing w:after="0" w:line="243" w:lineRule="auto"/>
        <w:rPr>
          <w:sz w:val="20"/>
          <w:szCs w:val="20"/>
          <w:color w:val="auto"/>
        </w:rPr>
      </w:pPr>
      <w:r>
        <w:rPr>
          <w:rFonts w:ascii="Times New Roman" w:cs="Times New Roman" w:eastAsia="Times New Roman" w:hAnsi="Times New Roman"/>
          <w:sz w:val="20"/>
          <w:szCs w:val="20"/>
          <w:color w:val="auto"/>
        </w:rPr>
        <w:t>You acknowledge that you developed and/or obtained, or have had and will in the future continue to have access to one or more of the following types of Confidential Information or Trade Secrets: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constitute gross misconduct.</w:t>
      </w:r>
    </w:p>
    <w:p>
      <w:pPr>
        <w:spacing w:after="0" w:line="199" w:lineRule="exact"/>
        <w:rPr>
          <w:sz w:val="20"/>
          <w:szCs w:val="20"/>
          <w:color w:val="auto"/>
        </w:rPr>
      </w:pPr>
    </w:p>
    <w:p>
      <w:pPr>
        <w:jc w:val="both"/>
        <w:ind w:left="6"/>
        <w:spacing w:after="0" w:line="246" w:lineRule="auto"/>
        <w:rPr>
          <w:sz w:val="20"/>
          <w:szCs w:val="20"/>
          <w:color w:val="auto"/>
        </w:rPr>
      </w:pPr>
      <w:r>
        <w:rPr>
          <w:rFonts w:ascii="Times New Roman" w:cs="Times New Roman" w:eastAsia="Times New Roman" w:hAnsi="Times New Roman"/>
          <w:sz w:val="20"/>
          <w:szCs w:val="20"/>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194" w:lineRule="exact"/>
        <w:rPr>
          <w:sz w:val="20"/>
          <w:szCs w:val="20"/>
          <w:color w:val="auto"/>
        </w:rPr>
      </w:pPr>
    </w:p>
    <w:p>
      <w:pPr>
        <w:ind w:left="646" w:hanging="646"/>
        <w:spacing w:after="0"/>
        <w:tabs>
          <w:tab w:leader="none" w:pos="646"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AGREEMENT TO MAINTAIN CONFIDENTIAL INFORMATION</w:t>
      </w:r>
    </w:p>
    <w:p>
      <w:pPr>
        <w:spacing w:after="0" w:line="233"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20"/>
          <w:szCs w:val="20"/>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180" w:lineRule="exact"/>
        <w:rPr>
          <w:sz w:val="20"/>
          <w:szCs w:val="20"/>
          <w:color w:val="auto"/>
        </w:rPr>
      </w:pPr>
    </w:p>
    <w:p>
      <w:pPr>
        <w:ind w:left="646" w:hanging="646"/>
        <w:spacing w:after="0"/>
        <w:tabs>
          <w:tab w:leader="none" w:pos="646"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NOTICE OF EMPLOYMENT</w:t>
      </w:r>
    </w:p>
    <w:p>
      <w:pPr>
        <w:spacing w:after="0" w:line="233" w:lineRule="exact"/>
        <w:rPr>
          <w:sz w:val="20"/>
          <w:szCs w:val="20"/>
          <w:color w:val="auto"/>
        </w:rPr>
      </w:pPr>
    </w:p>
    <w:p>
      <w:pPr>
        <w:jc w:val="both"/>
        <w:ind w:left="6"/>
        <w:spacing w:after="0" w:line="243" w:lineRule="auto"/>
        <w:rPr>
          <w:sz w:val="20"/>
          <w:szCs w:val="20"/>
          <w:color w:val="auto"/>
        </w:rPr>
      </w:pPr>
      <w:r>
        <w:rPr>
          <w:rFonts w:ascii="Times New Roman" w:cs="Times New Roman" w:eastAsia="Times New Roman" w:hAnsi="Times New Roman"/>
          <w:sz w:val="20"/>
          <w:szCs w:val="20"/>
          <w:color w:val="auto"/>
        </w:rPr>
        <w:t>You acknowledge that if you become an employee, contractor, or consultant for any other person or entity engaged in the Business of the Company, as defined in Section (G),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one (1) year after you leave the Company, before accepting any employment or affiliation with another person or entity,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195" w:lineRule="exact"/>
        <w:rPr>
          <w:sz w:val="20"/>
          <w:szCs w:val="20"/>
          <w:color w:val="auto"/>
        </w:rPr>
      </w:pPr>
    </w:p>
    <w:p>
      <w:pPr>
        <w:ind w:left="626" w:hanging="626"/>
        <w:spacing w:after="0"/>
        <w:tabs>
          <w:tab w:leader="none" w:pos="62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CUSTOMERS</w:t>
      </w:r>
    </w:p>
    <w:p>
      <w:pPr>
        <w:spacing w:after="0" w:line="233" w:lineRule="exact"/>
        <w:rPr>
          <w:sz w:val="20"/>
          <w:szCs w:val="20"/>
          <w:color w:val="auto"/>
        </w:rPr>
      </w:pPr>
    </w:p>
    <w:p>
      <w:pPr>
        <w:jc w:val="both"/>
        <w:ind w:left="6"/>
        <w:spacing w:after="0" w:line="244" w:lineRule="auto"/>
        <w:rPr>
          <w:sz w:val="20"/>
          <w:szCs w:val="20"/>
          <w:color w:val="auto"/>
        </w:rPr>
      </w:pPr>
      <w:r>
        <w:rPr>
          <w:rFonts w:ascii="Times New Roman" w:cs="Times New Roman" w:eastAsia="Times New Roman" w:hAnsi="Times New Roman"/>
          <w:sz w:val="20"/>
          <w:szCs w:val="20"/>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call on or solicit any of the Company’s customers with whom you had personal contact during the period from the Grant Date of this Award until the Restriction Period Termination Date (or, if earlier, the date your employment with the Company ceased), for the purpose of providing the customers with goods and/or services similar in nature to those provided by the Company in its Business as defined below in Section (G).</w:t>
      </w:r>
    </w:p>
    <w:p>
      <w:pPr>
        <w:spacing w:after="0" w:line="199"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82550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572" w:right="339" w:bottom="1440" w:gutter="0" w:footer="0" w:header="0"/>
        </w:sectPr>
      </w:pPr>
    </w:p>
    <w:bookmarkStart w:id="88" w:name="page89"/>
    <w:bookmarkEnd w:id="88"/>
    <w:p>
      <w:pPr>
        <w:ind w:left="606" w:hanging="606"/>
        <w:spacing w:after="0"/>
        <w:tabs>
          <w:tab w:leader="none" w:pos="606"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EMPLOYEES</w:t>
      </w:r>
    </w:p>
    <w:p>
      <w:pPr>
        <w:spacing w:after="0" w:line="233"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20"/>
          <w:szCs w:val="20"/>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participate in hiring or attempting to hire away a Company employee or contractor, or induce or encourage any employees or contractors of the Company to terminate their relationship with the Company, without prior written consent of the Sr. HR Officer.</w:t>
      </w:r>
    </w:p>
    <w:p>
      <w:pPr>
        <w:spacing w:after="0" w:line="180" w:lineRule="exact"/>
        <w:rPr>
          <w:sz w:val="20"/>
          <w:szCs w:val="20"/>
          <w:color w:val="auto"/>
        </w:rPr>
      </w:pPr>
    </w:p>
    <w:p>
      <w:pPr>
        <w:ind w:left="646" w:hanging="646"/>
        <w:spacing w:after="0"/>
        <w:tabs>
          <w:tab w:leader="none" w:pos="646"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w:t>
      </w:r>
    </w:p>
    <w:p>
      <w:pPr>
        <w:spacing w:after="0" w:line="233"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20"/>
          <w:szCs w:val="20"/>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in which the Company does business. For the avoidance of doubt, the term “State” as used in this agreement shall be interpreted to include any legal territory of the United States where the Company does business, including, by way of example, the District of Columbia. Further, for purposes of these Standard Terms and Conditions,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 This Section (G) is not intended to prevent you from engaging in any activity that is not substantially the same as or competitive with the Company’s Business.</w:t>
      </w:r>
    </w:p>
    <w:p>
      <w:pPr>
        <w:spacing w:after="0" w:line="198" w:lineRule="exact"/>
        <w:rPr>
          <w:sz w:val="20"/>
          <w:szCs w:val="20"/>
          <w:color w:val="auto"/>
        </w:rPr>
      </w:pPr>
    </w:p>
    <w:p>
      <w:pPr>
        <w:ind w:left="646" w:hanging="646"/>
        <w:spacing w:after="0"/>
        <w:tabs>
          <w:tab w:leader="none" w:pos="646"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STATE LAW LIMITATIONS</w:t>
      </w:r>
    </w:p>
    <w:p>
      <w:pPr>
        <w:spacing w:after="0" w:line="233" w:lineRule="exact"/>
        <w:rPr>
          <w:sz w:val="20"/>
          <w:szCs w:val="20"/>
          <w:color w:val="auto"/>
        </w:rPr>
      </w:pPr>
    </w:p>
    <w:p>
      <w:pPr>
        <w:jc w:val="both"/>
        <w:ind w:left="6"/>
        <w:spacing w:after="0" w:line="254" w:lineRule="auto"/>
        <w:rPr>
          <w:sz w:val="20"/>
          <w:szCs w:val="20"/>
          <w:color w:val="auto"/>
        </w:rPr>
      </w:pPr>
      <w:r>
        <w:rPr>
          <w:rFonts w:ascii="Times New Roman" w:cs="Times New Roman" w:eastAsia="Times New Roman" w:hAnsi="Times New Roman"/>
          <w:sz w:val="20"/>
          <w:szCs w:val="20"/>
          <w:color w:val="auto"/>
        </w:rPr>
        <w:t>This Section 7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paragraphs above apply to you in full.</w:t>
      </w:r>
    </w:p>
    <w:p>
      <w:pPr>
        <w:spacing w:after="0" w:line="188" w:lineRule="exact"/>
        <w:rPr>
          <w:sz w:val="20"/>
          <w:szCs w:val="20"/>
          <w:color w:val="auto"/>
        </w:rPr>
      </w:pPr>
    </w:p>
    <w:p>
      <w:pPr>
        <w:ind w:left="626" w:hanging="626"/>
        <w:spacing w:after="0"/>
        <w:tabs>
          <w:tab w:leader="none" w:pos="6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California:</w:t>
      </w:r>
    </w:p>
    <w:p>
      <w:pPr>
        <w:spacing w:after="0" w:line="229" w:lineRule="exact"/>
        <w:rPr>
          <w:rFonts w:ascii="Times New Roman" w:cs="Times New Roman" w:eastAsia="Times New Roman" w:hAnsi="Times New Roman"/>
          <w:sz w:val="20"/>
          <w:szCs w:val="20"/>
          <w:color w:val="auto"/>
        </w:rPr>
      </w:pPr>
    </w:p>
    <w:p>
      <w:pPr>
        <w:jc w:val="both"/>
        <w:ind w:left="646" w:firstLine="2"/>
        <w:spacing w:after="0" w:line="254" w:lineRule="auto"/>
        <w:tabs>
          <w:tab w:leader="none" w:pos="1681"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apply to you, except that you agree that you will be prohibited from solicitation of the Company’s clients using the Company’s trade secrets, and/or providing services for anyone other than the Company using the Company’s trade secrets.</w:t>
      </w:r>
    </w:p>
    <w:p>
      <w:pPr>
        <w:spacing w:after="0" w:line="187" w:lineRule="exact"/>
        <w:rPr>
          <w:rFonts w:ascii="Times New Roman" w:cs="Times New Roman" w:eastAsia="Times New Roman" w:hAnsi="Times New Roman"/>
          <w:sz w:val="20"/>
          <w:szCs w:val="20"/>
          <w:color w:val="auto"/>
        </w:rPr>
      </w:pPr>
    </w:p>
    <w:p>
      <w:pPr>
        <w:ind w:left="1326" w:hanging="678"/>
        <w:spacing w:after="0"/>
        <w:tabs>
          <w:tab w:leader="none" w:pos="132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29"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82550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572" w:right="339" w:bottom="1440" w:gutter="0" w:footer="0" w:header="0"/>
        </w:sectPr>
      </w:pPr>
    </w:p>
    <w:bookmarkStart w:id="89" w:name="page90"/>
    <w:bookmarkEnd w:id="89"/>
    <w:p>
      <w:pPr>
        <w:jc w:val="both"/>
        <w:ind w:left="500" w:hanging="6"/>
        <w:spacing w:after="0" w:line="243" w:lineRule="auto"/>
        <w:tabs>
          <w:tab w:leader="none" w:pos="130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Colorado, Section (G) does not apply to you unless your annualized cash compensation from the Company exceeds the threshold set by the Colorado Department of Labor and Employment, Division of Labor Standards and Statistics. As of 2023, this threshold was $112,500. As of 2024, this threshold is scheduled to be $123,750.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 Section (E) does not apply to you unless your annualized cash compensation from the Company exceeds the threshold set by the Colorado Department of Labor and Employment, Division of Labor Standards and Statistics. As of 2023, this threshold was $67,500. As of 2024, this threshold is scheduled to be $74,250.</w:t>
      </w:r>
    </w:p>
    <w:p>
      <w:pPr>
        <w:spacing w:after="0" w:line="199" w:lineRule="exact"/>
        <w:rPr>
          <w:rFonts w:ascii="Times New Roman" w:cs="Times New Roman" w:eastAsia="Times New Roman" w:hAnsi="Times New Roman"/>
          <w:sz w:val="20"/>
          <w:szCs w:val="20"/>
          <w:color w:val="auto"/>
        </w:rPr>
      </w:pPr>
    </w:p>
    <w:p>
      <w:pPr>
        <w:jc w:val="both"/>
        <w:ind w:left="500" w:hanging="6"/>
        <w:spacing w:after="0" w:line="263" w:lineRule="auto"/>
        <w:tabs>
          <w:tab w:leader="none" w:pos="1163"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employees based in the District of Columbia, Sections (E) and (G) do not apply to you unless you are reasonably expected to earn in a consecutive 12-month period or have earned in the preceding 12-month period, compensation greater than or equal to the threshold set by the District of Columbia Non-Compete Agreements Amendment Act of 2020, as amended. As of 2023, this threshold was $150,000, and the District of Columbia may announce a higher threshold for 2024. For purposes of this agreement, an employee based in the District of Columbia who meets this compensation threshold shall be deemed a “Highly Compensated Employee.”</w:t>
      </w:r>
    </w:p>
    <w:p>
      <w:pPr>
        <w:spacing w:after="0" w:line="179" w:lineRule="exact"/>
        <w:rPr>
          <w:rFonts w:ascii="Times New Roman" w:cs="Times New Roman" w:eastAsia="Times New Roman" w:hAnsi="Times New Roman"/>
          <w:sz w:val="19"/>
          <w:szCs w:val="19"/>
          <w:color w:val="auto"/>
        </w:rPr>
      </w:pPr>
    </w:p>
    <w:p>
      <w:pPr>
        <w:jc w:val="both"/>
        <w:ind w:left="500" w:hanging="6"/>
        <w:spacing w:after="0" w:line="242" w:lineRule="auto"/>
        <w:tabs>
          <w:tab w:leader="none" w:pos="12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Illinois, Section (G) does not apply to you unless (a) you earn more than $75,000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 Sections (E) and (F) do not apply to you unless you (a) earn more than $45,000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w:t>
      </w:r>
    </w:p>
    <w:p>
      <w:pPr>
        <w:spacing w:after="0" w:line="203" w:lineRule="exact"/>
        <w:rPr>
          <w:rFonts w:ascii="Times New Roman" w:cs="Times New Roman" w:eastAsia="Times New Roman" w:hAnsi="Times New Roman"/>
          <w:sz w:val="20"/>
          <w:szCs w:val="20"/>
          <w:color w:val="auto"/>
        </w:rPr>
      </w:pPr>
    </w:p>
    <w:p>
      <w:pPr>
        <w:ind w:left="500" w:hanging="6"/>
        <w:spacing w:after="0" w:line="269" w:lineRule="auto"/>
        <w:tabs>
          <w:tab w:leader="none" w:pos="12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Louisiana, you agree that the Company operates throughout the State of Louisiana, and that Section 7 therefore applies in every parish and municipality in the State.</w:t>
      </w:r>
    </w:p>
    <w:p>
      <w:pPr>
        <w:spacing w:after="0" w:line="172" w:lineRule="exact"/>
        <w:rPr>
          <w:rFonts w:ascii="Times New Roman" w:cs="Times New Roman" w:eastAsia="Times New Roman" w:hAnsi="Times New Roman"/>
          <w:sz w:val="20"/>
          <w:szCs w:val="20"/>
          <w:color w:val="auto"/>
        </w:rPr>
      </w:pPr>
    </w:p>
    <w:p>
      <w:pPr>
        <w:ind w:left="1220" w:hanging="726"/>
        <w:spacing w:after="0"/>
        <w:tabs>
          <w:tab w:leader="none" w:pos="12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Minnesota, Section (G) does not apply to you.</w:t>
      </w:r>
    </w:p>
    <w:p>
      <w:pPr>
        <w:spacing w:after="0" w:line="229" w:lineRule="exact"/>
        <w:rPr>
          <w:rFonts w:ascii="Times New Roman" w:cs="Times New Roman" w:eastAsia="Times New Roman" w:hAnsi="Times New Roman"/>
          <w:sz w:val="20"/>
          <w:szCs w:val="20"/>
          <w:color w:val="auto"/>
        </w:rPr>
      </w:pPr>
    </w:p>
    <w:p>
      <w:pPr>
        <w:jc w:val="both"/>
        <w:ind w:left="500" w:hanging="6"/>
        <w:spacing w:after="0" w:line="254" w:lineRule="auto"/>
        <w:tabs>
          <w:tab w:leader="none" w:pos="127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New York, Section (E) does not apply to any customer that became a customer of the Company only as a result of your independent contact and business development efforts with the customer before and independent from your employment with the Company.</w:t>
      </w:r>
    </w:p>
    <w:p>
      <w:pPr>
        <w:spacing w:after="0" w:line="187" w:lineRule="exact"/>
        <w:rPr>
          <w:rFonts w:ascii="Times New Roman" w:cs="Times New Roman" w:eastAsia="Times New Roman" w:hAnsi="Times New Roman"/>
          <w:sz w:val="20"/>
          <w:szCs w:val="20"/>
          <w:color w:val="auto"/>
        </w:rPr>
      </w:pPr>
    </w:p>
    <w:p>
      <w:pPr>
        <w:ind w:left="1240" w:hanging="746"/>
        <w:spacing w:after="0"/>
        <w:tabs>
          <w:tab w:leader="none" w:pos="12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North Dakota, Sections (E) and (G) do not apply to you.</w:t>
      </w:r>
    </w:p>
    <w:p>
      <w:pPr>
        <w:spacing w:after="0" w:line="229" w:lineRule="exact"/>
        <w:rPr>
          <w:rFonts w:ascii="Times New Roman" w:cs="Times New Roman" w:eastAsia="Times New Roman" w:hAnsi="Times New Roman"/>
          <w:sz w:val="20"/>
          <w:szCs w:val="20"/>
          <w:color w:val="auto"/>
        </w:rPr>
      </w:pPr>
    </w:p>
    <w:p>
      <w:pPr>
        <w:ind w:left="1220" w:hanging="726"/>
        <w:spacing w:after="0"/>
        <w:tabs>
          <w:tab w:leader="none" w:pos="12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Oklahoma:</w:t>
      </w:r>
    </w:p>
    <w:p>
      <w:pPr>
        <w:spacing w:after="0" w:line="229" w:lineRule="exact"/>
        <w:rPr>
          <w:rFonts w:ascii="Times New Roman" w:cs="Times New Roman" w:eastAsia="Times New Roman" w:hAnsi="Times New Roman"/>
          <w:sz w:val="20"/>
          <w:szCs w:val="20"/>
          <w:color w:val="auto"/>
        </w:rPr>
      </w:pPr>
    </w:p>
    <w:p>
      <w:pPr>
        <w:jc w:val="both"/>
        <w:ind w:left="1140" w:firstLine="2"/>
        <w:spacing w:after="0" w:line="249" w:lineRule="auto"/>
        <w:tabs>
          <w:tab w:leader="none" w:pos="2036"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pacing w:after="0" w:line="193" w:lineRule="exact"/>
        <w:rPr>
          <w:rFonts w:ascii="Times New Roman" w:cs="Times New Roman" w:eastAsia="Times New Roman" w:hAnsi="Times New Roman"/>
          <w:sz w:val="20"/>
          <w:szCs w:val="20"/>
          <w:color w:val="auto"/>
        </w:rPr>
      </w:pPr>
    </w:p>
    <w:p>
      <w:pPr>
        <w:ind w:left="1860" w:hanging="718"/>
        <w:spacing w:after="0"/>
        <w:tabs>
          <w:tab w:leader="none" w:pos="1860"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29" w:lineRule="exact"/>
        <w:rPr>
          <w:rFonts w:ascii="Times New Roman" w:cs="Times New Roman" w:eastAsia="Times New Roman" w:hAnsi="Times New Roman"/>
          <w:sz w:val="20"/>
          <w:szCs w:val="20"/>
          <w:color w:val="auto"/>
        </w:rPr>
      </w:pPr>
    </w:p>
    <w:p>
      <w:pPr>
        <w:jc w:val="both"/>
        <w:ind w:left="1140" w:hanging="646"/>
        <w:spacing w:after="0" w:line="249" w:lineRule="auto"/>
        <w:tabs>
          <w:tab w:leader="none" w:pos="128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the State of Washington, Section (G) does not apply to you unless your annual earnings from your employment with the Company exceed the threshold established by the Washington Department of Labor and Industries pursuant to RCW 49.62.040. As of 2023, this threshold was $116,593.18. As of 2024, the Department has announced that this threshold will be $120,559.99.</w:t>
      </w:r>
    </w:p>
    <w:p>
      <w:pPr>
        <w:spacing w:after="0" w:line="18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INJUNCTIVE RELIEF</w:t>
      </w:r>
    </w:p>
    <w:p>
      <w:pPr>
        <w:spacing w:after="0" w:line="233"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9"/>
          <w:szCs w:val="19"/>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7, the damage to the Company would be irreparable. You therefore agree that the Company, in addition to any other remedies available to it, including, without limitation, the remedies set forth in Sections 9 and 10, shall be entitled to injunctive relief against your breach or threaten breach of said covenants, to the extent they apply in the State in which your employment with the Company is based. You and the Company further agree that, in the event that any one or more of the provisions of Section 7 shall be determined by any court of competent jurisdiction to be unenforceable by reason of it being overly broad, such provision shall be deemed to be modified to permit its enforcement to the maximum extent permitted by law.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91" w:gutter="0" w:footer="0" w:header="0"/>
        </w:sectPr>
      </w:pPr>
    </w:p>
    <w:bookmarkStart w:id="90" w:name="page91"/>
    <w:bookmarkEnd w:id="90"/>
    <w:p>
      <w:pPr>
        <w:ind w:left="460" w:hanging="452"/>
        <w:spacing w:after="0"/>
        <w:tabs>
          <w:tab w:leader="none" w:pos="4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 OF PROMISES</w:t>
      </w:r>
    </w:p>
    <w:p>
      <w:pPr>
        <w:spacing w:after="0" w:line="233" w:lineRule="exact"/>
        <w:rPr>
          <w:sz w:val="20"/>
          <w:szCs w:val="20"/>
          <w:color w:val="auto"/>
        </w:rPr>
      </w:pPr>
    </w:p>
    <w:p>
      <w:pPr>
        <w:jc w:val="both"/>
        <w:ind w:left="500"/>
        <w:spacing w:after="0" w:line="241" w:lineRule="auto"/>
        <w:rPr>
          <w:sz w:val="20"/>
          <w:szCs w:val="20"/>
          <w:color w:val="auto"/>
        </w:rPr>
      </w:pPr>
      <w:r>
        <w:rPr>
          <w:rFonts w:ascii="Times New Roman" w:cs="Times New Roman" w:eastAsia="Times New Roman" w:hAnsi="Times New Roman"/>
          <w:sz w:val="20"/>
          <w:szCs w:val="20"/>
          <w:color w:val="auto"/>
        </w:rPr>
        <w:t>You agree that if you violate any one or more of the promises set forth in Section 7 then, in lieu of or in addition to any other remedies available to Company as permitted by applicable law, all unvested Stock Options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7, the vesting of this Award may be suspended pending a determination of whether you violated any such provision by a tribunal as specified in Section 10 and 12. In addition, in lieu of or in addition to any remedy provided for in Section 8, at any time the Company may seek in any such proceeding that you be required to immediately deliver to the Company any shares of Common Stock (or the fair market value thereof) and any related Dividend Equivalent Payments earned by or issued to you pursuant to this Grant at any time during the three (3) full fiscal years preceding the Notice Date. You agree that you will deliver such shares of Common Stock (or the fair market value thereof) and any related Dividend Equivalent Payments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and any related Dividend Equivalent Payments against any amount that might be owed to you by the Company. For the avoidance of doubt, this paragraph shall apply only to the extent the promises set forth in Section 7, is applicable in the State in which your employment with the Company is based.</w:t>
      </w:r>
    </w:p>
    <w:p>
      <w:pPr>
        <w:spacing w:after="0" w:line="19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29"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w:t>
      </w:r>
    </w:p>
    <w:p>
      <w:pPr>
        <w:spacing w:after="0" w:line="233" w:lineRule="exact"/>
        <w:rPr>
          <w:rFonts w:ascii="Times New Roman" w:cs="Times New Roman" w:eastAsia="Times New Roman" w:hAnsi="Times New Roman"/>
          <w:sz w:val="20"/>
          <w:szCs w:val="20"/>
          <w:b w:val="1"/>
          <w:bCs w:val="1"/>
          <w:color w:val="auto"/>
        </w:rPr>
      </w:pPr>
    </w:p>
    <w:p>
      <w:pPr>
        <w:jc w:val="both"/>
        <w:ind w:left="500" w:hanging="6"/>
        <w:spacing w:after="0" w:line="242" w:lineRule="auto"/>
        <w:tabs>
          <w:tab w:leader="none" w:pos="116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each agree that any controversy, claim, or dispute arising out of or relating to these Standard Terms and Conditions or arising out of or relating to your employment relationship with the Company or any of its affiliates, the termination of such relationship, or your conduct following the termination of such relationship,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91" w:name="page92"/>
    <w:bookmarkEnd w:id="91"/>
    <w:p>
      <w:pPr>
        <w:jc w:val="both"/>
        <w:ind w:left="500" w:hanging="6"/>
        <w:spacing w:after="0" w:line="241" w:lineRule="auto"/>
        <w:tabs>
          <w:tab w:leader="none" w:pos="140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disputes arising under Sections 7 and 9 of these Terms and Conditions, the parties will submit the dispute, within 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Sections 7 and 9, to the extent those covenants apply in the State in which your employment with the Company is based. The arbitrator will have no authority to order a modification or amendment of these Standard Terms and Conditions, except that if the arbitrator finds any covenant in Sections 7 and 9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187" w:lineRule="exact"/>
        <w:rPr>
          <w:rFonts w:ascii="Times New Roman" w:cs="Times New Roman" w:eastAsia="Times New Roman" w:hAnsi="Times New Roman"/>
          <w:sz w:val="20"/>
          <w:szCs w:val="20"/>
          <w:color w:val="auto"/>
        </w:rPr>
      </w:pPr>
    </w:p>
    <w:p>
      <w:pPr>
        <w:jc w:val="both"/>
        <w:ind w:left="500" w:hanging="6"/>
        <w:spacing w:after="0" w:line="245" w:lineRule="auto"/>
        <w:tabs>
          <w:tab w:leader="none" w:pos="126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seek injunctive relief to enforce any one or more of the covenants set forth in Sections 7 or 9 of these Terms and Conditions, in a court of competent jurisdiction, as set forth in Section 12 below. You specifically agree that a court of competent jurisdiction may enter preliminary injunctive relief to restrain violations of any of the covenants in Sections 7 or 9 of these Terms and Conditions, pending arbitration or other litigation. For the avoidance of doubt, this provision only applies to the promises set forth in Sections 7 or 9 to the extent those Sections are applicable in the State in which your employment with the Company is based.</w:t>
      </w:r>
    </w:p>
    <w:p>
      <w:pPr>
        <w:spacing w:after="0" w:line="193"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33"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If any provision of these Standard Terms and Conditions is, becomes, or is deemed to be invalid, illegal, or unenforceable in any jurisdiction, such provision shall be construed or deemed amended or limited in scope to conform to applicable laws or, in the discretion of the Company, it shall be stricken and the remainder of these Standard Terms and Conditions shall remain in force and effect.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CHOICE OF LAW; JURISDICTION</w:t>
      </w:r>
    </w:p>
    <w:p>
      <w:pPr>
        <w:spacing w:after="0" w:line="233"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0"/>
          <w:szCs w:val="20"/>
          <w:color w:val="auto"/>
        </w:rPr>
        <w:t>All questions pertaining to the construction, regulation, validity, and effect of these Standard Terms and Conditions shall be determined in accordance with the laws of the State of Utah, without regard to the conflict of laws doctrine, with the exception of Sections 7 or 9. All questions pertaining to the construction, regulation, validity, and effect of Sections 7 or 9 shall be determined in accordance with the laws of the State in which your employment with the Company is based. With respect to any claim or dispute involving your Grant and/or these Standard Terms and Conditions that is not subject to the arbitration pursuant to Section 12 hereof, other than those arising from Sections 7 or 9,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and these Standard Terms and Conditions (including all terms incorporated by reference into these Standard Terms and Conditions).</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AMENDMENTS</w:t>
      </w:r>
    </w:p>
    <w:p>
      <w:pPr>
        <w:spacing w:after="0" w:line="233" w:lineRule="exact"/>
        <w:rPr>
          <w:sz w:val="20"/>
          <w:szCs w:val="20"/>
          <w:color w:val="auto"/>
        </w:rPr>
      </w:pPr>
    </w:p>
    <w:p>
      <w:pPr>
        <w:jc w:val="both"/>
        <w:ind w:left="500" w:right="20"/>
        <w:spacing w:after="0" w:line="269" w:lineRule="auto"/>
        <w:rPr>
          <w:sz w:val="20"/>
          <w:szCs w:val="20"/>
          <w:color w:val="auto"/>
        </w:rPr>
      </w:pPr>
      <w:r>
        <w:rPr>
          <w:rFonts w:ascii="Times New Roman" w:cs="Times New Roman" w:eastAsia="Times New Roman" w:hAnsi="Times New Roman"/>
          <w:sz w:val="20"/>
          <w:szCs w:val="20"/>
          <w:color w:val="auto"/>
        </w:rPr>
        <w:t>The Plan and these Standard Terms and Conditions may be amended or altered by the Committee or the Company’s Board of Directors to the extent provided in the Plan.</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RESTRICTIONS ON RESALES OF SHARES</w:t>
      </w:r>
    </w:p>
    <w:p>
      <w:pPr>
        <w:spacing w:after="0" w:line="233"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The Company may impose such restrictions, conditions or limitations as it determines appropriate as to the timing and manner of any resales by you or other subsequent transfers by you of any Common Stock issued in respect of vested Stock Units, including without limitation (a) restrictions under an insider trading policy, (b) restrictions designed to delay and/or coordinate the timing and manner of sales by you and other holders and (c) restrictions as to the use of a specified brokerage firm for such resales or other transfers.</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jc w:val="both"/>
        <w:ind w:left="500"/>
        <w:spacing w:after="0" w:line="243" w:lineRule="auto"/>
        <w:rPr>
          <w:sz w:val="20"/>
          <w:szCs w:val="20"/>
          <w:color w:val="auto"/>
        </w:rPr>
      </w:pPr>
      <w:r>
        <w:rPr>
          <w:rFonts w:ascii="Times New Roman" w:cs="Times New Roman" w:eastAsia="Times New Roman" w:hAnsi="Times New Roman"/>
          <w:sz w:val="20"/>
          <w:szCs w:val="20"/>
          <w:color w:val="auto"/>
        </w:rPr>
        <w:t>The Company shall not deliver shares in respect of any Stock Units unless and until you have made satisfactory arrangements to pay or otherwise satisfy all applicable tax withholding obligations. Unless you pay the tax withholding obligations to the Company by cash or check in connection with the delivery of the Common Stock and any related Dividend Equivalent Payments, withholding may be effected, at the Company’s option, by withholding Common Stock issuable in connection with the vesting of the Stock Units (provided that shares of Common Stock may be withheld only to the extent that such tax withholding will not result in adverse accounting treatment for the Company) or withholding any related Dividend Equivalent Payments. You acknowledge that the Company shall have the right to deduct any taxes required to be withheld by law in connection with the Stock Units from any amounts payable by it to you (including, without limitation, future cash wages).</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NON-TRANSFERABILITY OF AWARD</w:t>
      </w:r>
    </w:p>
    <w:p>
      <w:pPr>
        <w:spacing w:after="0" w:line="233"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You understand, acknowledge and agree that, except as otherwise provided in the Plan, the Stock Units may not be sold, assigned, transferred, pledged or otherwise directly or indirectly encumbered or disposed of prior to the payment of the Common Stock to you as provided in Section 16 hereof. Your beneficiaries and anyone claiming an interest in the Stock Units through you are subject to all of the terms and conditions applicable to you, other than the covenants set forth in Section 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93" w:name="page94"/>
    <w:bookmarkEnd w:id="93"/>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CLAWBACK AND RECOUPMENT</w:t>
      </w:r>
    </w:p>
    <w:p>
      <w:pPr>
        <w:spacing w:after="0" w:line="233" w:lineRule="exact"/>
        <w:rPr>
          <w:sz w:val="20"/>
          <w:szCs w:val="20"/>
          <w:color w:val="auto"/>
        </w:rPr>
      </w:pPr>
    </w:p>
    <w:p>
      <w:pPr>
        <w:jc w:val="both"/>
        <w:ind w:left="500"/>
        <w:spacing w:after="0" w:line="241" w:lineRule="auto"/>
        <w:rPr>
          <w:sz w:val="20"/>
          <w:szCs w:val="20"/>
          <w:color w:val="auto"/>
        </w:rPr>
      </w:pPr>
      <w:r>
        <w:rPr>
          <w:rFonts w:ascii="Times New Roman" w:cs="Times New Roman" w:eastAsia="Times New Roman" w:hAnsi="Times New Roman"/>
          <w:sz w:val="20"/>
          <w:szCs w:val="20"/>
          <w:color w:val="auto"/>
        </w:rPr>
        <w:t>If you are or become a Covered Executive or Other Executive under the Company’s Policy for Recoupment of Certain Compensation, you agree that your Award is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pacing w:after="0" w:line="1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LIMITATION OF INTEREST IN SHARES SUBJECT TO RESTRICTED STOCK UNITS</w:t>
      </w:r>
    </w:p>
    <w:p>
      <w:pPr>
        <w:spacing w:after="0" w:line="233" w:lineRule="exact"/>
        <w:rPr>
          <w:sz w:val="20"/>
          <w:szCs w:val="20"/>
          <w:color w:val="auto"/>
        </w:rPr>
      </w:pPr>
    </w:p>
    <w:p>
      <w:pPr>
        <w:jc w:val="both"/>
        <w:ind w:left="500"/>
        <w:spacing w:after="0" w:line="244" w:lineRule="auto"/>
        <w:rPr>
          <w:sz w:val="20"/>
          <w:szCs w:val="20"/>
          <w:color w:val="auto"/>
        </w:rPr>
      </w:pPr>
      <w:r>
        <w:rPr>
          <w:rFonts w:ascii="Times New Roman" w:cs="Times New Roman" w:eastAsia="Times New Roman" w:hAnsi="Times New Roman"/>
          <w:sz w:val="20"/>
          <w:szCs w:val="20"/>
          <w:color w:val="auto"/>
        </w:rPr>
        <w:t>Neither you (individually or as a member of a group) nor any beneficiary or other person claiming by, under or through you shall have any right, title, interest, or privilege in or to any shares of Common Stock allocated or reserved for the purpose of the Plan, the Long Term Plan or subject to the Grant Notice or these Standard Terms and Conditions except as to such shares of Common Stock, if any, as shall have been issued to such person upon vesting of the Stock Units, which shares shall remain subject to the conditions set forth in these Standard Terms and Conditions. Nothing in the Plan, the Long-Term Plan, the Grant Notice, these Standard Terms and Conditions or any other instrument executed pursuant to the Plan shall confer upon you any right to continue in the Company’s employ or service nor limit in any way the Company’s right to terminate your employment at any time for any reason.</w:t>
      </w:r>
    </w:p>
    <w:p>
      <w:pPr>
        <w:spacing w:after="0" w:line="19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b w:val="1"/>
          <w:bCs w:val="1"/>
          <w:color w:val="auto"/>
        </w:rPr>
        <w:t>OTHER AGREEMENTS SUPERSEDED</w:t>
      </w:r>
    </w:p>
    <w:p>
      <w:pPr>
        <w:spacing w:after="0" w:line="233"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20"/>
          <w:szCs w:val="20"/>
          <w:color w:val="auto"/>
        </w:rPr>
        <w:t>The Grant Notice, these Standard Terms and Conditions, the Plan and the Long-Term Plan constitute the entire understanding between you and the Company regarding the Stock Units. Any prior agreements, commitments or negotiations concerning the Stock Units are superseded.</w:t>
      </w:r>
    </w:p>
    <w:p>
      <w:pPr>
        <w:spacing w:after="0" w:line="18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19"/>
          <w:szCs w:val="19"/>
          <w:b w:val="1"/>
          <w:bCs w:val="1"/>
          <w:color w:val="auto"/>
        </w:rPr>
        <w:t>REVIEW PERIOD/NOTICE FOR CERTAIN EMPLOYEES</w:t>
      </w:r>
    </w:p>
    <w:p>
      <w:pPr>
        <w:spacing w:after="0" w:line="229"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COLORADO</w:t>
      </w:r>
      <w:r>
        <w:rPr>
          <w:rFonts w:ascii="Times New Roman" w:cs="Times New Roman" w:eastAsia="Times New Roman" w:hAnsi="Times New Roman"/>
          <w:sz w:val="20"/>
          <w:szCs w:val="20"/>
          <w:color w:val="auto"/>
        </w:rPr>
        <w:t xml:space="preserve"> AND ARE SUBJECT TO THE RESTRICTIONS IN SECTIONS 7(E),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 YOU HAVE 14 CALENDAR DAYS FROM THE DAY YOU RECEIVED THIS AGREEMENT TO REVIEW IT AND THAT YOU ARE ADVISED TO CONSULT LEGAL COUNSEL PRIOR TO SIGNING IT.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94" w:name="page95"/>
    <w:bookmarkEnd w:id="9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w:t>
      </w:r>
      <w:r>
        <w:rPr>
          <w:rFonts w:ascii="Times New Roman" w:cs="Times New Roman" w:eastAsia="Times New Roman" w:hAnsi="Times New Roman"/>
          <w:sz w:val="20"/>
          <w:szCs w:val="20"/>
          <w:b w:val="1"/>
          <w:bCs w:val="1"/>
          <w:color w:val="auto"/>
        </w:rPr>
        <w:t>DISTRICT OF COLUMBIA</w:t>
      </w:r>
      <w:r>
        <w:rPr>
          <w:rFonts w:ascii="Times New Roman" w:cs="Times New Roman" w:eastAsia="Times New Roman" w:hAnsi="Times New Roman"/>
          <w:sz w:val="20"/>
          <w:szCs w:val="20"/>
          <w:color w:val="auto"/>
        </w:rPr>
        <w:t xml:space="preserve"> AS A “HIGHLY COMPENSATED EMPLOYEE,” AS DEFINED IN SECTION 7(H),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SECTIONS 7(E) AND (G), THE COMPANY HAS DETERMINED THAT YOU ARE A HIGHLY COMPENSATED EMPLOYEE. FOR MORE INFORMATION ABOUT THE BAN ON NON-COMPETE AGREEMENTS AMENDMENT ACT OF 2020, AS AMENDED, CONTACT THE DISTRICT OF COLUMBIA DEPARTMENT OF EMPLOYMENT SERVICES (DOES).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ILLINOIS</w:t>
      </w:r>
      <w:r>
        <w:rPr>
          <w:rFonts w:ascii="Times New Roman" w:cs="Times New Roman" w:eastAsia="Times New Roman" w:hAnsi="Times New Roman"/>
          <w:sz w:val="20"/>
          <w:szCs w:val="20"/>
          <w:color w:val="auto"/>
        </w:rPr>
        <w:t>, YOU ACKNOWLEDGE THAT YOU HAVE AT LEAST 14 CALENDAR DAYS FROM THE DAY YOU RECEIVED THIS AGREEMENT TO REVIEW IT AND THAT YOU ARE ADVISED TO CONSULT LEGAL COUNSEL PRIOR TO SIGNING IT.</w:t>
      </w:r>
    </w:p>
    <w:p>
      <w:pPr>
        <w:spacing w:after="0" w:line="18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740"/>
          </w:cols>
          <w:pgMar w:left="820" w:top="57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Exhibit10(b)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GRANT NOTICE FOR 2021 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GOOD AND VALUABLE CONSIDERATION, Union Pacific Corporation (the “Company”), hereby grants to Participant named below (for purposes hereof, references herein to “you” or “your” shall refer to such Participant) the nonqualified stock option (the “Option”) to purchase any part or all of the number of shares of its common stock, par value $2.50 (the “Common Stock”), that are covered by this Option, as specified below, at the Exercise Price per share specified below and upon the terms and subject to the conditions set forth in this Grant Notice, the Union Pacific Corporation 2021 Stock Incentive Plan (the “Plan”) the Standard Terms and Conditions (the “Standard Terms and Conditions”) adopted under such Plan and provided to you, and, if applicable, the Union Pacific Corporation Key Employee Continuity Plan (the “Key Employee Continuity Plan”) and the Policy for Recoupment of Certain Compensation, each as amended from time to time. In addition, if you become eligible for and entitled to severance benefits under a broad-based severance pay policy of the Company that include waiver of the vesting period and/or extension of the exercise period with respect to the Option (the “Severance Policy”), the Option also shall be subject to the terms of such Severance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Option is granted pursuant to the Plan and is subject to and qualified in its entirety by the Standard 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Date:</w:t>
            </w:r>
          </w:p>
        </w:tc>
        <w:tc>
          <w:tcPr>
            <w:tcW w:w="706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February 8, 2024</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Number:</w:t>
            </w:r>
          </w:p>
        </w:tc>
        <w:tc>
          <w:tcPr>
            <w:tcW w:w="10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Number of Shares of Common Stock covered by</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Option:</w:t>
            </w:r>
          </w:p>
        </w:tc>
        <w:tc>
          <w:tcPr>
            <w:tcW w:w="1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5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Exercise Price Per Share:</w:t>
            </w:r>
          </w:p>
        </w:tc>
        <w:tc>
          <w:tcPr>
            <w:tcW w:w="10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70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February 8, 2034</w:t>
            </w: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Vesting Schedule:</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Shares</w:t>
            </w:r>
          </w:p>
        </w:tc>
        <w:tc>
          <w:tcPr>
            <w:tcW w:w="1060" w:type="dxa"/>
            <w:vAlign w:val="bottom"/>
          </w:tcPr>
          <w:p>
            <w:pPr>
              <w:spacing w:after="0"/>
              <w:rPr>
                <w:sz w:val="18"/>
                <w:szCs w:val="18"/>
                <w:color w:val="auto"/>
              </w:rPr>
            </w:pPr>
          </w:p>
        </w:tc>
        <w:tc>
          <w:tcPr>
            <w:tcW w:w="6000" w:type="dxa"/>
            <w:vAlign w:val="bottom"/>
            <w:gridSpan w:val="2"/>
            <w:vMerge w:val="restart"/>
          </w:tcPr>
          <w:p>
            <w:pPr>
              <w:jc w:val="center"/>
              <w:ind w:right="5240"/>
              <w:spacing w:after="0"/>
              <w:rPr>
                <w:sz w:val="20"/>
                <w:szCs w:val="20"/>
                <w:color w:val="auto"/>
              </w:rPr>
            </w:pPr>
            <w:r>
              <w:rPr>
                <w:rFonts w:ascii="Times New Roman" w:cs="Times New Roman" w:eastAsia="Times New Roman" w:hAnsi="Times New Roman"/>
                <w:sz w:val="20"/>
                <w:szCs w:val="20"/>
                <w:color w:val="auto"/>
                <w:w w:val="95"/>
              </w:rPr>
              <w:t>Vest Date</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7060" w:type="dxa"/>
            <w:vAlign w:val="bottom"/>
            <w:gridSpan w:val="3"/>
          </w:tcPr>
          <w:p>
            <w:pPr>
              <w:jc w:val="center"/>
              <w:ind w:right="4180"/>
              <w:spacing w:after="0" w:line="228" w:lineRule="exact"/>
              <w:rPr>
                <w:sz w:val="20"/>
                <w:szCs w:val="20"/>
                <w:color w:val="auto"/>
              </w:rPr>
            </w:pPr>
            <w:r>
              <w:rPr>
                <w:rFonts w:ascii="Times New Roman" w:cs="Times New Roman" w:eastAsia="Times New Roman" w:hAnsi="Times New Roman"/>
                <w:sz w:val="20"/>
                <w:szCs w:val="20"/>
                <w:color w:val="auto"/>
                <w:w w:val="99"/>
              </w:rPr>
              <w:t>February 8, 2025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7060" w:type="dxa"/>
            <w:vAlign w:val="bottom"/>
            <w:gridSpan w:val="3"/>
          </w:tcPr>
          <w:p>
            <w:pPr>
              <w:jc w:val="center"/>
              <w:ind w:right="4180"/>
              <w:spacing w:after="0"/>
              <w:rPr>
                <w:sz w:val="20"/>
                <w:szCs w:val="20"/>
                <w:color w:val="auto"/>
              </w:rPr>
            </w:pPr>
            <w:r>
              <w:rPr>
                <w:rFonts w:ascii="Times New Roman" w:cs="Times New Roman" w:eastAsia="Times New Roman" w:hAnsi="Times New Roman"/>
                <w:sz w:val="20"/>
                <w:szCs w:val="20"/>
                <w:color w:val="auto"/>
                <w:w w:val="99"/>
              </w:rPr>
              <w:t>February 8, 2026</w:t>
            </w:r>
          </w:p>
        </w:tc>
        <w:tc>
          <w:tcPr>
            <w:tcW w:w="0" w:type="dxa"/>
            <w:vAlign w:val="bottom"/>
          </w:tcPr>
          <w:p>
            <w:pPr>
              <w:spacing w:after="0"/>
              <w:rPr>
                <w:sz w:val="1"/>
                <w:szCs w:val="1"/>
                <w:color w:val="auto"/>
              </w:rPr>
            </w:pPr>
          </w:p>
        </w:tc>
      </w:tr>
      <w:tr>
        <w:trPr>
          <w:trHeight w:val="273"/>
        </w:trPr>
        <w:tc>
          <w:tcPr>
            <w:tcW w:w="54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7060" w:type="dxa"/>
            <w:vAlign w:val="bottom"/>
            <w:tcBorders>
              <w:bottom w:val="single" w:sz="8" w:color="auto"/>
            </w:tcBorders>
            <w:gridSpan w:val="3"/>
          </w:tcPr>
          <w:p>
            <w:pPr>
              <w:jc w:val="center"/>
              <w:ind w:right="4180"/>
              <w:spacing w:after="0"/>
              <w:rPr>
                <w:sz w:val="20"/>
                <w:szCs w:val="20"/>
                <w:color w:val="auto"/>
              </w:rPr>
            </w:pPr>
            <w:r>
              <w:rPr>
                <w:rFonts w:ascii="Times New Roman" w:cs="Times New Roman" w:eastAsia="Times New Roman" w:hAnsi="Times New Roman"/>
                <w:sz w:val="20"/>
                <w:szCs w:val="20"/>
                <w:color w:val="auto"/>
                <w:w w:val="99"/>
              </w:rPr>
              <w:t>February 8, 2027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Option is not intended to qualify as an incentive stock option under Section 422 of the Internal Revenue Code of 1986, as amended.</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electronically accepting this Option, you acknowledge that you have received and read, and agree that this Option shall be subject to, the terms of this Grant Notice, the Plan, the Standard Terms and Conditions and, if applicable, the Key Employee Continuity Plan and/or the Severance Policy (including, but not limited to, the Key Employee Continuity Plan’s or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Option via Company website or other electronic delivery.</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0"/>
          <w:szCs w:val="20"/>
          <w:b w:val="1"/>
          <w:bCs w:val="1"/>
          <w:i w:val="1"/>
          <w:iCs w:val="1"/>
          <w:color w:val="auto"/>
        </w:rPr>
        <w:t>FORFEIT</w:t>
      </w:r>
      <w:r>
        <w:rPr>
          <w:rFonts w:ascii="Times New Roman" w:cs="Times New Roman" w:eastAsia="Times New Roman" w:hAnsi="Times New Roman"/>
          <w:sz w:val="20"/>
          <w:szCs w:val="20"/>
          <w:color w:val="auto"/>
        </w:rPr>
        <w:t xml:space="preserve"> THE NONQUALIFIED STOCK OPTION THAT IS THE SUBJECT OF THIS AWARD.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TERMS AND CONDITIONS FOR</w:t>
      </w: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STOCK OPTION</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These Standard Terms and Conditions apply to the Option granted pursuant to the Union Pacific Corporation 2021 Stock Incentive Plan, as amended from time to time (the “Plan”), which is identified as nonqualified stock option and is evidenced by a Grant Notice that specifically refers to these Standard Terms and Conditions. In addition to these Standard Terms and Conditions, the Option shall be subject to the terms of the Plan and, if applicable, the Key Employee Continuity Plan, the Severance Policy and/or the Policy for Recoupment of Certain Compensation, each as amended from time to time, which are incorporated into these Standard Terms and Conditions by this reference. Capitalized terms not otherwise defined herein shall have the meaning set forth in the Plan. For purposes of these Standard Terms and Conditions and the Grant Notice, any reference to the Company (as defined below) shall include a reference to any Subsidiary. Additionally, for purposes of these Standard Terms and Conditions, references in these Standard Terms and Conditions to “you” or “your” shall refer to the Participant named in the Grant Notice provided to said Participant herewith (the “Grant Notice”), and such Participant’s heirs and beneficiaries.</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electronically accepting the grant of the Option and these Standard Terms and Conditions, you acknowledge and agree to be bound by the following, which will survive your termination from employment and the vesting or forfeiture of the Option: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OPTION</w:t>
      </w:r>
    </w:p>
    <w:p>
      <w:pPr>
        <w:spacing w:after="0" w:line="229"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OPTION</w:t>
      </w:r>
    </w:p>
    <w:p>
      <w:pPr>
        <w:spacing w:after="0" w:line="23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Union Pacific Corporation (the “Company”), has granted to you a nonqualified stock option (the “Option”) to purchase up to the number of shares of the Company’s common stock (the “Common Stock”), set forth in the Grant Notice. The exercise price per share and the other terms and conditions of the Option are set forth in the Grant Notice, these Standard Terms and Conditions, the Plan and, if applicable, the Key Employee Continuity Plan, the Severance Policy and/or the Policy for Recoupment of Certain Compensation, each as amended from time to time.</w:t>
      </w:r>
    </w:p>
    <w:p>
      <w:pPr>
        <w:spacing w:after="0" w:line="194" w:lineRule="exact"/>
        <w:rPr>
          <w:sz w:val="20"/>
          <w:szCs w:val="20"/>
          <w:color w:val="auto"/>
        </w:rPr>
      </w:pPr>
    </w:p>
    <w:p>
      <w:pPr>
        <w:ind w:left="600" w:hanging="592"/>
        <w:spacing w:after="0"/>
        <w:tabs>
          <w:tab w:leader="none" w:pos="6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NONQUALIFIED STOCK OPTION</w:t>
      </w:r>
    </w:p>
    <w:p>
      <w:pPr>
        <w:spacing w:after="0" w:line="233"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Option is not intended to be an incentive stock option under Section 422 of the Internal Revenue Code of 1986, as amended (the “Code”) and will be interpreted accordingly.</w:t>
      </w:r>
    </w:p>
    <w:p>
      <w:pPr>
        <w:spacing w:after="0" w:line="169" w:lineRule="exact"/>
        <w:rPr>
          <w:sz w:val="20"/>
          <w:szCs w:val="20"/>
          <w:color w:val="auto"/>
        </w:rPr>
      </w:pPr>
    </w:p>
    <w:p>
      <w:pPr>
        <w:ind w:left="600" w:hanging="592"/>
        <w:spacing w:after="0"/>
        <w:tabs>
          <w:tab w:leader="none" w:pos="6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OPTION</w:t>
      </w:r>
    </w:p>
    <w:p>
      <w:pPr>
        <w:spacing w:after="0" w:line="233"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The Option shall not be exercisable as of the Grant Date set forth in the Grant Notice. After the Grant Date, to the extent not previously exercised, and subject to termination or acceleration as provided in these Standard Terms and Conditions, the Plan and, if applicable, the Key Employee Continuity Plan, the Severance Policy and/or the Policy for Recoupment of Certain Compensation, the Option shall be exercisable only to the extent it becomes vested, as described in the Grant Notice, these Standard Terms and Conditions, the terms of the Plan and, if applicable, the Key Employee Continuity Plan, the Severance Policy and/or the Policy for Recoupment of Certain Compensation, to purchase up to that number of shares of Common Stock as set forth in the Grant Notice, provided that (except as may be provided otherwise in Section 4 below) you remain employed with the Company and do not experience a termination of employment.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97" w:name="page98"/>
    <w:bookmarkEnd w:id="97"/>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The exercise price (the “Exercise Price”) of the Option is set forth in the Grant Notice. The Company shall not be obligated to issue any shares of Common Stock until you have paid the total Exercise Price for that number of shares of Common Stock. To exercise the Option (or any part thereof), you must deliver to the Company appropriate notice specifying the number of whole shares of Common Stock you wish to purchase accompanied by valid payment in the form of (i) a check, (ii) an attestation form confirming your current ownership of whole shares of Common Stock equal in value to the total Exercise Price for that number of shares of Common Stock, and/or (iii) an authorization to sell shares equal in value to the total Exercise Price for that number of shares of Common Stock. Notices and authorizations shall be delivered and all checks shall be payable to the Company’s third party stock plan administrator, or as otherwise directed by the Company.</w:t>
      </w:r>
    </w:p>
    <w:p>
      <w:pPr>
        <w:spacing w:after="0" w:line="18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Fractional shares may not be exercised. Shares of Common Stock will be issued as soon as practicable after exercise. Notwithstanding the above, for administrative or other reasons, including, but not limited to the Company’s determination that exercisability of the Option would violate any federal, state or other applicable laws, the Company may from time to time suspend your ability to exercise an Option for limited periods of time, which suspensions shall not change the period in which the Option is exercisable, except as otherwise provided in the Plan.</w:t>
      </w:r>
    </w:p>
    <w:p>
      <w:pPr>
        <w:spacing w:after="0" w:line="194" w:lineRule="exact"/>
        <w:rPr>
          <w:sz w:val="20"/>
          <w:szCs w:val="20"/>
          <w:color w:val="auto"/>
        </w:rPr>
      </w:pPr>
    </w:p>
    <w:p>
      <w:pPr>
        <w:ind w:left="600" w:hanging="592"/>
        <w:spacing w:after="0"/>
        <w:tabs>
          <w:tab w:leader="none" w:pos="6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EXPIRATION OF OPTION</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Except as otherwise may be provided by the Committee consistent with the terms of the Plan, the Option shall expire and cease to be exercisable as of the earlier of (a) the Expiration Date set forth in the Grant Notice or (b) the date specified below in Sections 4A through 4I, as applicable.</w:t>
      </w:r>
    </w:p>
    <w:p>
      <w:pPr>
        <w:spacing w:after="0" w:line="188" w:lineRule="exact"/>
        <w:rPr>
          <w:sz w:val="20"/>
          <w:szCs w:val="20"/>
          <w:color w:val="auto"/>
        </w:rPr>
      </w:pPr>
    </w:p>
    <w:p>
      <w:pPr>
        <w:jc w:val="both"/>
        <w:ind w:left="980" w:hanging="324"/>
        <w:spacing w:after="0" w:line="245" w:lineRule="auto"/>
        <w:tabs>
          <w:tab w:leader="none" w:pos="9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termination of employment is by reason of death or you are determined to be disabled under the provisions of the Company’s long-term disability plan, then any vesting period with respect to the Option shall be deemed to be satisfied and the Option shall become fully vested and exercisable (by you or your estate, beneficiary or legal representative, as the case may be) at the date of such termination of employment or the first day on which you are determined to be disabled under such long-term disability plan, as the case may be, until the date that is five (5) years following the date of such termination of employment or the first day of disability as determined under such long-term disability plan, as the case may be.</w:t>
      </w:r>
    </w:p>
    <w:p>
      <w:pPr>
        <w:spacing w:after="0" w:line="197"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remain continuously employed with the Company until September 30, 2024, (which shall include a period of time during which you are absent from active employment in accordance with a leave of absence policy adopted by the Company), and have a termination of employment at or after attaining 62/10 Status as defined below in this Section 4B, then the Option shall be exercisable in accordance with and at the times it becomes vested, as described in the Grant Notice, notwithstanding your termination of employment with the Company, until the date that is five (5) years following the date of such termination of employment. “62/10 Status” as to a Participant means attaining: (i) age 62; and (ii) at least 10 years of vesting service. For this purpose, vesting service shall be calculated by applying the rules for determining “Vesting Service” under the Pension Plan for Salaried Employees of Union Pacific Corporation and Affiliates (“UPC Pension Plan”), regardless of whether you were ever a participant in the UPC Pension Plan.</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58" w:lineRule="auto"/>
        <w:tabs>
          <w:tab w:leader="none" w:pos="9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Change in Control that occurs prior to your termination of employment in which the acquiring or surviving company in the transaction does not assume or continue the Option upon the Change in Control, any vesting period with respect to the Option shall be deemed to be satisfied and the Option shall become fully vested and exercisable (provided that the Option may be canceled upon the consummation of the Change in Control without payment of any additional consideration if the exercise price of the Option is less than the consideration per Share payable to shareholders of the Company in such Change in Control) and you may exercise the Option not assumed or continued until the date that is five (5) years following the date of such Change in Control. If you terminate employment following such Change in Control for a reason described in 4I, any unexercised portion of the Option shall be immediately forfeited and canceled as of the date of such termination of employment.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jc w:val="both"/>
        <w:ind w:left="980" w:hanging="324"/>
        <w:spacing w:after="0" w:line="247"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terminate employment and at the time of such termination of employment you are “Retirement Eligible” (i.e., at least age 65 or at least age 55 with 10 or more years of vesting service (determined as provided in Section 4B, above)), you may exercise any portion of the Option that is vested and exercisable at the time of your termination of employment until the date that is five</w:t>
      </w:r>
    </w:p>
    <w:p>
      <w:pPr>
        <w:ind w:left="1260" w:hanging="280"/>
        <w:spacing w:after="0"/>
        <w:tabs>
          <w:tab w:leader="none" w:pos="126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following the date of such termination of employment.</w:t>
      </w:r>
    </w:p>
    <w:p>
      <w:pPr>
        <w:spacing w:after="0" w:line="207" w:lineRule="exact"/>
        <w:rPr>
          <w:rFonts w:ascii="Times New Roman" w:cs="Times New Roman" w:eastAsia="Times New Roman" w:hAnsi="Times New Roman"/>
          <w:sz w:val="20"/>
          <w:szCs w:val="20"/>
          <w:color w:val="auto"/>
        </w:rPr>
      </w:pPr>
    </w:p>
    <w:p>
      <w:pPr>
        <w:jc w:val="both"/>
        <w:ind w:left="980" w:hanging="324"/>
        <w:spacing w:after="0" w:line="245"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4F hereof, in the event you terminate employment with the Company prior to becoming Retirement Eligible, and as a result of such termination of employment you are eligible for and entitled to payment of severance benefits under the provisions of a Severance Policy that include extension of the exercise period with respect to such Option, and provided you satisfy the conditions of the Severance Policy, you may exercise any portion of the Option that is vested and exercisable at the time of your termination of employment until the date established under the Severance Policy, provided that in no event will such date extend beyond the Expiration Date set forth in the Grant Notice.</w:t>
      </w:r>
    </w:p>
    <w:p>
      <w:pPr>
        <w:spacing w:after="0" w:line="197" w:lineRule="exact"/>
        <w:rPr>
          <w:rFonts w:ascii="Times New Roman" w:cs="Times New Roman" w:eastAsia="Times New Roman" w:hAnsi="Times New Roman"/>
          <w:sz w:val="20"/>
          <w:szCs w:val="20"/>
          <w:color w:val="auto"/>
        </w:rPr>
      </w:pPr>
    </w:p>
    <w:p>
      <w:pPr>
        <w:jc w:val="both"/>
        <w:ind w:left="980" w:hanging="324"/>
        <w:spacing w:after="0" w:line="243"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is involuntarily terminated by the Company (other than a termination as a result of disability determined under the provisions of the Company’s long-term disability plan, or cause or gross misconduct as determined by the Committee) within two (2) years following a Change in Control, any vesting period with respect to the Option shall be deemed to be satisfied and you may exercise the Option upon the date of such termination of employment, and the Option shall remain exercisable until the date that is three (3) years following the date of such termination of employment (or until the date that is five (5) years following the date of such termination of employment in the case of a termination of employment by reason of your death or a termination of employment described in Section 4B or Section 4D hereof). Furthermore, the Option exercise period shall be as described in Section 4A in the event you are determined to be disabled under the provisions of the Company’s long-term disability plan prior to your termination of employment described in this Section 4F.</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Sections 4A through 4F, if you are an Eligible Employee (within the meaning of the Key Employee Continuity Plan) in the Key Employee Continuity Plan and incur a Severance (within the meaning of the Key Employee Continuity Plan), the Option shall vest and be exercisable in accordance with the terms and conditions of the Key Employee Continuity Plan.</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foregoing Sections 4A through 4G: (i) you may exercise any portion of the Option that is vested and exercisable at the time of your termination of employment until the date that is three (3) months following the date of such termination of employment; and (ii) any portion of the Option that is not vested and exercisable at the time of such termination of employment shall be forfeited and canceled as of the date of such termination of employment.</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4, if your employment is terminated by the Company for deliberate, willful or gross misconduct (as determined by the Committee), the unexercised portion of the Option, whether or not then vested and exercisable, shall be immediately forfeited and canceled as of the date of such termination of employment.</w:t>
      </w:r>
    </w:p>
    <w:p>
      <w:pPr>
        <w:spacing w:after="0" w:line="183"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PROTECTION OF CONFIDENTIAL INFORMATION AND TRADE SECRETS</w:t>
      </w:r>
    </w:p>
    <w:p>
      <w:pPr>
        <w:spacing w:after="0" w:line="22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AND TRADE SECRETS</w:t>
      </w:r>
    </w:p>
    <w:p>
      <w:pPr>
        <w:spacing w:after="0" w:line="233" w:lineRule="exact"/>
        <w:rPr>
          <w:rFonts w:ascii="Times New Roman" w:cs="Times New Roman" w:eastAsia="Times New Roman" w:hAnsi="Times New Roman"/>
          <w:sz w:val="20"/>
          <w:szCs w:val="20"/>
          <w:b w:val="1"/>
          <w:bCs w:val="1"/>
          <w:color w:val="auto"/>
        </w:rPr>
      </w:pPr>
    </w:p>
    <w:p>
      <w:pPr>
        <w:jc w:val="both"/>
        <w:ind w:left="130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acknowledge that the Company regards certain information relating to its business and operations as confidential. This includes all confidential and proprietary information concerning the assets, business or affairs of the Company or any customers thereof (“Confidential Information”). You further acknowledge that the Company has certain information that derives economic value from not being known to the public or to others who could obtain economic value from its disclosure or use, which the Company takes reasonable efforts to protect the secrecy of (“Trade Secrets”).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ind w:left="624" w:hanging="624"/>
        <w:spacing w:after="0"/>
        <w:tabs>
          <w:tab w:leader="none" w:pos="624"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TYPES OF CONFIDENTIAL INFORMATION OR TRADE SECRETS</w:t>
      </w:r>
    </w:p>
    <w:p>
      <w:pPr>
        <w:spacing w:after="0" w:line="233" w:lineRule="exact"/>
        <w:rPr>
          <w:sz w:val="20"/>
          <w:szCs w:val="20"/>
          <w:color w:val="auto"/>
        </w:rPr>
      </w:pPr>
    </w:p>
    <w:p>
      <w:pPr>
        <w:jc w:val="both"/>
        <w:ind w:left="644"/>
        <w:spacing w:after="0" w:line="242" w:lineRule="auto"/>
        <w:rPr>
          <w:sz w:val="20"/>
          <w:szCs w:val="20"/>
          <w:color w:val="auto"/>
        </w:rPr>
      </w:pPr>
      <w:r>
        <w:rPr>
          <w:rFonts w:ascii="Times New Roman" w:cs="Times New Roman" w:eastAsia="Times New Roman" w:hAnsi="Times New Roman"/>
          <w:sz w:val="20"/>
          <w:szCs w:val="20"/>
          <w:color w:val="auto"/>
        </w:rPr>
        <w:t>You acknowledge that you developed and/or obtained, or have had and will in the future continue to have access to, one or more of the following types of Confidential Information or Trade Secrets: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constitute gross misconduct.</w:t>
      </w:r>
    </w:p>
    <w:p>
      <w:pPr>
        <w:spacing w:after="0" w:line="206" w:lineRule="exact"/>
        <w:rPr>
          <w:sz w:val="20"/>
          <w:szCs w:val="20"/>
          <w:color w:val="auto"/>
        </w:rPr>
      </w:pPr>
    </w:p>
    <w:p>
      <w:pPr>
        <w:jc w:val="both"/>
        <w:ind w:left="644"/>
        <w:spacing w:after="0" w:line="246" w:lineRule="auto"/>
        <w:rPr>
          <w:sz w:val="20"/>
          <w:szCs w:val="20"/>
          <w:color w:val="auto"/>
        </w:rPr>
      </w:pPr>
      <w:r>
        <w:rPr>
          <w:rFonts w:ascii="Times New Roman" w:cs="Times New Roman" w:eastAsia="Times New Roman" w:hAnsi="Times New Roman"/>
          <w:sz w:val="20"/>
          <w:szCs w:val="20"/>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181" w:lineRule="exact"/>
        <w:rPr>
          <w:sz w:val="20"/>
          <w:szCs w:val="20"/>
          <w:color w:val="auto"/>
        </w:rPr>
      </w:pPr>
    </w:p>
    <w:p>
      <w:pPr>
        <w:ind w:left="644" w:hanging="644"/>
        <w:spacing w:after="0"/>
        <w:tabs>
          <w:tab w:leader="none" w:pos="64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AGREEMENT TO MAINTAIN CONFIDENTIAL INFORMATION</w:t>
      </w:r>
    </w:p>
    <w:p>
      <w:pPr>
        <w:spacing w:after="0" w:line="233" w:lineRule="exact"/>
        <w:rPr>
          <w:rFonts w:ascii="Times New Roman" w:cs="Times New Roman" w:eastAsia="Times New Roman" w:hAnsi="Times New Roman"/>
          <w:sz w:val="20"/>
          <w:szCs w:val="20"/>
          <w:b w:val="1"/>
          <w:bCs w:val="1"/>
          <w:color w:val="auto"/>
        </w:rPr>
      </w:pPr>
    </w:p>
    <w:p>
      <w:pPr>
        <w:jc w:val="both"/>
        <w:ind w:left="644"/>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195" w:lineRule="exact"/>
        <w:rPr>
          <w:rFonts w:ascii="Times New Roman" w:cs="Times New Roman" w:eastAsia="Times New Roman" w:hAnsi="Times New Roman"/>
          <w:sz w:val="20"/>
          <w:szCs w:val="20"/>
          <w:b w:val="1"/>
          <w:bCs w:val="1"/>
          <w:color w:val="auto"/>
        </w:rPr>
      </w:pPr>
    </w:p>
    <w:p>
      <w:pPr>
        <w:ind w:left="644" w:hanging="644"/>
        <w:spacing w:after="0"/>
        <w:tabs>
          <w:tab w:leader="none" w:pos="64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NOTICE OF EMPLOYMENT</w:t>
      </w:r>
    </w:p>
    <w:p>
      <w:pPr>
        <w:spacing w:after="0" w:line="233" w:lineRule="exact"/>
        <w:rPr>
          <w:rFonts w:ascii="Times New Roman" w:cs="Times New Roman" w:eastAsia="Times New Roman" w:hAnsi="Times New Roman"/>
          <w:sz w:val="20"/>
          <w:szCs w:val="20"/>
          <w:b w:val="1"/>
          <w:bCs w:val="1"/>
          <w:color w:val="auto"/>
        </w:rPr>
      </w:pPr>
    </w:p>
    <w:p>
      <w:pPr>
        <w:jc w:val="both"/>
        <w:ind w:left="644"/>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acknowledge that if you become an employee, contractor, or consultant for any other person or entity engaged in the Business of the Company, as defined in Section 5(G),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one (1) year after you leave the Company, before accepting any employment or affiliation with another person or entity,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82550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2" w:right="339" w:bottom="1440" w:gutter="0" w:footer="0" w:header="0"/>
        </w:sectPr>
      </w:pPr>
    </w:p>
    <w:bookmarkStart w:id="100" w:name="page101"/>
    <w:bookmarkEnd w:id="100"/>
    <w:p>
      <w:pPr>
        <w:ind w:left="624" w:hanging="624"/>
        <w:spacing w:after="0"/>
        <w:tabs>
          <w:tab w:leader="none" w:pos="624"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CUSTOMERS</w:t>
      </w:r>
    </w:p>
    <w:p>
      <w:pPr>
        <w:spacing w:after="0" w:line="233" w:lineRule="exact"/>
        <w:rPr>
          <w:sz w:val="20"/>
          <w:szCs w:val="20"/>
          <w:color w:val="auto"/>
        </w:rPr>
      </w:pPr>
    </w:p>
    <w:p>
      <w:pPr>
        <w:jc w:val="both"/>
        <w:ind w:left="644"/>
        <w:spacing w:after="0" w:line="243" w:lineRule="auto"/>
        <w:rPr>
          <w:sz w:val="20"/>
          <w:szCs w:val="20"/>
          <w:color w:val="auto"/>
        </w:rPr>
      </w:pPr>
      <w:r>
        <w:rPr>
          <w:rFonts w:ascii="Times New Roman" w:cs="Times New Roman" w:eastAsia="Times New Roman" w:hAnsi="Times New Roman"/>
          <w:sz w:val="20"/>
          <w:szCs w:val="20"/>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call on or solicit any of the Company’s customers with whom you had personal contact or about whom you received Confidential or Trade Secret information during the period from the Grant Date of this Award until the Restriction Period Termination Date (or, if earlier, the date your employment with the Company ceased), for the purpose of providing the customers with goods and/or services similar in nature to those provided by the Company in its Business as defined below in Section 5(G), within any State in which the Company does business.</w:t>
      </w:r>
    </w:p>
    <w:p>
      <w:pPr>
        <w:spacing w:after="0" w:line="195" w:lineRule="exact"/>
        <w:rPr>
          <w:sz w:val="20"/>
          <w:szCs w:val="20"/>
          <w:color w:val="auto"/>
        </w:rPr>
      </w:pPr>
    </w:p>
    <w:p>
      <w:pPr>
        <w:ind w:left="604" w:hanging="604"/>
        <w:spacing w:after="0"/>
        <w:tabs>
          <w:tab w:leader="none" w:pos="604"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EMPLOYEES</w:t>
      </w:r>
    </w:p>
    <w:p>
      <w:pPr>
        <w:spacing w:after="0" w:line="233" w:lineRule="exact"/>
        <w:rPr>
          <w:sz w:val="20"/>
          <w:szCs w:val="20"/>
          <w:color w:val="auto"/>
        </w:rPr>
      </w:pPr>
    </w:p>
    <w:p>
      <w:pPr>
        <w:jc w:val="both"/>
        <w:ind w:left="644"/>
        <w:spacing w:after="0" w:line="244" w:lineRule="auto"/>
        <w:rPr>
          <w:sz w:val="20"/>
          <w:szCs w:val="20"/>
          <w:color w:val="auto"/>
        </w:rPr>
      </w:pPr>
      <w:r>
        <w:rPr>
          <w:rFonts w:ascii="Times New Roman" w:cs="Times New Roman" w:eastAsia="Times New Roman" w:hAnsi="Times New Roman"/>
          <w:sz w:val="20"/>
          <w:szCs w:val="20"/>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participate in hiring or attempting to hire away a Company employee or contractor, or induce or encourage any employees or contractors of the Company to terminate their relationship with the Company, whom you worked with, managed, or supervised without prior written consent of the Sr. HR Officer.</w:t>
      </w:r>
    </w:p>
    <w:p>
      <w:pPr>
        <w:spacing w:after="0" w:line="195" w:lineRule="exact"/>
        <w:rPr>
          <w:sz w:val="20"/>
          <w:szCs w:val="20"/>
          <w:color w:val="auto"/>
        </w:rPr>
      </w:pPr>
    </w:p>
    <w:p>
      <w:pPr>
        <w:ind w:left="604" w:hanging="604"/>
        <w:spacing w:after="0"/>
        <w:tabs>
          <w:tab w:leader="none" w:pos="604"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w:t>
      </w:r>
    </w:p>
    <w:p>
      <w:pPr>
        <w:spacing w:after="0" w:line="233"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9"/>
          <w:szCs w:val="19"/>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in which the Company does business. For the avoidance of doubt, the term “State” as used in this agreement shall be interpreted to include any legal territory of the United States where the Company does business, including, by way of example, the District of Columbia. Further, for purposes of these Standard Terms and Conditions,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 This Section 5(G) is not intended to prevent you from engaging in any activity that is not substantially the same as or competitive with the Company’s Business.</w:t>
      </w:r>
    </w:p>
    <w:p>
      <w:pPr>
        <w:spacing w:after="0" w:line="1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82550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2" w:right="339" w:bottom="1440" w:gutter="0" w:footer="0" w:header="0"/>
        </w:sectPr>
      </w:pPr>
    </w:p>
    <w:bookmarkStart w:id="101" w:name="page102"/>
    <w:bookmarkEnd w:id="101"/>
    <w:p>
      <w:pPr>
        <w:spacing w:after="0" w:line="39" w:lineRule="exact"/>
        <w:rPr>
          <w:sz w:val="20"/>
          <w:szCs w:val="20"/>
          <w:color w:val="auto"/>
        </w:rPr>
      </w:pPr>
    </w:p>
    <w:p>
      <w:pPr>
        <w:ind w:left="604" w:hanging="604"/>
        <w:spacing w:after="0"/>
        <w:tabs>
          <w:tab w:leader="none" w:pos="604"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STATE LAW LIMITATIONS</w:t>
      </w:r>
    </w:p>
    <w:p>
      <w:pPr>
        <w:spacing w:after="0" w:line="233"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20"/>
          <w:szCs w:val="20"/>
          <w:color w:val="auto"/>
        </w:rPr>
        <w:t>This Section 5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paragraphs above apply to you in full.</w:t>
      </w:r>
    </w:p>
    <w:p>
      <w:pPr>
        <w:spacing w:after="0" w:line="188" w:lineRule="exact"/>
        <w:rPr>
          <w:sz w:val="20"/>
          <w:szCs w:val="20"/>
          <w:color w:val="auto"/>
        </w:rPr>
      </w:pPr>
    </w:p>
    <w:p>
      <w:pPr>
        <w:ind w:left="1284" w:hanging="636"/>
        <w:spacing w:after="0"/>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California:</w:t>
      </w:r>
    </w:p>
    <w:p>
      <w:pPr>
        <w:spacing w:after="0" w:line="229" w:lineRule="exact"/>
        <w:rPr>
          <w:rFonts w:ascii="Times New Roman" w:cs="Times New Roman" w:eastAsia="Times New Roman" w:hAnsi="Times New Roman"/>
          <w:sz w:val="20"/>
          <w:szCs w:val="20"/>
          <w:color w:val="auto"/>
        </w:rPr>
      </w:pPr>
    </w:p>
    <w:p>
      <w:pPr>
        <w:jc w:val="both"/>
        <w:ind w:left="1304" w:hanging="8"/>
        <w:spacing w:after="0" w:line="254" w:lineRule="auto"/>
        <w:tabs>
          <w:tab w:leader="none" w:pos="20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apply to you, except that you agree that you will be prohibited from solicitation of the Company’s clients using the Company’s trade secrets, and/or providing services for anyone other than the Company using the Company’s trade secrets.</w:t>
      </w:r>
    </w:p>
    <w:p>
      <w:pPr>
        <w:spacing w:after="0" w:line="187" w:lineRule="exact"/>
        <w:rPr>
          <w:rFonts w:ascii="Times New Roman" w:cs="Times New Roman" w:eastAsia="Times New Roman" w:hAnsi="Times New Roman"/>
          <w:sz w:val="20"/>
          <w:szCs w:val="20"/>
          <w:color w:val="auto"/>
        </w:rPr>
      </w:pPr>
    </w:p>
    <w:p>
      <w:pPr>
        <w:ind w:left="1964" w:hanging="668"/>
        <w:spacing w:after="0"/>
        <w:tabs>
          <w:tab w:leader="none" w:pos="196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29" w:lineRule="exact"/>
        <w:rPr>
          <w:sz w:val="20"/>
          <w:szCs w:val="20"/>
          <w:color w:val="auto"/>
        </w:rPr>
      </w:pPr>
    </w:p>
    <w:p>
      <w:pPr>
        <w:jc w:val="both"/>
        <w:ind w:left="1304" w:hanging="656"/>
        <w:spacing w:after="0" w:line="242" w:lineRule="auto"/>
        <w:tabs>
          <w:tab w:leader="none" w:pos="126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Colorado, Section (G) does not apply to you unless your annualized cash compensation from the Company exceeds the threshold set by the Colorado Department of Labor and Employment, Division of Labor Standards and Statistics. As of 2023, this threshold was $112,500. As of 2024, this threshold is scheduled to be $123,750.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Section (E) does not apply to you unless your annualized cash compensation from the Company exceeds the threshold set by the Colorado Department of Labor and Employment, Division of Labor Standards and Statistics. As of 2023, this threshold was $67,500. As of 2024, this threshold is scheduled to be $74,250.</w:t>
      </w:r>
    </w:p>
    <w:p>
      <w:pPr>
        <w:spacing w:after="0" w:line="205" w:lineRule="exact"/>
        <w:rPr>
          <w:rFonts w:ascii="Times New Roman" w:cs="Times New Roman" w:eastAsia="Times New Roman" w:hAnsi="Times New Roman"/>
          <w:sz w:val="20"/>
          <w:szCs w:val="20"/>
          <w:color w:val="auto"/>
        </w:rPr>
      </w:pPr>
    </w:p>
    <w:p>
      <w:pPr>
        <w:jc w:val="both"/>
        <w:ind w:left="1304" w:hanging="656"/>
        <w:spacing w:after="0" w:line="245" w:lineRule="auto"/>
        <w:tabs>
          <w:tab w:leader="none" w:pos="13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the District of Columbia, Sections (E) and (G) do not apply to you unless you are reasonably expected to earn in a consecutive 12-month period or have earned in the preceding 12-month period, compensation greater than or equal to the threshold set by the District of Columbia Non-Compete Agreements Amendment Act of 2020, as amended. As of 2023, this threshold was $150,000, and the District of Columbia may announce a higher threshold for 2024</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For purposes of this agreement, an employee based in the District of Columbia who meets this compensation threshold shall be deemed a “Highly Compensated Employee.”</w:t>
      </w:r>
    </w:p>
    <w:p>
      <w:pPr>
        <w:spacing w:after="0" w:line="197" w:lineRule="exact"/>
        <w:rPr>
          <w:rFonts w:ascii="Times New Roman" w:cs="Times New Roman" w:eastAsia="Times New Roman" w:hAnsi="Times New Roman"/>
          <w:sz w:val="20"/>
          <w:szCs w:val="20"/>
          <w:color w:val="auto"/>
        </w:rPr>
      </w:pPr>
    </w:p>
    <w:p>
      <w:pPr>
        <w:jc w:val="both"/>
        <w:ind w:left="1304" w:hanging="656"/>
        <w:spacing w:after="0" w:line="242" w:lineRule="auto"/>
        <w:tabs>
          <w:tab w:leader="none" w:pos="135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Illinois, Section (G) does not apply to you unless (a) you earn more than $75,000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 Sections (E) and (F) do not apply to you unless you (a) earn more than $45,000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w:t>
      </w:r>
    </w:p>
    <w:p>
      <w:pPr>
        <w:spacing w:after="0" w:line="200" w:lineRule="exact"/>
        <w:rPr>
          <w:rFonts w:ascii="Times New Roman" w:cs="Times New Roman" w:eastAsia="Times New Roman" w:hAnsi="Times New Roman"/>
          <w:sz w:val="20"/>
          <w:szCs w:val="20"/>
          <w:color w:val="auto"/>
        </w:rPr>
      </w:pPr>
    </w:p>
    <w:p>
      <w:pPr>
        <w:ind w:left="1304" w:hanging="656"/>
        <w:spacing w:after="0" w:line="269" w:lineRule="auto"/>
        <w:tabs>
          <w:tab w:leader="none" w:pos="1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Louisiana, you agree that the Company operates throughout the State of Louisiana, and that Section 6 therefore applies in every parish and municipality in the State.</w:t>
      </w:r>
    </w:p>
    <w:p>
      <w:pPr>
        <w:spacing w:after="0" w:line="172" w:lineRule="exact"/>
        <w:rPr>
          <w:rFonts w:ascii="Times New Roman" w:cs="Times New Roman" w:eastAsia="Times New Roman" w:hAnsi="Times New Roman"/>
          <w:sz w:val="20"/>
          <w:szCs w:val="20"/>
          <w:color w:val="auto"/>
        </w:rPr>
      </w:pPr>
    </w:p>
    <w:p>
      <w:pPr>
        <w:ind w:left="1324" w:hanging="676"/>
        <w:spacing w:after="0"/>
        <w:tabs>
          <w:tab w:leader="none" w:pos="132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Minnesota, Section (G) does not apply to you.</w:t>
      </w:r>
    </w:p>
    <w:p>
      <w:pPr>
        <w:spacing w:after="0" w:line="229" w:lineRule="exact"/>
        <w:rPr>
          <w:rFonts w:ascii="Times New Roman" w:cs="Times New Roman" w:eastAsia="Times New Roman" w:hAnsi="Times New Roman"/>
          <w:sz w:val="20"/>
          <w:szCs w:val="20"/>
          <w:color w:val="auto"/>
        </w:rPr>
      </w:pPr>
    </w:p>
    <w:p>
      <w:pPr>
        <w:jc w:val="both"/>
        <w:ind w:left="1304" w:hanging="656"/>
        <w:spacing w:after="0" w:line="254" w:lineRule="auto"/>
        <w:tabs>
          <w:tab w:leader="none" w:pos="135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based in New York, Section (E) does not apply to any customer that became a customer of the Company only as a result of your independent contact and business development efforts with the customer before and independent from your employment with the Company.</w:t>
      </w:r>
    </w:p>
    <w:p>
      <w:pPr>
        <w:spacing w:after="0" w:line="187" w:lineRule="exact"/>
        <w:rPr>
          <w:rFonts w:ascii="Times New Roman" w:cs="Times New Roman" w:eastAsia="Times New Roman" w:hAnsi="Times New Roman"/>
          <w:sz w:val="20"/>
          <w:szCs w:val="20"/>
          <w:color w:val="auto"/>
        </w:rPr>
      </w:pPr>
    </w:p>
    <w:p>
      <w:pPr>
        <w:ind w:left="1344" w:hanging="696"/>
        <w:spacing w:after="0"/>
        <w:tabs>
          <w:tab w:leader="none" w:pos="134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North Dakota, Sections (E) and (G) do not apply to you.</w:t>
      </w:r>
    </w:p>
    <w:p>
      <w:pPr>
        <w:spacing w:after="0" w:line="229"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Oklahoma:</w:t>
      </w:r>
    </w:p>
    <w:p>
      <w:pPr>
        <w:spacing w:after="0" w:line="229" w:lineRule="exact"/>
        <w:rPr>
          <w:rFonts w:ascii="Times New Roman" w:cs="Times New Roman" w:eastAsia="Times New Roman" w:hAnsi="Times New Roman"/>
          <w:sz w:val="20"/>
          <w:szCs w:val="20"/>
          <w:color w:val="auto"/>
        </w:rPr>
      </w:pPr>
    </w:p>
    <w:p>
      <w:pPr>
        <w:jc w:val="both"/>
        <w:ind w:left="1304" w:hanging="8"/>
        <w:spacing w:after="0" w:line="246" w:lineRule="auto"/>
        <w:tabs>
          <w:tab w:leader="none" w:pos="226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pacing w:after="0" w:line="198" w:lineRule="exact"/>
        <w:rPr>
          <w:rFonts w:ascii="Times New Roman" w:cs="Times New Roman" w:eastAsia="Times New Roman" w:hAnsi="Times New Roman"/>
          <w:sz w:val="20"/>
          <w:szCs w:val="20"/>
          <w:color w:val="auto"/>
        </w:rPr>
      </w:pPr>
    </w:p>
    <w:p>
      <w:pPr>
        <w:ind w:left="2024" w:hanging="728"/>
        <w:spacing w:after="0"/>
        <w:tabs>
          <w:tab w:leader="none" w:pos="202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29" w:lineRule="exact"/>
        <w:rPr>
          <w:rFonts w:ascii="Times New Roman" w:cs="Times New Roman" w:eastAsia="Times New Roman" w:hAnsi="Times New Roman"/>
          <w:sz w:val="20"/>
          <w:szCs w:val="20"/>
          <w:color w:val="auto"/>
        </w:rPr>
      </w:pPr>
    </w:p>
    <w:p>
      <w:pPr>
        <w:jc w:val="both"/>
        <w:ind w:left="1304" w:hanging="656"/>
        <w:spacing w:after="0" w:line="249" w:lineRule="auto"/>
        <w:tabs>
          <w:tab w:leader="none" w:pos="125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employees based in the State of Washington, Section (G) does not apply to you unless your annual earnings from your employment with the Company exceed the threshold established by the Washington Department of Labor and Industries pursuant to RCW 49.62.040. As of 2023, this threshold was $116,593.18. As of 2024, the Department has announced that this threshold will be $120,559.99.</w:t>
      </w:r>
    </w:p>
    <w:p>
      <w:pPr>
        <w:sectPr>
          <w:pgSz w:w="11900" w:h="16878" w:orient="portrait"/>
          <w:cols w:equalWidth="0" w:num="1">
            <w:col w:w="10584"/>
          </w:cols>
          <w:pgMar w:left="976" w:top="572" w:right="339" w:bottom="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3" w:name="page104"/>
    <w:bookmarkEnd w:id="103"/>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INJUNCTIVE RELIEF</w:t>
      </w:r>
    </w:p>
    <w:p>
      <w:pPr>
        <w:spacing w:after="0" w:line="23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5, the damage to the Company would be irreparable. You therefore agree that the Company, in addition to any other remedies available to it, including, without limitation, the remedies set forth in Sections 7 and 8, shall be entitled to injunctive relief against your breach or threaten breach of said covenants, to the extent they apply in the State in which your employment with the Company is based. You and the Company further agree that, in the event that any one or more of the provisions of Section 5 shall be determined by any court of competent jurisdiction to be unenforceable by reason of it being overly broad, such provision shall be deemed to be modified to permit its enforcement to the maximum extent permitted by law.</w:t>
      </w:r>
    </w:p>
    <w:p>
      <w:pPr>
        <w:spacing w:after="0" w:line="19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VIOLATION OF PROMISES</w:t>
      </w:r>
    </w:p>
    <w:p>
      <w:pPr>
        <w:spacing w:after="0" w:line="233"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You agree that if you violate any one or more of the promises set forth in Section 5 then, in lieu of or in addition to any other remedies available to Company as permitted by applicable law, all unvested Stock Options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5, the vesting of this Grant may be suspended pending a determination of whether you violated any such provision by a tribunal as specified in Section 8 and 10. In addition, in lieu of or in addition to any remedy provided for in Section 6, at any time the Company may seek in any such proceeding that you be required to immediately deliver to the Company any shares of Common Stock (or the fair market value thereof) and any related Dividend Equivalent Payments earned by or issued to you pursuant to this Grant at any time during the three (3) full fiscal years preceding the Notice Date. You agree that you will deliver such shares of Common Stock (or the fair market value thereof) and any related Dividend Equivalent Payments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and any related Dividend Equivalent Payments against any amount that might be owed to you by the Company. For the avoidance of doubt, this paragraph shall apply only to the extent the promises set forth in Section 5, is applicable in the State in which your employment with the Company is based.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04" w:name="page105"/>
    <w:bookmarkEnd w:id="104"/>
    <w:p>
      <w:pPr>
        <w:ind w:left="5460"/>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29" w:lineRule="exact"/>
        <w:rPr>
          <w:sz w:val="20"/>
          <w:szCs w:val="20"/>
          <w:color w:val="auto"/>
        </w:rPr>
      </w:pPr>
    </w:p>
    <w:p>
      <w:pPr>
        <w:ind w:left="600" w:hanging="592"/>
        <w:spacing w:after="0"/>
        <w:tabs>
          <w:tab w:leader="none" w:pos="60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w:t>
      </w:r>
    </w:p>
    <w:p>
      <w:pPr>
        <w:spacing w:after="0" w:line="233" w:lineRule="exact"/>
        <w:rPr>
          <w:rFonts w:ascii="Times New Roman" w:cs="Times New Roman" w:eastAsia="Times New Roman" w:hAnsi="Times New Roman"/>
          <w:sz w:val="20"/>
          <w:szCs w:val="20"/>
          <w:b w:val="1"/>
          <w:bCs w:val="1"/>
          <w:color w:val="auto"/>
        </w:rPr>
      </w:pPr>
    </w:p>
    <w:p>
      <w:pPr>
        <w:jc w:val="both"/>
        <w:ind w:left="660" w:hanging="4"/>
        <w:spacing w:after="0" w:line="242" w:lineRule="auto"/>
        <w:tabs>
          <w:tab w:leader="none" w:pos="137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each agree that any controversy, claim, or dispute arising out of or relating to these Standard Terms and Conditions or arising out of or relating to your employment relationship with the Company or any of its affiliates, the termination of such relationship, or your conduct following the termination of such relationship,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00" w:lineRule="exact"/>
        <w:rPr>
          <w:rFonts w:ascii="Times New Roman" w:cs="Times New Roman" w:eastAsia="Times New Roman" w:hAnsi="Times New Roman"/>
          <w:sz w:val="20"/>
          <w:szCs w:val="20"/>
          <w:color w:val="auto"/>
        </w:rPr>
      </w:pPr>
    </w:p>
    <w:p>
      <w:pPr>
        <w:jc w:val="both"/>
        <w:ind w:left="660" w:hanging="4"/>
        <w:spacing w:after="0" w:line="241" w:lineRule="auto"/>
        <w:tabs>
          <w:tab w:leader="none" w:pos="95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disputes arising under Sections 5 and 7 of these Terms and Conditions, the parties will submit the dispute, within 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Sections 5 and 7, to the extent those covenants apply in the State in which your employment with the Company is based. The arbitrator will have no authority to order a modification or amendment of these Standard Terms and Conditions, except that if the arbitrator finds any covenant in Sections 5 and 7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200" w:lineRule="exact"/>
        <w:rPr>
          <w:rFonts w:ascii="Times New Roman" w:cs="Times New Roman" w:eastAsia="Times New Roman" w:hAnsi="Times New Roman"/>
          <w:sz w:val="20"/>
          <w:szCs w:val="20"/>
          <w:color w:val="auto"/>
        </w:rPr>
      </w:pPr>
    </w:p>
    <w:p>
      <w:pPr>
        <w:jc w:val="both"/>
        <w:ind w:left="660" w:hanging="4"/>
        <w:spacing w:after="0" w:line="245" w:lineRule="auto"/>
        <w:tabs>
          <w:tab w:leader="none" w:pos="151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seek injunctive relief to enforce any one or more of the covenants set forth in Sections 5 or 7 of these Terms and Conditions, in a court of competent jurisdiction, as set forth in Section 10 below. You specifically agree that a court of competent jurisdiction may enter preliminary injunctive relief to restrain violations of any of the covenants in Sections 5 or 7 of these Terms and Conditions, pending arbitration or other litigation. For the avoidance of doubt, this provision only applies to the promises set forth in Sections 5 or 7, to the extent those Sections are applicable in the State in which your employment with the Company is based.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05" w:name="page106"/>
    <w:bookmarkEnd w:id="105"/>
    <w:p>
      <w:pPr>
        <w:ind w:left="600" w:hanging="592"/>
        <w:spacing w:after="0"/>
        <w:tabs>
          <w:tab w:leader="none" w:pos="6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3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If any provision of these Standard Terms and Conditions is, becomes, or is deemed to be invalid, illegal, or unenforceable in any jurisdiction, such provision shall be construed or deemed amended or limited in scope to conform to applicable laws or, in the discretion of the Company, it shall be stricken and the remainder of these Standard Terms and Conditions shall remain in force and effect.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CHOICE OF LAW; JURISDICTION</w:t>
      </w:r>
    </w:p>
    <w:p>
      <w:pPr>
        <w:spacing w:after="0" w:line="23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All questions pertaining to the construction, regulation, validity, and effect of these Standard Terms and Conditions shall be determined in accordance with the laws of the State of Utah, without regard to the conflict of laws doctrine, with the exception of Sections 5 or 7. All questions pertaining to the construction, regulation, validity, and effect of Sections 5 or 7 shall be determined in accordance with the laws of the State in which your employment with the Company is based. With respect to any claim or dispute involving your Grant and/or these Standard Terms and Conditions that is not subject to the arbitration pursuant to Section 10 hereof, other than those arising from Sections 5 or 7,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and these Standard Terms and Conditions (including all terms incorporated by reference into these Standard Terms and Conditions).</w:t>
      </w:r>
    </w:p>
    <w:p>
      <w:pPr>
        <w:spacing w:after="0" w:line="199"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and these Standard Terms and Conditions may be amended or altered by the Committee or the Company’s Board of Directors to the extent provided in the Plan.</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ON RESALES OF SHARES ACQUIRED PURSUANT TO OPTION EXERCISE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impose such restrictions, conditions or limitations as it determines appropriate as to the timing and manner of any resales by you or other subsequent transfers by you of any Common Stock issued as a result of the exercise of the Option, including without limitation (a) restrictions under an insider trading policy, (b) restrictions designed to delay and/or coordinate the timing and manner of sales by you and other option holders and (c) restrictions as to the use of a specified brokerage firm for such resales or other transfers.</w:t>
      </w:r>
    </w:p>
    <w:p>
      <w:pPr>
        <w:spacing w:after="0" w:line="194"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9"/>
          <w:szCs w:val="19"/>
          <w:color w:val="auto"/>
        </w:rPr>
        <w:t>The Company shall not deliver shares of Common Stock in respect of the exercise of any Option unless and until you have made satisfactory arrangements to pay or otherwise satisfy all applicable tax withholding obligations. Unless you pay the tax withholding obligations to the Company by cash or check in connection with the exercise of the Option, tax withholding may be effected, at the Company’s option, by withholding Common Stock issuable in connection with the exercise of the Option (provided that shares of Common Stock may be withheld only to the extent that such tax withholding will not result in adverse accounting treatment for the Company). You acknowledge that the Company shall have the right to deduct any taxes required to be withheld by law in connection with the exercise of the Option from any amounts payable by it to you (including, without limitation, future cash wages).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06" w:name="page107"/>
    <w:bookmarkEnd w:id="106"/>
    <w:p>
      <w:pPr>
        <w:ind w:left="600" w:hanging="592"/>
        <w:spacing w:after="0"/>
        <w:tabs>
          <w:tab w:leader="none" w:pos="6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 OF OPTION</w:t>
      </w:r>
    </w:p>
    <w:p>
      <w:pPr>
        <w:spacing w:after="0" w:line="23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You understand, acknowledge and agree that, except as permitted under the Plan, you may not assign or transfer the Option to anyone other than by will or the laws of descent and distribution and the Option shall be exercisable only by you during your lifetime or, following your death, by your beneficiary. The Company may cancel your Option if you attempt to assign or transfer it in a manner inconsistent with this Section 14. Your beneficiaries and anyone claiming an interest in the Option through you are subject to all of the terms and conditions applicable to you, other than the covenants set forth in Section 5.</w:t>
      </w:r>
    </w:p>
    <w:p>
      <w:pPr>
        <w:spacing w:after="0" w:line="181" w:lineRule="exact"/>
        <w:rPr>
          <w:sz w:val="20"/>
          <w:szCs w:val="20"/>
          <w:color w:val="auto"/>
        </w:rPr>
      </w:pPr>
    </w:p>
    <w:p>
      <w:pPr>
        <w:ind w:left="600" w:hanging="592"/>
        <w:spacing w:after="0"/>
        <w:tabs>
          <w:tab w:leader="none" w:pos="6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CLAWBACK AND RECOUPMENT</w:t>
      </w:r>
    </w:p>
    <w:p>
      <w:pPr>
        <w:spacing w:after="0" w:line="233"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0"/>
          <w:szCs w:val="20"/>
          <w:color w:val="auto"/>
        </w:rPr>
        <w:t>If you are or become a Covered Executive or Other Executive under the Company’s Policy for Recoupment of Certain Compensation, you agree that your Option, and shares issuable upon exercise of the Option, are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pacing w:after="0" w:line="204" w:lineRule="exact"/>
        <w:rPr>
          <w:sz w:val="20"/>
          <w:szCs w:val="20"/>
          <w:color w:val="auto"/>
        </w:rPr>
      </w:pPr>
    </w:p>
    <w:p>
      <w:pPr>
        <w:ind w:left="600" w:hanging="592"/>
        <w:spacing w:after="0"/>
        <w:tabs>
          <w:tab w:leader="none" w:pos="6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INTEREST IN SHARES SUBJECT TO OPTION</w:t>
      </w:r>
    </w:p>
    <w:p>
      <w:pPr>
        <w:spacing w:after="0" w:line="23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Neither you (individually or as a member of a group) nor any beneficiary or other person claiming by, under or through you shall have any right, title, interest, or privilege in or to any shares of Common Stock allocated or reserved for the purpose of the Plan, the Long Term Plan or subject to the Grant Notice or these Standard Terms and Conditions except as to such shares of Common Stock, if any, as shall have been issued to such person upon vesting of the Stock Units, which shares shall remain subject to the conditions set forth in these Standard Terms and Conditions. Nothing in the Plan, the Long-Term Plan, the Grant Notice, these Standard Terms and Conditions or any other instrument executed pursuant to the Plan shall confer upon you any right to continue in the Company’s employ or service nor limit in any way the Company’s right to terminate your employment at any time for any reason.</w:t>
      </w:r>
    </w:p>
    <w:p>
      <w:pPr>
        <w:spacing w:after="0" w:line="195" w:lineRule="exact"/>
        <w:rPr>
          <w:sz w:val="20"/>
          <w:szCs w:val="20"/>
          <w:color w:val="auto"/>
        </w:rPr>
      </w:pPr>
    </w:p>
    <w:p>
      <w:pPr>
        <w:ind w:left="600" w:hanging="592"/>
        <w:spacing w:after="0"/>
        <w:tabs>
          <w:tab w:leader="none" w:pos="6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AGREEMENTS SUPERSEDED</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Grant Notice, these Standard Terms and Conditions, the Plan and the Long-Term Plan constitute the entire understanding between you and the Company regarding the Option. Any prior agreements, commitments or negotiations concerning the Option are superseded.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07" w:name="page108"/>
    <w:bookmarkEnd w:id="107"/>
    <w:p>
      <w:pPr>
        <w:ind w:left="600" w:hanging="592"/>
        <w:spacing w:after="0"/>
        <w:tabs>
          <w:tab w:leader="none" w:pos="60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REVIEW PERIOD/NOTICE FOR CERTAIN EMPLOYEES</w:t>
      </w:r>
    </w:p>
    <w:p>
      <w:pPr>
        <w:spacing w:after="0" w:line="229" w:lineRule="exact"/>
        <w:rPr>
          <w:sz w:val="20"/>
          <w:szCs w:val="20"/>
          <w:color w:val="auto"/>
        </w:rPr>
      </w:pPr>
    </w:p>
    <w:p>
      <w:pPr>
        <w:ind w:left="660" w:right="160"/>
        <w:spacing w:after="0" w:line="245"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COLORADO</w:t>
      </w:r>
      <w:r>
        <w:rPr>
          <w:rFonts w:ascii="Times New Roman" w:cs="Times New Roman" w:eastAsia="Times New Roman" w:hAnsi="Times New Roman"/>
          <w:sz w:val="20"/>
          <w:szCs w:val="20"/>
          <w:color w:val="auto"/>
        </w:rPr>
        <w:t xml:space="preserve"> AND ARE SUBJECT TO THE RESTRICTIONS IN SECTIONS 5(E),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 YOU HAVE 14 CALENDAR DAYS FROM THE DAY YOU RECEIVED THIS AGREEMENT TO REVIEW IT AND THAT YOU ARE ADVISED TO CONSULT LEGAL COUNSEL PRIOR TO SIGNING IT.</w:t>
      </w:r>
    </w:p>
    <w:p>
      <w:pPr>
        <w:spacing w:after="0" w:line="19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w:t>
      </w:r>
      <w:r>
        <w:rPr>
          <w:rFonts w:ascii="Times New Roman" w:cs="Times New Roman" w:eastAsia="Times New Roman" w:hAnsi="Times New Roman"/>
          <w:sz w:val="20"/>
          <w:szCs w:val="20"/>
          <w:b w:val="1"/>
          <w:bCs w:val="1"/>
          <w:color w:val="auto"/>
        </w:rPr>
        <w:t>DISTRICT OF COLUMBIA</w:t>
      </w:r>
      <w:r>
        <w:rPr>
          <w:rFonts w:ascii="Times New Roman" w:cs="Times New Roman" w:eastAsia="Times New Roman" w:hAnsi="Times New Roman"/>
          <w:sz w:val="20"/>
          <w:szCs w:val="20"/>
          <w:color w:val="auto"/>
        </w:rPr>
        <w:t xml:space="preserve"> AS A “HIGHLY COMPENSATED EMPLOYEE,” AS DEFINED IN SECTION 5(H),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SECTIONS 5(E) AND (G), THE COMPANY HAS DETERMINED THAT YOU ARE A HIGHLY COMPENSATED EMPLOYEE. FOR MORE INFORMATION ABOUT THE BAN ON NON-COMPETE AGREEMENTS AMENDMENT ACT OF 2020, AS AMENDED, CONTACT THE DISTRICT OF COLUMBIA DEPARTMENT OF EMPLOYMENT SERVICES (DOES).</w:t>
      </w:r>
    </w:p>
    <w:p>
      <w:pPr>
        <w:spacing w:after="0" w:line="20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ILLINOIS</w:t>
      </w:r>
      <w:r>
        <w:rPr>
          <w:rFonts w:ascii="Times New Roman" w:cs="Times New Roman" w:eastAsia="Times New Roman" w:hAnsi="Times New Roman"/>
          <w:sz w:val="20"/>
          <w:szCs w:val="20"/>
          <w:color w:val="auto"/>
        </w:rPr>
        <w:t>, YOU ACKNOWLEDGE THAT YOU HAVE AT LEAST 14 CALENDAR DAYS FROM THE DAY YOU RECEIVED THIS AGREEMENT TO REVIEW IT AND THAT YOU ARE ADVISED TO CONSULT LEGAL COUNSEL PRIOR TO SIGNING IT.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572"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GRANT NOTICE FOR 2021 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GOOD AND VALUABLE CONSIDERATION, Union Pacific Corporation (the “Company”), hereby grants to Participant named below (for purposes hereof, references herein to “you” or “your” shall refer to such Participant) the number of Stock Units specified below (the “Award”), upon the terms and subject to the conditions set forth in this Grant Notice, the Union Pacific Corporation 2021 Stock Incentive Plan (the “Plan”), the Standard Terms and Conditions (the “Standard Terms and Conditions”) adopted under such Plan and described in this Grant Notice, and the Union Pacific Corporation Long Term Plan (the “Long Term Plan”) approved and adopted by the Compensation and Benefits Committee of the Company’s Board of Directors (the “Committee”), and the Policy for Recoupment of Certain Compensation, each as amended from time to time. In addition, if you become eligible for and entitled to severance benefits under a broad based severance pay policy of the Company that include waiver of the continuous employment requirement applicable to the Stock Units (the “Severance Policy”), the Award also shall be subject to the terms of such Severance Policy.</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Stock Unit subject to this Award represents the right to receive one share of the Company’s common stock, par value $2.50 (the “Common Stock”), subject to the conditions set forth in this Grant Notice, the Plan, the Standard Terms and Conditions, and the Long Term Plan. This Award is granted pursuant to the Plan and the Long Term Plan and is subject to and qualified in its entirety by the Standard Terms and Conditions.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of Participant:</w:t>
            </w:r>
          </w:p>
        </w:tc>
        <w:tc>
          <w:tcPr>
            <w:tcW w:w="8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2"/>
                <w:szCs w:val="22"/>
                <w:color w:val="auto"/>
              </w:rPr>
              <w:t>V. James Vena</w:t>
            </w:r>
          </w:p>
        </w:tc>
      </w:tr>
      <w:tr>
        <w:trPr>
          <w:trHeight w:val="263"/>
        </w:trPr>
        <w:tc>
          <w:tcPr>
            <w:tcW w:w="292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Grant Date:</w:t>
            </w:r>
          </w:p>
        </w:tc>
        <w:tc>
          <w:tcPr>
            <w:tcW w:w="8320" w:type="dxa"/>
            <w:vAlign w:val="bottom"/>
            <w:tcBorders>
              <w:bottom w:val="single" w:sz="8" w:color="auto"/>
            </w:tcBorders>
          </w:tcPr>
          <w:p>
            <w:pPr>
              <w:ind w:left="1100"/>
              <w:spacing w:after="0" w:line="243" w:lineRule="exact"/>
              <w:rPr>
                <w:sz w:val="20"/>
                <w:szCs w:val="20"/>
                <w:color w:val="auto"/>
              </w:rPr>
            </w:pPr>
            <w:r>
              <w:rPr>
                <w:rFonts w:ascii="Times New Roman" w:cs="Times New Roman" w:eastAsia="Times New Roman" w:hAnsi="Times New Roman"/>
                <w:sz w:val="22"/>
                <w:szCs w:val="22"/>
                <w:color w:val="auto"/>
              </w:rPr>
              <w:t>February 8, 2024</w:t>
            </w:r>
          </w:p>
        </w:tc>
      </w:tr>
      <w:tr>
        <w:trPr>
          <w:trHeight w:val="280"/>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8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Number of Stock Units subject to the</w:t>
      </w:r>
    </w:p>
    <w:p>
      <w:pPr>
        <w:spacing w:after="0" w:line="231" w:lineRule="auto"/>
        <w:rPr>
          <w:sz w:val="20"/>
          <w:szCs w:val="20"/>
          <w:color w:val="auto"/>
        </w:rPr>
      </w:pPr>
      <w:r>
        <w:rPr>
          <w:rFonts w:ascii="Times New Roman" w:cs="Times New Roman" w:eastAsia="Times New Roman" w:hAnsi="Times New Roman"/>
          <w:sz w:val="22"/>
          <w:szCs w:val="22"/>
          <w:color w:val="auto"/>
        </w:rPr>
        <w:t>Award:</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The maximum number of stock units</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subject to the award is two times the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amount shown. </w:t>
      </w:r>
      <w:r>
        <w:rPr>
          <w:rFonts w:ascii="Times New Roman" w:cs="Times New Roman" w:eastAsia="Times New Roman" w:hAnsi="Times New Roman"/>
          <w:sz w:val="22"/>
          <w:szCs w:val="22"/>
          <w:color w:val="auto"/>
        </w:rPr>
        <w:t>The participant is eligible to</w:t>
      </w:r>
    </w:p>
    <w:p>
      <w:pPr>
        <w:spacing w:after="0" w:line="231" w:lineRule="auto"/>
        <w:rPr>
          <w:sz w:val="20"/>
          <w:szCs w:val="20"/>
          <w:color w:val="auto"/>
        </w:rPr>
      </w:pPr>
      <w:r>
        <w:rPr>
          <w:rFonts w:ascii="Times New Roman" w:cs="Times New Roman" w:eastAsia="Times New Roman" w:hAnsi="Times New Roman"/>
          <w:sz w:val="22"/>
          <w:szCs w:val="22"/>
          <w:color w:val="auto"/>
        </w:rPr>
        <w:t>receive up to the maximum number of stock</w:t>
      </w:r>
    </w:p>
    <w:p>
      <w:pPr>
        <w:spacing w:after="0" w:line="230" w:lineRule="auto"/>
        <w:rPr>
          <w:sz w:val="20"/>
          <w:szCs w:val="20"/>
          <w:color w:val="auto"/>
        </w:rPr>
      </w:pPr>
      <w:r>
        <w:rPr>
          <w:rFonts w:ascii="Times New Roman" w:cs="Times New Roman" w:eastAsia="Times New Roman" w:hAnsi="Times New Roman"/>
          <w:sz w:val="22"/>
          <w:szCs w:val="22"/>
          <w:color w:val="auto"/>
        </w:rPr>
        <w:t>units in accordance with the program design</w:t>
      </w:r>
    </w:p>
    <w:p>
      <w:pPr>
        <w:spacing w:after="0" w:line="231" w:lineRule="auto"/>
        <w:rPr>
          <w:sz w:val="20"/>
          <w:szCs w:val="20"/>
          <w:color w:val="auto"/>
        </w:rPr>
      </w:pPr>
      <w:r>
        <w:rPr>
          <w:rFonts w:ascii="Times New Roman" w:cs="Times New Roman" w:eastAsia="Times New Roman" w:hAnsi="Times New Roman"/>
          <w:sz w:val="22"/>
          <w:szCs w:val="22"/>
          <w:color w:val="auto"/>
        </w:rPr>
        <w:t>in the Long Term Plan Summary. The actual</w:t>
      </w:r>
    </w:p>
    <w:p>
      <w:pPr>
        <w:spacing w:after="0" w:line="230" w:lineRule="auto"/>
        <w:rPr>
          <w:sz w:val="20"/>
          <w:szCs w:val="20"/>
          <w:color w:val="auto"/>
        </w:rPr>
      </w:pPr>
      <w:r>
        <w:rPr>
          <w:rFonts w:ascii="Times New Roman" w:cs="Times New Roman" w:eastAsia="Times New Roman" w:hAnsi="Times New Roman"/>
          <w:sz w:val="22"/>
          <w:szCs w:val="22"/>
          <w:color w:val="auto"/>
        </w:rPr>
        <w:t>number of shares paid, if any, depends on the</w:t>
      </w:r>
    </w:p>
    <w:p>
      <w:pPr>
        <w:spacing w:after="0" w:line="231" w:lineRule="auto"/>
        <w:rPr>
          <w:sz w:val="20"/>
          <w:szCs w:val="20"/>
          <w:color w:val="auto"/>
        </w:rPr>
      </w:pPr>
      <w:r>
        <w:rPr>
          <w:rFonts w:ascii="Times New Roman" w:cs="Times New Roman" w:eastAsia="Times New Roman" w:hAnsi="Times New Roman"/>
          <w:sz w:val="22"/>
          <w:szCs w:val="22"/>
          <w:color w:val="auto"/>
        </w:rPr>
        <w:t>achievement level of the applicable</w:t>
      </w:r>
    </w:p>
    <w:p>
      <w:pPr>
        <w:spacing w:after="0" w:line="234" w:lineRule="auto"/>
        <w:rPr>
          <w:sz w:val="20"/>
          <w:szCs w:val="20"/>
          <w:color w:val="auto"/>
        </w:rPr>
      </w:pPr>
      <w:r>
        <w:rPr>
          <w:rFonts w:ascii="Times New Roman" w:cs="Times New Roman" w:eastAsia="Times New Roman" w:hAnsi="Times New Roman"/>
          <w:sz w:val="22"/>
          <w:szCs w:val="22"/>
          <w:color w:val="auto"/>
        </w:rPr>
        <w:t>performance criteria.</w:t>
      </w:r>
    </w:p>
    <w:tbl>
      <w:tblPr>
        <w:tblLayout w:type="fixed"/>
        <w:tblInd w:w="0" w:type="dxa"/>
        <w:tblCellMar>
          <w:top w:w="0" w:type="dxa"/>
          <w:left w:w="0" w:type="dxa"/>
          <w:bottom w:w="0" w:type="dxa"/>
          <w:right w:w="0" w:type="dxa"/>
        </w:tblCellMar>
      </w:tblPr>
      <w:tr>
        <w:trPr>
          <w:trHeight w:val="284"/>
        </w:trPr>
        <w:tc>
          <w:tcPr>
            <w:tcW w:w="3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Restriction Period:</w:t>
            </w:r>
          </w:p>
        </w:tc>
        <w:tc>
          <w:tcPr>
            <w:tcW w:w="74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3 years</w:t>
            </w:r>
          </w:p>
        </w:tc>
      </w:tr>
      <w:tr>
        <w:trPr>
          <w:trHeight w:val="263"/>
        </w:trPr>
        <w:tc>
          <w:tcPr>
            <w:tcW w:w="38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Restriction Period Commencement Date:</w:t>
            </w:r>
          </w:p>
        </w:tc>
        <w:tc>
          <w:tcPr>
            <w:tcW w:w="7440" w:type="dxa"/>
            <w:vAlign w:val="bottom"/>
            <w:tcBorders>
              <w:bottom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February 8, 2024</w:t>
            </w:r>
          </w:p>
        </w:tc>
      </w:tr>
      <w:tr>
        <w:trPr>
          <w:trHeight w:val="263"/>
        </w:trPr>
        <w:tc>
          <w:tcPr>
            <w:tcW w:w="38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Restriction Period Termination Date:</w:t>
            </w:r>
          </w:p>
        </w:tc>
        <w:tc>
          <w:tcPr>
            <w:tcW w:w="7440" w:type="dxa"/>
            <w:vAlign w:val="bottom"/>
            <w:tcBorders>
              <w:bottom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February 8, 2027</w:t>
            </w:r>
          </w:p>
        </w:tc>
      </w:tr>
      <w:tr>
        <w:trPr>
          <w:trHeight w:val="601"/>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09" w:name="page110"/>
    <w:bookmarkEnd w:id="109"/>
    <w:p>
      <w:pPr>
        <w:jc w:val="both"/>
        <w:spacing w:after="0" w:line="235" w:lineRule="auto"/>
        <w:rPr>
          <w:sz w:val="20"/>
          <w:szCs w:val="20"/>
          <w:color w:val="auto"/>
        </w:rPr>
      </w:pPr>
      <w:r>
        <w:rPr>
          <w:rFonts w:ascii="Times New Roman" w:cs="Times New Roman" w:eastAsia="Times New Roman" w:hAnsi="Times New Roman"/>
          <w:sz w:val="22"/>
          <w:szCs w:val="22"/>
          <w:color w:val="auto"/>
        </w:rPr>
        <w:t>By electronically accepting this Award, you acknowledge that you have received and read, and agree that this Award shall be subject to, the terms of this Grant Notice, the Plan, the Standard Terms and Conditions, and the Long Term Plan (including, but not limited to, the Committee’s discretionary authority under the Long Term Plan to determine the number of Stock Units payable with respect to the Award) and, if applicable, the Severance Policy (including, but not limited to, the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Stock Units via Company website or other electronic delivery.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1"/>
          <w:szCs w:val="21"/>
          <w:b w:val="1"/>
          <w:bCs w:val="1"/>
          <w:i w:val="1"/>
          <w:iCs w:val="1"/>
          <w:color w:val="auto"/>
        </w:rPr>
        <w:t>FORFEIT</w:t>
      </w:r>
      <w:r>
        <w:rPr>
          <w:rFonts w:ascii="Times New Roman" w:cs="Times New Roman" w:eastAsia="Times New Roman" w:hAnsi="Times New Roman"/>
          <w:sz w:val="21"/>
          <w:szCs w:val="21"/>
          <w:color w:val="auto"/>
        </w:rPr>
        <w:t xml:space="preserve"> THE PERFORMANCE STOCK UNITS THAT ARE THE SUBJECT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5"/>
          <w:szCs w:val="25"/>
          <w:b w:val="1"/>
          <w:bCs w:val="1"/>
          <w:color w:val="auto"/>
        </w:rPr>
        <w:t>UNION PACIFIC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TERMS AND CONDITIONS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PERFORMANCE STOCK UNITS</w:t>
      </w:r>
    </w:p>
    <w:p>
      <w:pPr>
        <w:spacing w:after="0" w:line="19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These Standard Terms and Conditions apply to the Award of performance stock units granted pursuant to the Union Pacific Corporation 2021 Stock Incentive Plan, as amended from time to time (the “Plan”), which are evidenced by a Grant Notice that specifically refers to these Standard Terms and Conditions. In addition to these Standard Terms and Conditions, the performance stock units shall be subject to the terms of the Plan and the Long-Term Plan and, if applicable, the Severance Policy and the Policy for Recoupment of Certain Compensation, each as amended from time to time, which are incorporated into these Standard Terms and Conditions by reference. Capitalized terms not otherwise defined herein shall have the meaning set forth in the Plan. For purposes of these Standard Terms and Conditions and the Grant Notice, any reference to the Company (as defined below) shall include a reference to any Subsidiary. Additionally, for purposes of these Standard Terms and Conditions, references in these Standard Terms and Conditions to “you” or “your” shall refer to the Participant named in the Grant Notice provided to said Participant herewith (the “Grant Notice”), and such Participant’s heirs and beneficiaries.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electronically accepting the Award and these Standard Terms and Conditions, you acknowledge and agree to be bound by the following, which will survive your termination from employment and the vesting or forfeiture of this Award:</w:t>
      </w:r>
    </w:p>
    <w:p>
      <w:pPr>
        <w:spacing w:after="0" w:line="18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STOCK UNITS</w:t>
      </w:r>
    </w:p>
    <w:p>
      <w:pPr>
        <w:spacing w:after="0" w:line="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TERMS OF PERFORMANCE STOCK UNITS</w:t>
      </w:r>
    </w:p>
    <w:p>
      <w:pPr>
        <w:spacing w:after="0" w:line="209"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Union Pacific Corporation, a Utah corporation (the “Company”), has granted to you an award of a target number of performance stock units that may be earned at between 0% and 200% of the specified target level (the “Award” or the “Stock Units”) specified in the Grant Notice. Each Stock Unit represents the right to receive (i) one share of the Company’s common stock, $2.50 par value per share (the “Common Stock”) and (ii) a payment in cash equal to the amount of dividends that would have been payable on one share of Common Stock had you owned such Common Stock from the Grant Date specified in the Grant Notice through the payment date for such Stock Units (“Dividend Equivalent Payments”), in each case to the extent that the applicable Performance Criteria described below have been satisfied. The Award is subject to the terms and conditions set forth in the Grant Notice, these Standard Terms and Conditions, the Plan, the Long Term Plan and, if applicable, the Severance Policy and the Policy for Recoupment of Certain Compensation, each as amended from time to time.</w:t>
      </w:r>
    </w:p>
    <w:p>
      <w:pPr>
        <w:spacing w:after="0" w:line="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VESTING OF PERFORMANCE STOCK UNITS</w:t>
      </w:r>
    </w:p>
    <w:p>
      <w:pPr>
        <w:spacing w:after="0" w:line="20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until the end of the Restriction Period as set forth in the Grant Notice (the “Restriction Period Termination Date”), unless otherwise provided under these Standard Terms and Conditions and, for the avoidance of doubt, specifically subject to Section 3 hereof. After the end of the Restriction Period, subject to your continued employment with the Company through the Restriction Period Termination Date and to termination or acceleration as provided in these Standard Terms and Conditions, the Plan, the Long Term Plan and, if applicable, the Severance Policy, and to the extent certified by the Committee as described below, the Award (including related Dividend Equivalent Payments) shall become vested as of the Restriction Period Termination Date with respect to that number of Stock Units determined by the Committee to be paid pursuant to the Award. Unless the Committee shall determine otherwise, a period in which you are on a leave of absence during the Restriction Period in accordance with a leave of absence policy adopted by the Company shall count toward satisfaction of the Restriction Period.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1" w:name="page112"/>
    <w:bookmarkEnd w:id="111"/>
    <w:p>
      <w:pPr>
        <w:ind w:left="380" w:hanging="372"/>
        <w:spacing w:after="0"/>
        <w:tabs>
          <w:tab w:leader="none" w:pos="3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CRITERIA</w:t>
      </w:r>
    </w:p>
    <w:p>
      <w:pPr>
        <w:spacing w:after="0" w:line="23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“Performance Criteria” are average annual Return on Invested Capital (“ROIC”) and relative Operating Income Growth (“OIG”). The definition and calculation of annual ROIC and relative OIG shall be determined in accordance with the Long-Term Plan.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You may earn Stock Units at the conclusion of the Restriction Period (or such earlier time as may be provided in Section</w:t>
      </w:r>
    </w:p>
    <w:p>
      <w:pPr>
        <w:spacing w:after="0" w:line="26" w:lineRule="exact"/>
        <w:rPr>
          <w:sz w:val="20"/>
          <w:szCs w:val="20"/>
          <w:color w:val="auto"/>
        </w:rPr>
      </w:pPr>
    </w:p>
    <w:p>
      <w:pPr>
        <w:jc w:val="both"/>
        <w:ind w:left="660" w:hanging="4"/>
        <w:spacing w:after="0" w:line="232" w:lineRule="auto"/>
        <w:tabs>
          <w:tab w:leader="none" w:pos="92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the Company’s satisfaction of the Performance Criteria in accordance with the ROIC targets and payout schedule and the relative OIG targets and payout schedule approved by the Committee, as determined and certified by the Committee (or the Committee’s delegate) in its sole discretion (the “Certification Date”). To the extent certified by the Committee, you may earn up to two times the Stock Unit Target Award as shown on the Grant Notice based on the average of all three fiscal years (2024, 2025 and 2026) of ROIC performance achieved and the Company’s relative OIG percentile ranking (which is based on the Company’s OIG performance over the three fiscal year period as compared to the OIG performance over that period of the constituent companies of the S&amp;P 100 Industrials Index and Class I Railroads as set forth in the Long Term Plan), as determined and certified by the Committee (or the Committee’s delegate) in its sole discretion. Notwithstanding the foregoing, the Committee retains the discretion under the Long-Term Plan to determine the number of Stock Units payable with respect to your Award.</w:t>
      </w:r>
    </w:p>
    <w:p>
      <w:pPr>
        <w:spacing w:after="0" w:line="19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PAYMENTS</w:t>
      </w:r>
    </w:p>
    <w:p>
      <w:pPr>
        <w:spacing w:after="0" w:line="237"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You are not entitled to receive cash dividends on the Stock Units, but will receive Dividend Equivalent Payments in an amount equal to the value of the cash dividends that would have been paid (based on the record date for such dividends) on the number of shares of Common Stock equal to the number of Stock Units which are earned (as determined by the Committee) based on the achievement of the applicable Performance Criteria as if such shares had been outstanding between the Grant Date and the payment date of such shares of Common Stock. Dividend Equivalent Payments shall not be adjusted for interest, earnings or assumed reinvestment. Except as provided in the immediately following paragraph, Dividend Equivalent Payments shall be paid to you at the time the earned shares of Common Stock to which those Dividend Equivalent Payments relate are delivered (or would be delivered in the absence of a deferral election made by you as described in Section 6(vii)) under Section 6(i) – (vi), as applicable. Distribution of Dividend Equivalent Payments shall be subject to the Company’s collection of all tax withholding obligations applicable to such distribution. No Dividend Equivalent Payment shall be paid or distributed on Stock Units (or shares underlying the Stock Units) that are forfeited or that otherwise do not vest and are not issued or issuable under the Award.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2" w:name="page113"/>
    <w:bookmarkEnd w:id="112"/>
    <w:p>
      <w:pPr>
        <w:jc w:val="both"/>
        <w:ind w:left="660"/>
        <w:spacing w:after="0" w:line="248" w:lineRule="auto"/>
        <w:rPr>
          <w:sz w:val="20"/>
          <w:szCs w:val="20"/>
          <w:color w:val="auto"/>
        </w:rPr>
      </w:pPr>
      <w:r>
        <w:rPr>
          <w:rFonts w:ascii="Times New Roman" w:cs="Times New Roman" w:eastAsia="Times New Roman" w:hAnsi="Times New Roman"/>
          <w:sz w:val="21"/>
          <w:szCs w:val="21"/>
          <w:color w:val="auto"/>
        </w:rPr>
        <w:t>If you have elected to defer receipt of earned Stock Units in accordance with the terms of the Deferred Compensation Plan of Union Pacific Corporation (the “Deferred Compensation Plan”), Dividend Equivalent Payments with respect to such earned and deferred Stock Units which relate to dividends paid on and after the date of the deferral of such Stock Units (i.e., the date that the Stock Units would have been payable to you under the Plan had such Stock Units not been deferred under the Company’s Deferred Compensation Plan) shall be credited as part of the Award Account (as defined in the Deferred Compensation Plan) under the Company’s Deferred Compensation Plan, and shall be deferred for payment at the same time as the Award Account is paid under the terms of the Company’s Deferred Compensation Plan.</w:t>
      </w:r>
    </w:p>
    <w:p>
      <w:pPr>
        <w:spacing w:after="0" w:line="19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Company may delay payment of a Dividend Equivalent Payment as described in Section 6(viii) hereof.</w:t>
      </w:r>
    </w:p>
    <w:p>
      <w:pPr>
        <w:spacing w:after="0" w:line="18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w:t>
      </w:r>
    </w:p>
    <w:p>
      <w:pPr>
        <w:spacing w:after="0" w:line="23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provided otherwise by the Committee, the following restrictions apply to the Stock Units:</w:t>
      </w:r>
    </w:p>
    <w:p>
      <w:pPr>
        <w:spacing w:after="0" w:line="233" w:lineRule="exact"/>
        <w:rPr>
          <w:rFonts w:ascii="Times New Roman" w:cs="Times New Roman" w:eastAsia="Times New Roman" w:hAnsi="Times New Roman"/>
          <w:sz w:val="22"/>
          <w:szCs w:val="22"/>
          <w:b w:val="1"/>
          <w:bCs w:val="1"/>
          <w:color w:val="auto"/>
        </w:rPr>
      </w:pPr>
    </w:p>
    <w:p>
      <w:pPr>
        <w:ind w:left="660" w:hanging="4"/>
        <w:spacing w:after="0" w:line="258" w:lineRule="auto"/>
        <w:tabs>
          <w:tab w:leader="none" w:pos="142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be entitled to delivery of the shares of Common Stock underlying the Stock Units only as specified in Section 6 hereof;</w:t>
      </w:r>
    </w:p>
    <w:p>
      <w:pPr>
        <w:spacing w:after="0" w:line="185" w:lineRule="exact"/>
        <w:rPr>
          <w:rFonts w:ascii="Times New Roman" w:cs="Times New Roman" w:eastAsia="Times New Roman" w:hAnsi="Times New Roman"/>
          <w:sz w:val="22"/>
          <w:szCs w:val="22"/>
          <w:color w:val="auto"/>
        </w:rPr>
      </w:pPr>
    </w:p>
    <w:p>
      <w:pPr>
        <w:jc w:val="both"/>
        <w:ind w:left="660" w:hanging="4"/>
        <w:spacing w:after="0" w:line="239" w:lineRule="auto"/>
        <w:tabs>
          <w:tab w:leader="none" w:pos="99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Stock Units shall be forfeited and all of your rights to such Stock Units and the right to receive Common Stock (and related Dividend Equivalent Payments) shall terminate without further obligation on the part of the Company in the event of your Separation from Service with the Company without having a right to delivery of shares of Common Stock under Section 6 hereof; and</w:t>
      </w:r>
    </w:p>
    <w:p>
      <w:pPr>
        <w:spacing w:after="0" w:line="207" w:lineRule="exact"/>
        <w:rPr>
          <w:rFonts w:ascii="Times New Roman" w:cs="Times New Roman" w:eastAsia="Times New Roman" w:hAnsi="Times New Roman"/>
          <w:sz w:val="22"/>
          <w:szCs w:val="22"/>
          <w:color w:val="auto"/>
        </w:rPr>
      </w:pPr>
    </w:p>
    <w:p>
      <w:pPr>
        <w:jc w:val="both"/>
        <w:ind w:left="660" w:hanging="4"/>
        <w:spacing w:after="0" w:line="244" w:lineRule="auto"/>
        <w:tabs>
          <w:tab w:leader="none" w:pos="10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 Units not earned as of the Restriction Period Termination Date shall be forfeited and all of your rights to such Stock Units, including any Dividend Equivalent Payments, shall terminate without further obligation on the part of the Company.</w:t>
      </w:r>
    </w:p>
    <w:p>
      <w:pPr>
        <w:spacing w:after="0" w:line="19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ACCELERATION/LAPSE OF RESTRICTION PERIOD</w:t>
      </w:r>
    </w:p>
    <w:p>
      <w:pPr>
        <w:spacing w:after="0" w:line="23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Unless determined otherwise by the Committee and subject to Sections 6(vii) and 6(viii) hereof, the Stock Units shall be treated as follows:</w:t>
      </w:r>
    </w:p>
    <w:p>
      <w:pPr>
        <w:spacing w:after="0" w:line="185" w:lineRule="exact"/>
        <w:rPr>
          <w:sz w:val="20"/>
          <w:szCs w:val="20"/>
          <w:color w:val="auto"/>
        </w:rPr>
      </w:pPr>
    </w:p>
    <w:p>
      <w:pPr>
        <w:jc w:val="both"/>
        <w:ind w:left="660" w:hanging="4"/>
        <w:spacing w:after="0" w:line="234" w:lineRule="auto"/>
        <w:tabs>
          <w:tab w:leader="none" w:pos="157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end of the Restriction Period and provided you have remained continuously employed by the Company through the Restriction Period Termination Date and absent any Change of Control before the Restriction Period Termination Date in which the acquiring or surviving company in the transaction does not assume or continue the outstanding Stock Units, shares of Common Stock equal to the number of Stock Units which are earned (as determined by the Committee) based on the achievement of the applicable Performance Criteria shall be delivered to you (through your account at the Company's third party stock plan administrator, if applicable) free of all restrictions except subject to the covenants contained in these Standard Terms and Conditions. The payment of the Stock Units under this Section 6(i) shall be made to you within thirty (30) days of the Restriction Period Termination Date, but in no event later than the last day of the calendar year that includes the Restriction Period Termination Date.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3" w:name="page114"/>
    <w:bookmarkEnd w:id="113"/>
    <w:p>
      <w:pPr>
        <w:jc w:val="both"/>
        <w:ind w:left="4" w:hanging="4"/>
        <w:spacing w:after="0" w:line="232" w:lineRule="auto"/>
        <w:tabs>
          <w:tab w:leader="none" w:pos="84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 have a Separation from Service with the Company due to (1) death, (2) Retirement (as such term is defined below in this Section 6(ii)) (including a Separation from Service for the reason described in Section 6(v) hereof on or after the date you satisfy the age, service and other criteria for Retirement), or (3) an involuntarily termination of employment by the Company (other than a termination as a result of your Disability, cause or gross misconduct as determined by the Committee); or (B) are determined to be disabled under the provisions of an applicable long-term disability plan of the Company (“Disability”) (each a “Lapse Event”), prior to the Restriction Period Termination Date and prior to a Change in Control in which the acquiring or surviving company in the transaction does not assume or continue the outstanding Stock Units, you, your estate or your beneficiary, as applicable (each a “Payee”), shall be entitled to receive shares of Common Stock equal to the number of Stock Units which are earned (as determined by the Committee) based on the average of all three fiscal years (2024, 2025 and 2026) of the applicable ROIC and relative OIG performance achieved . The payment of the Stock Units earned under this Section 6(ii) shall be made within thirty (30) days of the Restriction Period Termination Date, but in no event later than the last day of the calendar year that includes the Restriction Period Termination Date. The Stock Units paid in accordance with this Section 6(ii) remain subject to the covenants contained in these Standard Terms and Conditions. If you have a Lapse Event and subsequently return to employment with the Company before the end of the Restriction Period, you will not be eligible to earn additional Stock Units beyond those described in this Section 6(ii). “Retirement” shall mean a Separation from Service with at least 2 years of service as Chief Executive Officer; provided that you have given at least 180 days’ written notice of your intent to Retire and have assisted in the transition of your role to your successor.</w:t>
      </w:r>
    </w:p>
    <w:p>
      <w:pPr>
        <w:spacing w:after="0" w:line="215" w:lineRule="exact"/>
        <w:rPr>
          <w:rFonts w:ascii="Times New Roman" w:cs="Times New Roman" w:eastAsia="Times New Roman" w:hAnsi="Times New Roman"/>
          <w:sz w:val="22"/>
          <w:szCs w:val="22"/>
          <w:color w:val="auto"/>
        </w:rPr>
      </w:pPr>
    </w:p>
    <w:p>
      <w:pPr>
        <w:jc w:val="both"/>
        <w:ind w:left="4" w:hanging="4"/>
        <w:spacing w:after="0" w:line="233" w:lineRule="auto"/>
        <w:tabs>
          <w:tab w:leader="none" w:pos="81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in Control in which the acquiring or surviving company in the transaction does not assume or continue the outstanding Stock Units and such Change in Control occurs prior to both your Separation from Service for any reason and the Restriction Period Termination Date,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No additional Stock Units granted as part of the Award may be earned following the Change in Control. Shares of Common Stock to which you are entitled pursuant to this Section 6(iii) shall be delivered as soon as administratively practicable following the date on which the Change in Control occurs, but in no event later than two and one-half (2½) months following the end of the calendar year that includes the date on which the Change in Control occurs.</w:t>
      </w:r>
    </w:p>
    <w:p>
      <w:pPr>
        <w:spacing w:after="0" w:line="21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14" w:name="page115"/>
    <w:bookmarkEnd w:id="114"/>
    <w:p>
      <w:pPr>
        <w:jc w:val="both"/>
        <w:ind w:left="4" w:hanging="4"/>
        <w:spacing w:after="0" w:line="233" w:lineRule="auto"/>
        <w:tabs>
          <w:tab w:leader="none" w:pos="9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Sections 6(ii) or 6(v) hereof, in the event you have a Separation from Service with the Company prior to both you having satisfied the age, service and other criteria for Retirement and the Restriction Period Termination Date and, as a result of such Separation from Service, you are eligible for and entitled to payment of severance benefits under the provisions of a Severance Policy that include waiver of the continuous employment requirement applicable to the Stock Units, shares of Common Stock equal to the number or portion of the Stock Units determined under such Severance Policy, which are earned (as determined by the Committee) based on achievement of the Performance Criteria through the end of the fiscal year 2024, 2025 or 2026 (or portion thereof), as established under the Severance Policy, and for which the continuous employment requirement has been waived under the Severance Policy shall be delivered to you (through your account at the Company's third party stock plan administrator, if applicable) free of all restrictions except subject to the covenants contained in these Standard Terms and Conditions. The payment of the Stock Units under this Section 6(iv) shall be made at the time designated under the Severance Policy, but in no event later than two and one-half (2½) months following the end of the calendar year that includes the date on which the Separation from Service occurs.</w:t>
      </w:r>
    </w:p>
    <w:p>
      <w:pPr>
        <w:spacing w:after="0" w:line="209" w:lineRule="exact"/>
        <w:rPr>
          <w:rFonts w:ascii="Times New Roman" w:cs="Times New Roman" w:eastAsia="Times New Roman" w:hAnsi="Times New Roman"/>
          <w:sz w:val="22"/>
          <w:szCs w:val="22"/>
          <w:color w:val="auto"/>
        </w:rPr>
      </w:pPr>
    </w:p>
    <w:p>
      <w:pPr>
        <w:jc w:val="both"/>
        <w:ind w:left="4" w:hanging="4"/>
        <w:spacing w:after="0" w:line="233" w:lineRule="auto"/>
        <w:tabs>
          <w:tab w:leader="none" w:pos="8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have not satisfied the age, service and other criteria for Retirement and have a Separation from Service prior to the Restriction Period Termination Date because your employment is involuntarily terminated by the Company (other than a termination as a result of your Disability, cause or gross misconduct as determined by the Committee), within twenty-four (24) months following a Change in Control,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The payment of the Stock Units under this Section 6(v) shall be made as soon as administratively practicable following your Separation from Service, but in no event later than two and one-half (2½) months following the end of the calendar year that includes the date on which the Separation from Service occurs.</w:t>
      </w:r>
    </w:p>
    <w:p>
      <w:pPr>
        <w:spacing w:after="0" w:line="211" w:lineRule="exact"/>
        <w:rPr>
          <w:rFonts w:ascii="Times New Roman" w:cs="Times New Roman" w:eastAsia="Times New Roman" w:hAnsi="Times New Roman"/>
          <w:sz w:val="22"/>
          <w:szCs w:val="22"/>
          <w:color w:val="auto"/>
        </w:rPr>
      </w:pPr>
    </w:p>
    <w:p>
      <w:pPr>
        <w:jc w:val="both"/>
        <w:ind w:left="4" w:hanging="4"/>
        <w:spacing w:after="0" w:line="232" w:lineRule="auto"/>
        <w:tabs>
          <w:tab w:leader="none" w:pos="87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6, all of the Stock Units shall be forfeited and all of your rights to such Stock Units shall terminate without further obligation on the part of the Company unless you remain in the continuous employment of the Company (such continuous employment shall, for this purpose, include a period of time during which you are absent from active employment in accordance with a leave of absence policy adopted by the Company) until the earlier of the Restriction Period Termination Date or a Change in Control in which the acquiring or surviving company in the transaction does not assume or continue the outstanding Stock Units. Notwithstanding the foregoing, the Committee may, if it finds that the circumstances in the particular case so warrant and subject to your satisfaction of any conditions the Company may require, allow you, even if you cease to be so continuously employed and have a Separation from Service prior to the earlier of the Restriction Period Termination Date or such Change in Control, to vest in some or all of the Stock Units which are earned (as determined by the Committee) based on achievement of the applicable Performance Criteria through the end of the fiscal year ending prior to the year in which such Separation from Service occurs. In such event, the payment of the Stock Units under this Section 6(vi) shall be made as soon as administratively practicable following the date on which the Committee authorizes such payment, but in no event later than two and one-half (2½) months following the end of the calendar year that includes the date on which your Separation from Service occurs. The Stock Units paid in accordance with this Section 6(vi) remain subject to the covenants contained in these Standard Terms and Conditions.</w:t>
      </w:r>
    </w:p>
    <w:p>
      <w:pPr>
        <w:spacing w:after="0" w:line="21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15" w:name="page116"/>
    <w:bookmarkEnd w:id="115"/>
    <w:p>
      <w:pPr>
        <w:jc w:val="both"/>
        <w:ind w:left="660" w:hanging="4"/>
        <w:spacing w:after="0" w:line="238" w:lineRule="auto"/>
        <w:tabs>
          <w:tab w:leader="none" w:pos="157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you may elect to defer receipt of payment of shares underlying the Stock Units to the extent and according to the terms, if any, provided by the Deferred Compensation Plan. If you so elect to defer payment of shares underlying the Stock Units, such payments will be made in accordance with the Deferred Compensation Plan and with any payments of Dividend Equivalent Payments made in accordance with the provisions of Section 4.</w:t>
      </w:r>
    </w:p>
    <w:p>
      <w:pPr>
        <w:spacing w:after="0" w:line="203" w:lineRule="exact"/>
        <w:rPr>
          <w:rFonts w:ascii="Times New Roman" w:cs="Times New Roman" w:eastAsia="Times New Roman" w:hAnsi="Times New Roman"/>
          <w:sz w:val="22"/>
          <w:szCs w:val="22"/>
          <w:color w:val="auto"/>
        </w:rPr>
      </w:pPr>
    </w:p>
    <w:p>
      <w:pPr>
        <w:jc w:val="both"/>
        <w:ind w:left="660" w:hanging="4"/>
        <w:spacing w:after="0" w:line="243" w:lineRule="auto"/>
        <w:tabs>
          <w:tab w:leader="none" w:pos="171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Company shall not be obligated to deliver any shares of Common Stock during any period when the Company determines that the delivery of shares hereunder would: violate any federal, state or other applicable laws and/or may issue shares subject to any restrictive legend that, as determined by the Company’s counsel, is necessary to comply with securities or other regulatory requirements. Furthermore, the date on which shares are delivered to you (and any Dividend Equivalent Payment thereon) may include a delay to provide the Company such time as it determines appropriate to calculate and certify the extent to which the Performance Criteria were satisfied and to calculate and address tax withholding and/or other administrative matters; provided, however, that delivery of shares of Common Stock underlying the Stock Units (including any Dividend Equivalent Payments) for Stock Units that are determined to be exempt from the requirements of Internal Revenue Code § 409A shall in all events be made at a time that satisfies the “short-term deferral” exception described in Treas. Reg. section 1.409A-1(b)(4) and for Stock Units subject to Internal Revenue Code section 409A shall in all events be made at a time that satisfies Treas. Reg. 1.409A-2(b)</w:t>
      </w:r>
    </w:p>
    <w:p>
      <w:pPr>
        <w:spacing w:after="0" w:line="7"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PROTECTION OF CONFIDENTIAL INFORMATION AND TRADE SECRETS</w:t>
      </w:r>
    </w:p>
    <w:p>
      <w:pPr>
        <w:spacing w:after="0" w:line="233" w:lineRule="exact"/>
        <w:rPr>
          <w:rFonts w:ascii="Times New Roman" w:cs="Times New Roman" w:eastAsia="Times New Roman" w:hAnsi="Times New Roman"/>
          <w:sz w:val="22"/>
          <w:szCs w:val="22"/>
          <w:b w:val="1"/>
          <w:bCs w:val="1"/>
          <w:color w:val="auto"/>
        </w:rPr>
      </w:pPr>
    </w:p>
    <w:p>
      <w:pPr>
        <w:ind w:left="1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CONFIDENTIAL INFORMATION AND TRADE SECRETS</w:t>
      </w:r>
    </w:p>
    <w:p>
      <w:pPr>
        <w:spacing w:after="0" w:line="23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You acknowledge that the Company regards certain information relating to its business and operations as confidential. This includes all confidential and proprietary information concerning the assets, business or affairs of the Company or any customers thereof ("Confidential Information"). You further acknowledge that the Company has certain information that derives economic value from not being known to the general public or to others who could obtain economic value from its disclosure or use, which the Company takes reasonable efforts to protect the secrecy of ("Trade Secrets").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6" w:name="page117"/>
    <w:bookmarkEnd w:id="116"/>
    <w:p>
      <w:pPr>
        <w:ind w:left="690" w:hanging="690"/>
        <w:spacing w:after="0"/>
        <w:tabs>
          <w:tab w:leader="none" w:pos="69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TYPES OF CONFIDENTIAL INFORMATION OR TRADE SECRETS</w:t>
      </w:r>
    </w:p>
    <w:p>
      <w:pPr>
        <w:spacing w:after="0" w:line="237" w:lineRule="exact"/>
        <w:rPr>
          <w:sz w:val="20"/>
          <w:szCs w:val="20"/>
          <w:color w:val="auto"/>
        </w:rPr>
      </w:pPr>
    </w:p>
    <w:p>
      <w:pPr>
        <w:jc w:val="both"/>
        <w:ind w:left="570"/>
        <w:spacing w:after="0" w:line="234" w:lineRule="auto"/>
        <w:rPr>
          <w:sz w:val="20"/>
          <w:szCs w:val="20"/>
          <w:color w:val="auto"/>
        </w:rPr>
      </w:pPr>
      <w:r>
        <w:rPr>
          <w:rFonts w:ascii="Times New Roman" w:cs="Times New Roman" w:eastAsia="Times New Roman" w:hAnsi="Times New Roman"/>
          <w:sz w:val="22"/>
          <w:szCs w:val="22"/>
          <w:color w:val="auto"/>
        </w:rPr>
        <w:t>You acknowledge that you developed and/or obtained, or have had and will in the future continue to have access to one or more of the following types of Confidential Information or Trade Secrets: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constitute gross misconduct.</w:t>
      </w:r>
    </w:p>
    <w:p>
      <w:pPr>
        <w:spacing w:after="0" w:line="206" w:lineRule="exact"/>
        <w:rPr>
          <w:sz w:val="20"/>
          <w:szCs w:val="20"/>
          <w:color w:val="auto"/>
        </w:rPr>
      </w:pPr>
    </w:p>
    <w:p>
      <w:pPr>
        <w:jc w:val="both"/>
        <w:ind w:left="570"/>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200" w:lineRule="exact"/>
        <w:rPr>
          <w:sz w:val="20"/>
          <w:szCs w:val="20"/>
          <w:color w:val="auto"/>
        </w:rPr>
      </w:pPr>
    </w:p>
    <w:p>
      <w:pPr>
        <w:ind w:left="690" w:hanging="690"/>
        <w:spacing w:after="0"/>
        <w:tabs>
          <w:tab w:leader="none" w:pos="69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 TO MAINTAIN CONFIDENTIAL INFORMATION</w:t>
      </w:r>
    </w:p>
    <w:p>
      <w:pPr>
        <w:spacing w:after="0" w:line="237" w:lineRule="exact"/>
        <w:rPr>
          <w:sz w:val="20"/>
          <w:szCs w:val="20"/>
          <w:color w:val="auto"/>
        </w:rPr>
      </w:pPr>
    </w:p>
    <w:p>
      <w:pPr>
        <w:jc w:val="both"/>
        <w:ind w:left="490"/>
        <w:spacing w:after="0" w:line="235" w:lineRule="auto"/>
        <w:rPr>
          <w:sz w:val="20"/>
          <w:szCs w:val="20"/>
          <w:color w:val="auto"/>
        </w:rPr>
      </w:pPr>
      <w:r>
        <w:rPr>
          <w:rFonts w:ascii="Times New Roman" w:cs="Times New Roman" w:eastAsia="Times New Roman" w:hAnsi="Times New Roman"/>
          <w:sz w:val="22"/>
          <w:szCs w:val="22"/>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206" w:lineRule="exact"/>
        <w:rPr>
          <w:sz w:val="20"/>
          <w:szCs w:val="20"/>
          <w:color w:val="auto"/>
        </w:rPr>
      </w:pPr>
    </w:p>
    <w:p>
      <w:pPr>
        <w:ind w:left="690" w:hanging="690"/>
        <w:spacing w:after="0"/>
        <w:tabs>
          <w:tab w:leader="none" w:pos="69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 NOTICE OF EMPLOYMENT</w:t>
      </w:r>
    </w:p>
    <w:p>
      <w:pPr>
        <w:spacing w:after="0" w:line="237" w:lineRule="exact"/>
        <w:rPr>
          <w:sz w:val="20"/>
          <w:szCs w:val="20"/>
          <w:color w:val="auto"/>
        </w:rPr>
      </w:pPr>
    </w:p>
    <w:p>
      <w:pPr>
        <w:jc w:val="both"/>
        <w:ind w:left="490"/>
        <w:spacing w:after="0" w:line="234" w:lineRule="auto"/>
        <w:rPr>
          <w:sz w:val="20"/>
          <w:szCs w:val="20"/>
          <w:color w:val="auto"/>
        </w:rPr>
      </w:pPr>
      <w:r>
        <w:rPr>
          <w:rFonts w:ascii="Times New Roman" w:cs="Times New Roman" w:eastAsia="Times New Roman" w:hAnsi="Times New Roman"/>
          <w:sz w:val="22"/>
          <w:szCs w:val="22"/>
          <w:color w:val="auto"/>
        </w:rPr>
        <w:t>You acknowledge that if you become an employee, contractor, or consultant for any other person or entity engaged in the Business of the Company, as defined in Section (G),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one (1) year after you leave the Company, before accepting any employment or affiliation with another person or entity,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20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79375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67" w:right="339" w:bottom="1440" w:gutter="0" w:footer="0" w:header="0"/>
        </w:sectPr>
      </w:pPr>
    </w:p>
    <w:bookmarkStart w:id="117" w:name="page118"/>
    <w:bookmarkEnd w:id="117"/>
    <w:p>
      <w:pPr>
        <w:ind w:left="690" w:hanging="690"/>
        <w:spacing w:after="0"/>
        <w:tabs>
          <w:tab w:leader="none" w:pos="69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 OF CUSTOMERS</w:t>
      </w:r>
    </w:p>
    <w:p>
      <w:pPr>
        <w:spacing w:after="0" w:line="237" w:lineRule="exact"/>
        <w:rPr>
          <w:sz w:val="20"/>
          <w:szCs w:val="20"/>
          <w:color w:val="auto"/>
        </w:rPr>
      </w:pPr>
    </w:p>
    <w:p>
      <w:pPr>
        <w:jc w:val="both"/>
        <w:ind w:left="490"/>
        <w:spacing w:after="0" w:line="235" w:lineRule="auto"/>
        <w:rPr>
          <w:sz w:val="20"/>
          <w:szCs w:val="20"/>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call on or solicit any of the Company’s customers with whom you had personal contact during the period from the Grant Date of this Award until the Restriction Period Termination Date (or, if earlier, the date your employment with the Company ceased), for the purpose of providing the customers with goods and/or services similar in nature to those provided by the Company in its Business as defined below in Section (G).</w:t>
      </w:r>
    </w:p>
    <w:p>
      <w:pPr>
        <w:spacing w:after="0" w:line="201" w:lineRule="exact"/>
        <w:rPr>
          <w:sz w:val="20"/>
          <w:szCs w:val="20"/>
          <w:color w:val="auto"/>
        </w:rPr>
      </w:pPr>
    </w:p>
    <w:p>
      <w:pPr>
        <w:ind w:left="650" w:hanging="650"/>
        <w:spacing w:after="0"/>
        <w:tabs>
          <w:tab w:leader="none" w:pos="65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 OF EMPLOYEES</w:t>
      </w:r>
    </w:p>
    <w:p>
      <w:pPr>
        <w:spacing w:after="0" w:line="237" w:lineRule="exact"/>
        <w:rPr>
          <w:sz w:val="20"/>
          <w:szCs w:val="20"/>
          <w:color w:val="auto"/>
        </w:rPr>
      </w:pPr>
    </w:p>
    <w:p>
      <w:pPr>
        <w:jc w:val="both"/>
        <w:ind w:left="490"/>
        <w:spacing w:after="0" w:line="236" w:lineRule="auto"/>
        <w:rPr>
          <w:sz w:val="20"/>
          <w:szCs w:val="20"/>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participate in hiring or attempting to hire away a Company employee or contractor, or induce or encourage any employees or contractors of the Company to terminate their relationship with the Company, without prior written consent of the Sr. HR Officer.</w:t>
      </w:r>
    </w:p>
    <w:p>
      <w:pPr>
        <w:spacing w:after="0" w:line="204" w:lineRule="exact"/>
        <w:rPr>
          <w:sz w:val="20"/>
          <w:szCs w:val="20"/>
          <w:color w:val="auto"/>
        </w:rPr>
      </w:pPr>
    </w:p>
    <w:p>
      <w:pPr>
        <w:ind w:left="710" w:hanging="710"/>
        <w:spacing w:after="0"/>
        <w:tabs>
          <w:tab w:leader="none" w:pos="71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NON-COMPETITION</w:t>
      </w:r>
    </w:p>
    <w:p>
      <w:pPr>
        <w:spacing w:after="0" w:line="237" w:lineRule="exact"/>
        <w:rPr>
          <w:sz w:val="20"/>
          <w:szCs w:val="20"/>
          <w:color w:val="auto"/>
        </w:rPr>
      </w:pPr>
    </w:p>
    <w:p>
      <w:pPr>
        <w:jc w:val="both"/>
        <w:ind w:left="490"/>
        <w:spacing w:after="0" w:line="232" w:lineRule="auto"/>
        <w:rPr>
          <w:sz w:val="20"/>
          <w:szCs w:val="20"/>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in which the Company does business. For the avoidance of doubt, the term “State” as used in this agreement shall be interpreted to include any legal territory of the United States where the Company does business, including, by way of example, the District of Columbia. Further, for purposes of these Standard Terms and Conditions,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 This Section (G) is not intended to prevent you from engaging in any activity that is not substantially the same as or competitive with the Company’s Business.</w:t>
      </w:r>
    </w:p>
    <w:p>
      <w:pPr>
        <w:spacing w:after="0" w:line="21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79375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67" w:right="339" w:bottom="1440" w:gutter="0" w:footer="0" w:header="0"/>
        </w:sectPr>
      </w:pPr>
    </w:p>
    <w:bookmarkStart w:id="118" w:name="page119"/>
    <w:bookmarkEnd w:id="118"/>
    <w:p>
      <w:pPr>
        <w:ind w:left="704" w:hanging="704"/>
        <w:spacing w:after="0"/>
        <w:tabs>
          <w:tab w:leader="none" w:pos="70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STATE LAW LIMITATIONS</w:t>
      </w:r>
    </w:p>
    <w:p>
      <w:pPr>
        <w:spacing w:after="0" w:line="237" w:lineRule="exact"/>
        <w:rPr>
          <w:sz w:val="20"/>
          <w:szCs w:val="20"/>
          <w:color w:val="auto"/>
        </w:rPr>
      </w:pPr>
    </w:p>
    <w:p>
      <w:pPr>
        <w:jc w:val="both"/>
        <w:ind w:left="544"/>
        <w:spacing w:after="0" w:line="239" w:lineRule="auto"/>
        <w:rPr>
          <w:sz w:val="20"/>
          <w:szCs w:val="20"/>
          <w:color w:val="auto"/>
        </w:rPr>
      </w:pPr>
      <w:r>
        <w:rPr>
          <w:rFonts w:ascii="Times New Roman" w:cs="Times New Roman" w:eastAsia="Times New Roman" w:hAnsi="Times New Roman"/>
          <w:sz w:val="22"/>
          <w:szCs w:val="22"/>
          <w:color w:val="auto"/>
        </w:rPr>
        <w:t>This Section 7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paragraphs above apply to you in full.</w:t>
      </w:r>
    </w:p>
    <w:p>
      <w:pPr>
        <w:spacing w:after="0" w:line="207" w:lineRule="exact"/>
        <w:rPr>
          <w:sz w:val="20"/>
          <w:szCs w:val="20"/>
          <w:color w:val="auto"/>
        </w:rPr>
      </w:pPr>
    </w:p>
    <w:p>
      <w:pPr>
        <w:ind w:left="1224" w:hanging="684"/>
        <w:spacing w:after="0"/>
        <w:tabs>
          <w:tab w:leader="none" w:pos="12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California:</w:t>
      </w:r>
    </w:p>
    <w:p>
      <w:pPr>
        <w:spacing w:after="0" w:line="233" w:lineRule="exact"/>
        <w:rPr>
          <w:rFonts w:ascii="Times New Roman" w:cs="Times New Roman" w:eastAsia="Times New Roman" w:hAnsi="Times New Roman"/>
          <w:sz w:val="22"/>
          <w:szCs w:val="22"/>
          <w:color w:val="auto"/>
        </w:rPr>
      </w:pPr>
    </w:p>
    <w:p>
      <w:pPr>
        <w:jc w:val="both"/>
        <w:ind w:left="1184" w:firstLine="4"/>
        <w:spacing w:after="0" w:line="244" w:lineRule="auto"/>
        <w:tabs>
          <w:tab w:leader="none" w:pos="205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(E) does not apply to you, except that you agree that you will be prohibited from solicitation of the Company’s clients using the Company’s trade secrets, and/or providing services for anyone other than the Company using the Company’s trade secrets.</w:t>
      </w:r>
    </w:p>
    <w:p>
      <w:pPr>
        <w:spacing w:after="0" w:line="200" w:lineRule="exact"/>
        <w:rPr>
          <w:rFonts w:ascii="Times New Roman" w:cs="Times New Roman" w:eastAsia="Times New Roman" w:hAnsi="Times New Roman"/>
          <w:sz w:val="22"/>
          <w:szCs w:val="22"/>
          <w:color w:val="auto"/>
        </w:rPr>
      </w:pPr>
    </w:p>
    <w:p>
      <w:pPr>
        <w:ind w:left="1924" w:hanging="736"/>
        <w:spacing w:after="0"/>
        <w:tabs>
          <w:tab w:leader="none" w:pos="192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(F) and (G) do not apply to you.</w:t>
      </w:r>
    </w:p>
    <w:p>
      <w:pPr>
        <w:spacing w:after="0" w:line="233" w:lineRule="exact"/>
        <w:rPr>
          <w:sz w:val="20"/>
          <w:szCs w:val="20"/>
          <w:color w:val="auto"/>
        </w:rPr>
      </w:pPr>
    </w:p>
    <w:p>
      <w:pPr>
        <w:jc w:val="both"/>
        <w:ind w:left="544" w:hanging="4"/>
        <w:spacing w:after="0" w:line="234" w:lineRule="auto"/>
        <w:tabs>
          <w:tab w:leader="none" w:pos="135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Colorado, Section (G) does not apply to you unless your annualized cash compensation from the Company exceeds the threshold set by the Colorado Department of Labor and Employment, Division of Labor Standards and Statistics. As of 2023, this threshold was $112,500. As of 2024, this threshold is scheduled to be $123,750.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 Section (E) does not apply to you unless your annualized cash compensation from the Company exceeds the threshold set by the Colorado Department of Labor and Employment, Division of Labor Standards and Statistics. As of 2023, this threshold was $67,500. As of 2024, this threshold is scheduled to be $74,250.</w:t>
      </w:r>
    </w:p>
    <w:p>
      <w:pPr>
        <w:spacing w:after="0" w:line="20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79375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567" w:right="339" w:bottom="1440" w:gutter="0" w:footer="0" w:header="0"/>
        </w:sectPr>
      </w:pPr>
    </w:p>
    <w:bookmarkStart w:id="119" w:name="page120"/>
    <w:bookmarkEnd w:id="119"/>
    <w:p>
      <w:pPr>
        <w:jc w:val="both"/>
        <w:ind w:left="4" w:hanging="4"/>
        <w:spacing w:after="0" w:line="236" w:lineRule="auto"/>
        <w:tabs>
          <w:tab w:leader="none" w:pos="102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the District of Columbia, Sections (E) and (G) do not apply to you unless you are reasonably expected to earn in a consecutive 12-month period or have earned in the preceding 12-month period, compensation greater than or equal to the threshold set by the District of Columbia Non-Compete Agreements Amendment Act of 2020, as amended. As of 2023, this threshold was $150,000, and the District of Columbia may announce a higher threshold for 2024. For purposes of this agreement, an employee based in the District of Columbia who meets this compensation threshold shall be deemed a “Highly Compensated Employee.”</w:t>
      </w:r>
    </w:p>
    <w:p>
      <w:pPr>
        <w:spacing w:after="0" w:line="208" w:lineRule="exact"/>
        <w:rPr>
          <w:rFonts w:ascii="Times New Roman" w:cs="Times New Roman" w:eastAsia="Times New Roman" w:hAnsi="Times New Roman"/>
          <w:sz w:val="22"/>
          <w:szCs w:val="22"/>
          <w:color w:val="auto"/>
        </w:rPr>
      </w:pPr>
    </w:p>
    <w:p>
      <w:pPr>
        <w:jc w:val="both"/>
        <w:ind w:left="4" w:hanging="4"/>
        <w:spacing w:after="0" w:line="233" w:lineRule="auto"/>
        <w:tabs>
          <w:tab w:leader="none" w:pos="8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Illinois, Section (G) does not apply to you unless (a) you earn more than $75,000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 Sections (E) and (F) do not apply to you unless you (a) earn more than $45,000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w:t>
      </w:r>
    </w:p>
    <w:p>
      <w:pPr>
        <w:spacing w:after="0" w:line="211" w:lineRule="exact"/>
        <w:rPr>
          <w:rFonts w:ascii="Times New Roman" w:cs="Times New Roman" w:eastAsia="Times New Roman" w:hAnsi="Times New Roman"/>
          <w:sz w:val="22"/>
          <w:szCs w:val="22"/>
          <w:color w:val="auto"/>
        </w:rPr>
      </w:pPr>
    </w:p>
    <w:p>
      <w:pPr>
        <w:ind w:left="4" w:hanging="4"/>
        <w:spacing w:after="0" w:line="258" w:lineRule="auto"/>
        <w:tabs>
          <w:tab w:leader="none" w:pos="81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Louisiana, you agree that the Company operates throughout the State of Louisiana, and that Section 7 therefore applies in every parish and municipality in the State.</w:t>
      </w:r>
    </w:p>
    <w:p>
      <w:pPr>
        <w:spacing w:after="0" w:line="185" w:lineRule="exact"/>
        <w:rPr>
          <w:rFonts w:ascii="Times New Roman" w:cs="Times New Roman" w:eastAsia="Times New Roman" w:hAnsi="Times New Roman"/>
          <w:sz w:val="22"/>
          <w:szCs w:val="22"/>
          <w:color w:val="auto"/>
        </w:rPr>
      </w:pPr>
    </w:p>
    <w:p>
      <w:pPr>
        <w:ind w:left="744" w:hanging="744"/>
        <w:spacing w:after="0"/>
        <w:tabs>
          <w:tab w:leader="none" w:pos="7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Minnesota, Section (G) does not apply to you.</w:t>
      </w:r>
    </w:p>
    <w:p>
      <w:pPr>
        <w:spacing w:after="0" w:line="233" w:lineRule="exact"/>
        <w:rPr>
          <w:rFonts w:ascii="Times New Roman" w:cs="Times New Roman" w:eastAsia="Times New Roman" w:hAnsi="Times New Roman"/>
          <w:sz w:val="22"/>
          <w:szCs w:val="22"/>
          <w:color w:val="auto"/>
        </w:rPr>
      </w:pPr>
    </w:p>
    <w:p>
      <w:pPr>
        <w:jc w:val="both"/>
        <w:ind w:left="4" w:hanging="4"/>
        <w:spacing w:after="0" w:line="244" w:lineRule="auto"/>
        <w:tabs>
          <w:tab w:leader="none" w:pos="85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New York, Section (E) does not apply to any customer that became a customer of the Company only as a result of your independent contact and business development efforts with the customer before and independent from your employment with the Company.</w:t>
      </w:r>
    </w:p>
    <w:p>
      <w:pPr>
        <w:spacing w:after="0" w:line="200" w:lineRule="exact"/>
        <w:rPr>
          <w:rFonts w:ascii="Times New Roman" w:cs="Times New Roman" w:eastAsia="Times New Roman" w:hAnsi="Times New Roman"/>
          <w:sz w:val="22"/>
          <w:szCs w:val="22"/>
          <w:color w:val="auto"/>
        </w:rPr>
      </w:pPr>
    </w:p>
    <w:p>
      <w:pPr>
        <w:ind w:left="764" w:hanging="764"/>
        <w:spacing w:after="0"/>
        <w:tabs>
          <w:tab w:leader="none" w:pos="7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North Dakota, Sections (E) and (G) do not apply to you.</w:t>
      </w:r>
    </w:p>
    <w:p>
      <w:pPr>
        <w:spacing w:after="0" w:line="206" w:lineRule="exact"/>
        <w:rPr>
          <w:rFonts w:ascii="Times New Roman" w:cs="Times New Roman" w:eastAsia="Times New Roman" w:hAnsi="Times New Roman"/>
          <w:sz w:val="22"/>
          <w:szCs w:val="22"/>
          <w:color w:val="auto"/>
        </w:rPr>
      </w:pPr>
    </w:p>
    <w:p>
      <w:pPr>
        <w:ind w:left="804" w:hanging="804"/>
        <w:spacing w:after="0"/>
        <w:tabs>
          <w:tab w:leader="none" w:pos="80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Oklahoma:</w:t>
      </w:r>
    </w:p>
    <w:p>
      <w:pPr>
        <w:spacing w:after="0" w:line="233" w:lineRule="exact"/>
        <w:rPr>
          <w:rFonts w:ascii="Times New Roman" w:cs="Times New Roman" w:eastAsia="Times New Roman" w:hAnsi="Times New Roman"/>
          <w:sz w:val="22"/>
          <w:szCs w:val="22"/>
          <w:color w:val="auto"/>
        </w:rPr>
      </w:pPr>
    </w:p>
    <w:p>
      <w:pPr>
        <w:jc w:val="both"/>
        <w:ind w:left="644" w:firstLine="4"/>
        <w:spacing w:after="0" w:line="238" w:lineRule="auto"/>
        <w:tabs>
          <w:tab w:leader="none" w:pos="161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pacing w:after="0" w:line="203" w:lineRule="exact"/>
        <w:rPr>
          <w:rFonts w:ascii="Times New Roman" w:cs="Times New Roman" w:eastAsia="Times New Roman" w:hAnsi="Times New Roman"/>
          <w:sz w:val="22"/>
          <w:szCs w:val="22"/>
          <w:color w:val="auto"/>
        </w:rPr>
      </w:pPr>
    </w:p>
    <w:p>
      <w:pPr>
        <w:ind w:left="1444" w:hanging="796"/>
        <w:spacing w:after="0"/>
        <w:tabs>
          <w:tab w:leader="none" w:pos="144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(F) and (G) do not apply to you.</w:t>
      </w:r>
    </w:p>
    <w:p>
      <w:pPr>
        <w:spacing w:after="0" w:line="2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1" w:right="339" w:bottom="1440" w:gutter="0" w:footer="0" w:header="0"/>
        </w:sectPr>
      </w:pPr>
    </w:p>
    <w:bookmarkStart w:id="120" w:name="page121"/>
    <w:bookmarkEnd w:id="120"/>
    <w:p>
      <w:pPr>
        <w:jc w:val="both"/>
        <w:ind w:left="1300" w:hanging="644"/>
        <w:spacing w:after="0" w:line="239" w:lineRule="auto"/>
        <w:tabs>
          <w:tab w:leader="none" w:pos="141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the State of Washington, Section (G) does not apply to you unless your annual earnings from your employment with the Company exceed the threshold established by the Washington Department of Labor and Industries pursuant to RCW 49.62.040. As of 2023, this threshold was $116,593.18. As of 2024, the Department has announced that this threshold will be $120,559.99.</w:t>
      </w:r>
    </w:p>
    <w:p>
      <w:pPr>
        <w:spacing w:after="0" w:line="20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37" w:lineRule="exact"/>
        <w:rPr>
          <w:rFonts w:ascii="Times New Roman" w:cs="Times New Roman" w:eastAsia="Times New Roman" w:hAnsi="Times New Roman"/>
          <w:sz w:val="22"/>
          <w:szCs w:val="22"/>
          <w:b w:val="1"/>
          <w:bCs w:val="1"/>
          <w:color w:val="auto"/>
        </w:rPr>
      </w:pPr>
    </w:p>
    <w:p>
      <w:pPr>
        <w:jc w:val="both"/>
        <w:ind w:left="660"/>
        <w:spacing w:after="0" w:line="23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7, the damage to the Company would be irreparable. You therefore agree that the Company, in addition to any other remedies available to it, including, without limitation, the remedies set forth in Sections 9 and 10, shall be entitled to injunctive relief against your breach or threaten breach of said covenants, to the extent they apply in the State in which your employment with the Company is based. You and the Company further agree that, in the event that any one or more of the provisions of Section 7 shall be determined by any court of competent jurisdiction to be unenforceable by reason of it being overly broad, such provision shall be deemed to be modified to permit its enforcement to the maximum extent permitted by law.</w:t>
      </w:r>
    </w:p>
    <w:p>
      <w:pPr>
        <w:spacing w:after="0" w:line="205"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VIOLATION OF PROMISES</w:t>
      </w:r>
    </w:p>
    <w:p>
      <w:pPr>
        <w:spacing w:after="0" w:line="237" w:lineRule="exact"/>
        <w:rPr>
          <w:sz w:val="20"/>
          <w:szCs w:val="20"/>
          <w:color w:val="auto"/>
        </w:rPr>
      </w:pPr>
    </w:p>
    <w:p>
      <w:pPr>
        <w:jc w:val="both"/>
        <w:ind w:left="660" w:firstLine="648"/>
        <w:spacing w:after="0" w:line="232" w:lineRule="auto"/>
        <w:rPr>
          <w:sz w:val="20"/>
          <w:szCs w:val="20"/>
          <w:color w:val="auto"/>
        </w:rPr>
      </w:pPr>
      <w:r>
        <w:rPr>
          <w:rFonts w:ascii="Times New Roman" w:cs="Times New Roman" w:eastAsia="Times New Roman" w:hAnsi="Times New Roman"/>
          <w:sz w:val="22"/>
          <w:szCs w:val="22"/>
          <w:color w:val="auto"/>
        </w:rPr>
        <w:t>You agree that if you violate any one or more of the promises set forth in Section 7 then, in lieu of or in addition to any other remedies available to Company as permitted by applicable law, all unvested Stock Options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7, the vesting of this Award may be suspended pending a determination of whether you violated any such provision by a tribunal as specified in Section 10 and 12. In addition, in lieu of or in addition to any remedy provided for in Section 8, at any time the Company may seek in any such proceeding that you be required to immediately deliver to the Company any shares of Common Stock (or the fair market value thereof) and any related Dividend Equivalent Payments earned by or issued to you pursuant to this Grant at any time during the three (3) full fiscal years preceding the Notice Date. You agree that you will deliver such shares of Common Stock (or the fair market value thereof) and any related Dividend Equivalent Payments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and any related Dividend Equivalent Payments against any amount that might be owed to you by the Company. For the avoidance of doubt, this paragraph shall apply only to the extent the promises set forth in Section 7, is applicable in the State in which your employment with the Company is based.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1" w:name="page122"/>
    <w:bookmarkEnd w:id="121"/>
    <w:p>
      <w:pPr>
        <w:ind w:left="5420"/>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233" w:lineRule="exact"/>
        <w:rPr>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p>
    <w:p>
      <w:pPr>
        <w:spacing w:after="0" w:line="237" w:lineRule="exact"/>
        <w:rPr>
          <w:rFonts w:ascii="Times New Roman" w:cs="Times New Roman" w:eastAsia="Times New Roman" w:hAnsi="Times New Roman"/>
          <w:sz w:val="22"/>
          <w:szCs w:val="22"/>
          <w:b w:val="1"/>
          <w:bCs w:val="1"/>
          <w:color w:val="auto"/>
        </w:rPr>
      </w:pPr>
    </w:p>
    <w:p>
      <w:pPr>
        <w:jc w:val="both"/>
        <w:ind w:left="660" w:hanging="4"/>
        <w:spacing w:after="0" w:line="244" w:lineRule="auto"/>
        <w:tabs>
          <w:tab w:leader="none" w:pos="159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each agree that any controversy, claim, or dispute arising out of or relating to these Standard Terms and Conditions or arising out of or relating to your employment relationship with the Company or any of its affiliates, the termination of such relationship, or your conduct following the termination of such relationship,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10" w:lineRule="exact"/>
        <w:rPr>
          <w:rFonts w:ascii="Times New Roman" w:cs="Times New Roman" w:eastAsia="Times New Roman" w:hAnsi="Times New Roman"/>
          <w:sz w:val="21"/>
          <w:szCs w:val="21"/>
          <w:color w:val="auto"/>
        </w:rPr>
      </w:pPr>
    </w:p>
    <w:p>
      <w:pPr>
        <w:jc w:val="both"/>
        <w:ind w:left="660" w:hanging="4"/>
        <w:spacing w:after="0" w:line="243" w:lineRule="auto"/>
        <w:tabs>
          <w:tab w:leader="none" w:pos="156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disputes arising under Sections 7 and 9 of these Terms and Conditions, the parties will submit the dispute, within 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Sections 7 and 9, to the extent those covenants apply in the State in which your employment with the Company is based. The arbitrator will have no authority to order a modification or amendment of these Standard Terms and Conditions, except that if the arbitrator finds any covenant in Sections 7 and 9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2" w:name="page123"/>
    <w:bookmarkEnd w:id="122"/>
    <w:p>
      <w:pPr>
        <w:jc w:val="both"/>
        <w:ind w:left="660" w:hanging="4"/>
        <w:spacing w:after="0" w:line="236" w:lineRule="auto"/>
        <w:tabs>
          <w:tab w:leader="none" w:pos="169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may seek injunctive relief to enforce any one or more of the covenants set forth in Sections 7 or 9 of these Terms and Conditions, in a court of competent jurisdiction, as set forth in Section 12 below. You specifically agree that a court of competent jurisdiction may enter preliminary injunctive relief to restrain violations of any of the covenants in Sections 7 or 9 of these Terms and Conditions, pending arbitration or other litigation. For the avoidance of doubt, this provision only applies to the promises set forth in Sections 7 or 9 to the extent those Sections are applicable in the State in which your employment with the Company is based.</w:t>
      </w:r>
    </w:p>
    <w:p>
      <w:pPr>
        <w:spacing w:after="0" w:line="204"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3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If any provision of these Standard Terms and Conditions is, becomes, or is deemed to be invalid, illegal, or unenforceable in any jurisdiction, such provision shall be construed or deemed amended or limited in scope to conform to applicable laws or, in the discretion of the Company, it shall be stricken and the remainder of these Standard Terms and Conditions shall remain in force and effect.</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CHOICE OF LAW; JURISDICTION</w:t>
      </w:r>
    </w:p>
    <w:p>
      <w:pPr>
        <w:spacing w:after="0" w:line="23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All questions pertaining to the construction, regulation, validity, and effect of these Standard Terms and Conditions shall be determined in accordance with the laws of the State of Utah, without regard to the conflict of laws doctrine, with the exception of Sections 7 or 9. All questions pertaining to the construction, regulation, validity, and effect of Sections 7 or 9 shall be determined in accordance with the laws of the State in which your employment with the Company is based. With respect to any claim or dispute involving your Grant and/or these Standard Terms and Conditions that is not subject to the arbitration pursuant to Section 12 hereof, other than those arising from Sections 7 or 9,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and these Standard Terms and Conditions (including all terms incorporated by reference into these Standard Terms and Conditions).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3" w:name="page124"/>
    <w:bookmarkEnd w:id="123"/>
    <w:p>
      <w:pPr>
        <w:ind w:left="760" w:hanging="752"/>
        <w:spacing w:after="0"/>
        <w:tabs>
          <w:tab w:leader="none" w:pos="7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Plan and these Standard Terms and Conditions may be amended or altered by the Committee or the Company’s Board of Directors to the extent provided in the Plan.</w:t>
      </w:r>
    </w:p>
    <w:p>
      <w:pPr>
        <w:spacing w:after="0" w:line="181"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you or other subsequent transfers by you of any Common Stock issued in respect of vested Stock Units, including without limitation (a) restrictions under an insider trading policy, (b) restrictions designed to delay and/or coordinate the timing and manner of sales by you and other holders and (c) restrictions as to the use of a specified brokerage firm for such resales or other transfers.</w:t>
      </w:r>
    </w:p>
    <w:p>
      <w:pPr>
        <w:spacing w:after="0" w:line="200" w:lineRule="exact"/>
        <w:rPr>
          <w:sz w:val="20"/>
          <w:szCs w:val="20"/>
          <w:color w:val="auto"/>
        </w:rPr>
      </w:pPr>
    </w:p>
    <w:p>
      <w:pPr>
        <w:ind w:left="760" w:hanging="752"/>
        <w:spacing w:after="0"/>
        <w:tabs>
          <w:tab w:leader="none" w:pos="7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Company shall not deliver shares in respect of any Stock Units unless and until you have made satisfactory arrangements to pay or otherwise satisfy all applicable tax withholding obligations. Unless you pay the tax withholding obligations to the Company by cash or check in connection with the delivery of the Common Stock and any related Dividend Equivalent Payments, withholding may be effected, at the Company’s option, by withholding Common Stock issuable in connection with the vesting of the Stock Units (provided that shares of Common Stock may be withheld only to the extent that such tax withholding will not result in adverse accounting treatment for the Company) or withholding any related Dividend Equivalent Payments. You acknowledge that the Company shall have the right to deduct any taxes required to be withheld by law in connection with the Stock Units from any amounts payable by it to you (including, without limitation, future cash wages).</w:t>
      </w:r>
    </w:p>
    <w:p>
      <w:pPr>
        <w:spacing w:after="0" w:line="206" w:lineRule="exact"/>
        <w:rPr>
          <w:sz w:val="20"/>
          <w:szCs w:val="20"/>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You understand, acknowledge and agree that, except as otherwise provided in the Plan, the Stock Units may not be sold, assigned, transferred, pledged or otherwise directly or indirectly encumbered or disposed of prior to the payment of the Common Stock to you as provided in Section 16 hereof. Your beneficiaries and anyone claiming an interest in the Stock Units through you are subject to all of the terms and conditions applicable to you, other than the covenants set forth in Section 7.</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4" w:name="page125"/>
    <w:bookmarkEnd w:id="124"/>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 AND RECOUPMENT</w:t>
      </w:r>
    </w:p>
    <w:p>
      <w:pPr>
        <w:spacing w:after="0" w:line="237"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If you are or become a Covered Executive or Other Executive under the Company’s Policy for Recoupment of Certain Compensation, you agree that your Award is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pacing w:after="0" w:line="214" w:lineRule="exact"/>
        <w:rPr>
          <w:sz w:val="20"/>
          <w:szCs w:val="20"/>
          <w:color w:val="auto"/>
        </w:rPr>
      </w:pPr>
    </w:p>
    <w:p>
      <w:pPr>
        <w:ind w:left="760" w:hanging="752"/>
        <w:spacing w:after="0"/>
        <w:tabs>
          <w:tab w:leader="none" w:pos="7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3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Neither you (individually or as a member of a group) nor any beneficiary or other person claiming by, under or through you shall have any right, title, interest, or privilege in or to any shares of Common Stock allocated or reserved for the purpose of the Plan, the Long Term Plan or subject to the Grant Notice or these Standard Terms and Conditions except as to such shares of Common Stock, if any, as shall have been issued to such person upon vesting of the Stock Units, which shares shall remain subject to the conditions set forth in these Standard Terms and Conditions. Nothing in the Plan, the Long-Term Plan, the Grant Notice, these Standard Terms and Conditions or any other instrument executed pursuant to the Plan shall confer upon you any right to continue in the Company’s employ or service nor limit in any way the Company’s right to terminate your employment at any time for any reason.</w:t>
      </w:r>
    </w:p>
    <w:p>
      <w:pPr>
        <w:spacing w:after="0" w:line="201" w:lineRule="exact"/>
        <w:rPr>
          <w:sz w:val="20"/>
          <w:szCs w:val="20"/>
          <w:color w:val="auto"/>
        </w:rPr>
      </w:pPr>
    </w:p>
    <w:p>
      <w:pPr>
        <w:ind w:left="760" w:hanging="752"/>
        <w:spacing w:after="0"/>
        <w:tabs>
          <w:tab w:leader="none" w:pos="7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3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Grant Notice, these Standard Terms and Conditions, the Plan and the Long-Term Plan constitute the entire understanding between you and the Company regarding the Stock Units. Any prior agreements, commitments or negotiations concerning the Stock Units are superseded.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5" w:name="page126"/>
    <w:bookmarkEnd w:id="125"/>
    <w:p>
      <w:pPr>
        <w:ind w:left="760" w:hanging="752"/>
        <w:spacing w:after="0"/>
        <w:tabs>
          <w:tab w:leader="none" w:pos="7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PERIOD/NOTICE FOR CERTAIN EMPLOYEES</w:t>
      </w:r>
    </w:p>
    <w:p>
      <w:pPr>
        <w:spacing w:after="0" w:line="233"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STATE OF </w:t>
      </w:r>
      <w:r>
        <w:rPr>
          <w:rFonts w:ascii="Times New Roman" w:cs="Times New Roman" w:eastAsia="Times New Roman" w:hAnsi="Times New Roman"/>
          <w:sz w:val="22"/>
          <w:szCs w:val="22"/>
          <w:b w:val="1"/>
          <w:bCs w:val="1"/>
          <w:color w:val="auto"/>
        </w:rPr>
        <w:t>COLORADO</w:t>
      </w:r>
      <w:r>
        <w:rPr>
          <w:rFonts w:ascii="Times New Roman" w:cs="Times New Roman" w:eastAsia="Times New Roman" w:hAnsi="Times New Roman"/>
          <w:sz w:val="22"/>
          <w:szCs w:val="22"/>
          <w:color w:val="auto"/>
        </w:rPr>
        <w:t xml:space="preserve"> AND ARE SUBJECT TO THE RESTRICTIONS IN SECTIONS 7(E),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 YOU HAVE 14 CALENDAR DAYS FROM THE DAY YOU RECEIVED THIS AGREEMENT TO REVIEW IT AND THAT YOU ARE ADVISED TO CONSULT LEGAL COUNSEL PRIOR TO SIGNING IT.</w:t>
      </w:r>
    </w:p>
    <w:p>
      <w:pPr>
        <w:spacing w:after="0" w:line="203"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w:t>
      </w:r>
      <w:r>
        <w:rPr>
          <w:rFonts w:ascii="Times New Roman" w:cs="Times New Roman" w:eastAsia="Times New Roman" w:hAnsi="Times New Roman"/>
          <w:sz w:val="22"/>
          <w:szCs w:val="22"/>
          <w:b w:val="1"/>
          <w:bCs w:val="1"/>
          <w:color w:val="auto"/>
        </w:rPr>
        <w:t>DISTRICT OF COLUMBIA</w:t>
      </w:r>
      <w:r>
        <w:rPr>
          <w:rFonts w:ascii="Times New Roman" w:cs="Times New Roman" w:eastAsia="Times New Roman" w:hAnsi="Times New Roman"/>
          <w:sz w:val="22"/>
          <w:szCs w:val="22"/>
          <w:color w:val="auto"/>
        </w:rPr>
        <w:t xml:space="preserve"> AS A “HIGHLY COMPENSATED EMPLOYEE,” AS DEFINED IN SECTION 7(H),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SECTIONS 7(E) AND (G), THE COMPANY HAS DETERMINED THAT YOU ARE A HIGHLY COMPENSATED EMPLOYEE. FOR MORE INFORMATION ABOUT THE BAN ON NON-COMPETE AGREEMENTS AMENDMENT ACT OF 2020, AS AMENDED, CONTACT THE DISTRICT OF COLUMBIA DEPARTMENT OF EMPLOYMENT SERVICES (DOES).</w:t>
      </w:r>
    </w:p>
    <w:p>
      <w:pPr>
        <w:spacing w:after="0" w:line="20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STATE OF </w:t>
      </w:r>
      <w:r>
        <w:rPr>
          <w:rFonts w:ascii="Times New Roman" w:cs="Times New Roman" w:eastAsia="Times New Roman" w:hAnsi="Times New Roman"/>
          <w:sz w:val="22"/>
          <w:szCs w:val="22"/>
          <w:b w:val="1"/>
          <w:bCs w:val="1"/>
          <w:color w:val="auto"/>
        </w:rPr>
        <w:t>ILLINOIS</w:t>
      </w:r>
      <w:r>
        <w:rPr>
          <w:rFonts w:ascii="Times New Roman" w:cs="Times New Roman" w:eastAsia="Times New Roman" w:hAnsi="Times New Roman"/>
          <w:sz w:val="22"/>
          <w:szCs w:val="22"/>
          <w:color w:val="auto"/>
        </w:rPr>
        <w:t>, YOU ACKNOWLEDGE THAT YOU HAVE AT LEAST 14 CALENDAR DAYS FROM THE DAY YOU RECEIVED THIS AGREEMENT TO REVIEW IT AND THAT YOU ARE ADVISED TO CONSULT LEGAL COUNSEL PRIOR TO SIGNING IT.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56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GRANT NOTICE FOR 2021 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GOOD AND VALUABLE CONSIDERATION, Union Pacific Corporation (the “Company”), hereby grants to Participant named below (for purposes hereof, references herein to “you” or “your” shall refer to such Participant) the nonqualified stock option (the “Option”) to purchase any part or all of the number of shares of its common stock, par value $2.50 (the “Common Stock”), that are covered by this Option, as specified below, at the Exercise Price per share specified below and upon the terms and subject to the conditions set forth in this Grant Notice, the Union Pacific Corporation 2021 Stock Incentive Plan (the “Plan”) the Standard Terms and Conditions (the “Standard Terms and Conditions”) adopted under such Plan and provided to you, and, if applicable, the Union Pacific Corporation Key Employee Continuity Plan (the “Key Employee Continuity Plan”) and the Policy for Recoupment of Certain Compensation, each as amended from time to time. In addition, if you become eligible for and entitled to severance benefits under a broad-based severance pay policy of the Company that include waiver of the vesting period and/or extension of the exercise period with respect to the Option (the “Severance Policy”), the Option also shall be subject to the terms of such Severance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Option is granted pursuant to the Plan and is subject to and qualified in its entirety by the Standard Terms and Conditions.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Name of Participant:</w:t>
            </w:r>
          </w:p>
        </w:tc>
        <w:tc>
          <w:tcPr>
            <w:tcW w:w="6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 James Vena</w:t>
            </w:r>
          </w:p>
        </w:tc>
      </w:tr>
      <w:tr>
        <w:trPr>
          <w:trHeight w:val="263"/>
        </w:trPr>
        <w:tc>
          <w:tcPr>
            <w:tcW w:w="4360" w:type="dxa"/>
            <w:vAlign w:val="bottom"/>
            <w:tcBorders>
              <w:bottom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Grant Date:</w:t>
            </w:r>
          </w:p>
        </w:tc>
        <w:tc>
          <w:tcPr>
            <w:tcW w:w="6880" w:type="dxa"/>
            <w:vAlign w:val="bottom"/>
            <w:tcBorders>
              <w:bottom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February 8, 2024</w:t>
            </w:r>
          </w:p>
        </w:tc>
      </w:tr>
      <w:tr>
        <w:trPr>
          <w:trHeight w:val="264"/>
        </w:trPr>
        <w:tc>
          <w:tcPr>
            <w:tcW w:w="4360" w:type="dxa"/>
            <w:vAlign w:val="bottom"/>
            <w:tcBorders>
              <w:bottom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Grant Number:</w:t>
            </w:r>
          </w:p>
        </w:tc>
        <w:tc>
          <w:tcPr>
            <w:tcW w:w="6880" w:type="dxa"/>
            <w:vAlign w:val="bottom"/>
            <w:tcBorders>
              <w:bottom w:val="single" w:sz="8" w:color="auto"/>
            </w:tcBorders>
          </w:tcPr>
          <w:p>
            <w:pPr>
              <w:spacing w:after="0"/>
              <w:rPr>
                <w:sz w:val="22"/>
                <w:szCs w:val="22"/>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Number of Shares of Common Stock covered by</w:t>
            </w:r>
          </w:p>
        </w:tc>
        <w:tc>
          <w:tcPr>
            <w:tcW w:w="6880" w:type="dxa"/>
            <w:vAlign w:val="bottom"/>
          </w:tcPr>
          <w:p>
            <w:pPr>
              <w:spacing w:after="0"/>
              <w:rPr>
                <w:sz w:val="18"/>
                <w:szCs w:val="18"/>
                <w:color w:val="auto"/>
              </w:rPr>
            </w:pPr>
          </w:p>
        </w:tc>
      </w:tr>
      <w:tr>
        <w:trPr>
          <w:trHeight w:val="291"/>
        </w:trPr>
        <w:tc>
          <w:tcPr>
            <w:tcW w:w="4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Option:</w:t>
            </w:r>
          </w:p>
        </w:tc>
        <w:tc>
          <w:tcPr>
            <w:tcW w:w="688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Exercise Price Per Share:</w:t>
            </w:r>
          </w:p>
        </w:tc>
        <w:tc>
          <w:tcPr>
            <w:tcW w:w="6880" w:type="dxa"/>
            <w:vAlign w:val="bottom"/>
            <w:tcBorders>
              <w:bottom w:val="single" w:sz="8" w:color="auto"/>
            </w:tcBorders>
          </w:tcPr>
          <w:p>
            <w:pPr>
              <w:spacing w:after="0"/>
              <w:rPr>
                <w:sz w:val="22"/>
                <w:szCs w:val="22"/>
                <w:color w:val="auto"/>
              </w:rPr>
            </w:pPr>
          </w:p>
        </w:tc>
      </w:tr>
      <w:tr>
        <w:trPr>
          <w:trHeight w:val="263"/>
        </w:trPr>
        <w:tc>
          <w:tcPr>
            <w:tcW w:w="4360" w:type="dxa"/>
            <w:vAlign w:val="bottom"/>
            <w:tcBorders>
              <w:bottom w:val="single" w:sz="8" w:color="auto"/>
            </w:tcBorders>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Expiration Date:</w:t>
            </w:r>
          </w:p>
        </w:tc>
        <w:tc>
          <w:tcPr>
            <w:tcW w:w="6880" w:type="dxa"/>
            <w:vAlign w:val="bottom"/>
            <w:tcBorders>
              <w:bottom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February 8, 2034</w:t>
            </w: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Vesting Schedule:</w:t>
            </w:r>
          </w:p>
        </w:tc>
        <w:tc>
          <w:tcPr>
            <w:tcW w:w="6880" w:type="dxa"/>
            <w:vAlign w:val="bottom"/>
          </w:tcPr>
          <w:p>
            <w:pPr>
              <w:spacing w:after="0"/>
              <w:rPr>
                <w:sz w:val="18"/>
                <w:szCs w:val="18"/>
                <w:color w:val="auto"/>
              </w:rPr>
            </w:pPr>
          </w:p>
        </w:tc>
      </w:tr>
      <w:tr>
        <w:trPr>
          <w:trHeight w:val="230"/>
        </w:trPr>
        <w:tc>
          <w:tcPr>
            <w:tcW w:w="436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Shares</w:t>
            </w:r>
          </w:p>
        </w:tc>
        <w:tc>
          <w:tcPr>
            <w:tcW w:w="6880" w:type="dxa"/>
            <w:vAlign w:val="bottom"/>
          </w:tcPr>
          <w:p>
            <w:pPr>
              <w:spacing w:after="0"/>
              <w:rPr>
                <w:sz w:val="19"/>
                <w:szCs w:val="19"/>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23"/>
        </w:trPr>
        <w:tc>
          <w:tcPr>
            <w:tcW w:w="436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Vest Date</w:t>
            </w:r>
          </w:p>
        </w:tc>
        <w:tc>
          <w:tcPr>
            <w:tcW w:w="6880" w:type="dxa"/>
            <w:vAlign w:val="bottom"/>
          </w:tcPr>
          <w:p>
            <w:pPr>
              <w:spacing w:after="0"/>
              <w:rPr>
                <w:sz w:val="19"/>
                <w:szCs w:val="19"/>
                <w:color w:val="auto"/>
              </w:rPr>
            </w:pPr>
          </w:p>
        </w:tc>
      </w:tr>
      <w:tr>
        <w:trPr>
          <w:trHeight w:val="236"/>
        </w:trPr>
        <w:tc>
          <w:tcPr>
            <w:tcW w:w="84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February</w:t>
            </w:r>
          </w:p>
        </w:tc>
        <w:tc>
          <w:tcPr>
            <w:tcW w:w="3520" w:type="dxa"/>
            <w:vAlign w:val="bottom"/>
          </w:tcPr>
          <w:p>
            <w:pPr>
              <w:jc w:val="right"/>
              <w:ind w:right="2772"/>
              <w:spacing w:after="0" w:line="236" w:lineRule="exact"/>
              <w:rPr>
                <w:sz w:val="20"/>
                <w:szCs w:val="20"/>
                <w:color w:val="auto"/>
              </w:rPr>
            </w:pPr>
            <w:r>
              <w:rPr>
                <w:rFonts w:ascii="Times New Roman" w:cs="Times New Roman" w:eastAsia="Times New Roman" w:hAnsi="Times New Roman"/>
                <w:sz w:val="22"/>
                <w:szCs w:val="22"/>
                <w:color w:val="auto"/>
                <w:w w:val="93"/>
              </w:rPr>
              <w:t>8, 2025</w:t>
            </w:r>
          </w:p>
        </w:tc>
        <w:tc>
          <w:tcPr>
            <w:tcW w:w="6880" w:type="dxa"/>
            <w:vAlign w:val="bottom"/>
          </w:tcPr>
          <w:p>
            <w:pPr>
              <w:spacing w:after="0"/>
              <w:rPr>
                <w:sz w:val="20"/>
                <w:szCs w:val="20"/>
                <w:color w:val="auto"/>
              </w:rPr>
            </w:pPr>
          </w:p>
        </w:tc>
      </w:tr>
      <w:tr>
        <w:trPr>
          <w:trHeight w:val="243"/>
        </w:trPr>
        <w:tc>
          <w:tcPr>
            <w:tcW w:w="43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February 8, 2026</w:t>
            </w:r>
          </w:p>
        </w:tc>
        <w:tc>
          <w:tcPr>
            <w:tcW w:w="6880" w:type="dxa"/>
            <w:vAlign w:val="bottom"/>
          </w:tcPr>
          <w:p>
            <w:pPr>
              <w:spacing w:after="0"/>
              <w:rPr>
                <w:sz w:val="21"/>
                <w:szCs w:val="21"/>
                <w:color w:val="auto"/>
              </w:rPr>
            </w:pPr>
          </w:p>
        </w:tc>
      </w:tr>
      <w:tr>
        <w:trPr>
          <w:trHeight w:val="291"/>
        </w:trPr>
        <w:tc>
          <w:tcPr>
            <w:tcW w:w="4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February 8, 2027</w:t>
            </w:r>
          </w:p>
        </w:tc>
        <w:tc>
          <w:tcPr>
            <w:tcW w:w="6880" w:type="dxa"/>
            <w:vAlign w:val="bottom"/>
            <w:tcBorders>
              <w:bottom w:val="single" w:sz="8" w:color="auto"/>
            </w:tcBorders>
          </w:tcPr>
          <w:p>
            <w:pPr>
              <w:spacing w:after="0"/>
              <w:rPr>
                <w:sz w:val="24"/>
                <w:szCs w:val="24"/>
                <w:color w:val="auto"/>
              </w:rPr>
            </w:pPr>
          </w:p>
        </w:tc>
      </w:tr>
      <w:tr>
        <w:trPr>
          <w:trHeight w:val="601"/>
        </w:trPr>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27" w:name="page128"/>
    <w:bookmarkEnd w:id="12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Option is not intended to qualify as an incentive stock option under Section 422 of the Internal Revenue Code of 1986, as amended.</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By electronically accepting this Option, you acknowledge that you have received and read, and agree that this Option shall be subject to, the terms of this Grant Notice, the Plan, the Standard Terms and Conditions and, if applicable, the Key Employee Continuity Plan and/or the Severance Policy (including, but not limited to, the Key Employee Continuity Plan’s or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Option via Company website or other electronic delivery.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1"/>
          <w:szCs w:val="21"/>
          <w:b w:val="1"/>
          <w:bCs w:val="1"/>
          <w:i w:val="1"/>
          <w:iCs w:val="1"/>
          <w:color w:val="auto"/>
        </w:rPr>
        <w:t>FORFEIT</w:t>
      </w:r>
      <w:r>
        <w:rPr>
          <w:rFonts w:ascii="Times New Roman" w:cs="Times New Roman" w:eastAsia="Times New Roman" w:hAnsi="Times New Roman"/>
          <w:sz w:val="21"/>
          <w:szCs w:val="21"/>
          <w:color w:val="auto"/>
        </w:rPr>
        <w:t xml:space="preserve"> THE NONQUALIFIED STOCK OPTION THAT IS THE SUBJECT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These Standard Terms and Conditions apply to the Option granted pursuant to the Union Pacific Corporation 2021 Stock Incentive Plan, as amended from time to time (the “Plan”), which is identified as nonqualified stock option and is evidenced by a Grant Notice that specifically refers to these Standard Terms and Conditions. In addition to these Standard Terms and Conditions, the Option shall be subject to the terms of the Plan and, if applicable, the Key Employee Continuity Plan, the Severance Policy and/or the Policy for Recoupment of Certain Compensation, each as amended from time to time, which are incorporated into these Standard Terms and Conditions by this reference. Capitalized terms not otherwise defined herein shall have the meaning set forth in the Plan. For purposes of these Standard Terms and Conditions and the Grant Notice, any reference to the Company (as defined below) shall include a reference to any Subsidiary. Additionally, for purposes of these Standard Terms and Conditions, references in these Standard Terms and Conditions to “you” or “your” shall refer to the Participant named in the Grant Notice provided to said Participant herewith (the “Grant Notice”), and such Participant’s heirs and beneficiaries.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electronically accepting the grant of the Option and these Standard Terms and Conditions, you acknowledge and agree to be bound by the following, which will survive your termination from employment and the vesting or forfeiture of the Option: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OPTION</w:t>
      </w: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1.  TERMS OF OPTION</w:t>
      </w: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Union Pacific Corporation (the “Company”), has granted to you a nonqualified stock option (the “Option”) to purchase up to the number of shares of the Company’s common stock (the “Common Stock”), set forth in the Grant Notice. The exercise price per share and the other terms and conditions of the Option are set forth in the Grant Notice, these Standard Terms and Conditions, the Plan and, if applicable, the Key Employee Continuity Plan, the Severance Policy and/or the Policy for Recoupment of Certain Compensation, each as amended from time to time.</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2.  NONQUALIFIED STOCK OPTION</w:t>
      </w:r>
    </w:p>
    <w:p>
      <w:pPr>
        <w:spacing w:after="0" w:line="23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Option is not intended to be an incentive stock option under Section 422 of the Internal Revenue Code of 1986, as amended (the “Code”) and will be interpreted accordingly.</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3.  EXERCISE OF OPTION</w:t>
      </w:r>
    </w:p>
    <w:p>
      <w:pPr>
        <w:spacing w:after="0" w:line="237"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1"/>
          <w:szCs w:val="21"/>
          <w:color w:val="auto"/>
        </w:rPr>
        <w:t>The Option shall not be exercisable as of the Grant Date set forth in the Grant Notice. After the Grant Date, to the extent not previously exercised, and subject to termination or acceleration as provided in these Standard Terms and Conditions, the Plan and, if applicable, the Key Employee Continuity Plan, the Severance Policy and/or the Policy for Recoupment of Certain Compensation, the Option shall be exercisable only to the extent it becomes vested, as described in the Grant Notice, these Standard Terms and Conditions, the terms of the Plan and, if applicable, the Key Employee Continuity Plan, the Severance Policy and/or the Policy for Recoupment of Certain Compensation, to purchase up to that number of shares of Common Stock as set forth in the Grant Notice, provided that (except as may be provided otherwise in Section 4 below) you remain employed with the Company and do not experience a termination of employment.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9" w:name="page130"/>
    <w:bookmarkEnd w:id="129"/>
    <w:p>
      <w:pPr>
        <w:jc w:val="both"/>
        <w:ind w:left="440"/>
        <w:spacing w:after="0" w:line="234" w:lineRule="auto"/>
        <w:rPr>
          <w:sz w:val="20"/>
          <w:szCs w:val="20"/>
          <w:color w:val="auto"/>
        </w:rPr>
      </w:pPr>
      <w:r>
        <w:rPr>
          <w:rFonts w:ascii="Times New Roman" w:cs="Times New Roman" w:eastAsia="Times New Roman" w:hAnsi="Times New Roman"/>
          <w:sz w:val="22"/>
          <w:szCs w:val="22"/>
          <w:color w:val="auto"/>
        </w:rPr>
        <w:t>The exercise price (the “Exercise Price”) of the Option is set forth in the Grant Notice. The Company shall not be obligated to issue any shares of Common Stock until you have paid the total Exercise Price for that number of shares of Common Stock. To exercise the Option (or any part thereof), you must deliver to the Company appropriate notice specifying the number of whole shares of Common Stock you wish to purchase accompanied by valid payment in the form of (i) a check, (ii) an attestation form confirming your current ownership of whole shares of Common Stock equal in value to the total Exercise Price for that number of shares of Common Stock, and/or (iii) an authorization to sell shares equal in value to the total Exercise Price for that number of shares of Common Stock. Notices and authorizations shall be delivered and all checks shall be payable to the Company’s third party stock plan administrator, or as otherwise directed by the Company.</w:t>
      </w:r>
    </w:p>
    <w:p>
      <w:pPr>
        <w:spacing w:after="0" w:line="210" w:lineRule="exact"/>
        <w:rPr>
          <w:sz w:val="20"/>
          <w:szCs w:val="20"/>
          <w:color w:val="auto"/>
        </w:rPr>
      </w:pPr>
    </w:p>
    <w:p>
      <w:pPr>
        <w:jc w:val="both"/>
        <w:ind w:left="440"/>
        <w:spacing w:after="0" w:line="238" w:lineRule="auto"/>
        <w:rPr>
          <w:sz w:val="20"/>
          <w:szCs w:val="20"/>
          <w:color w:val="auto"/>
        </w:rPr>
      </w:pPr>
      <w:r>
        <w:rPr>
          <w:rFonts w:ascii="Times New Roman" w:cs="Times New Roman" w:eastAsia="Times New Roman" w:hAnsi="Times New Roman"/>
          <w:sz w:val="22"/>
          <w:szCs w:val="22"/>
          <w:color w:val="auto"/>
        </w:rPr>
        <w:t>Fractional shares may not be exercised. Shares of Common Stock will be issued as soon as practicable after exercise. Notwithstanding the above, for administrative or other reasons, including, but not limited to the Company’s determination that exercisability of the Option would violate any federal, state or other applicable laws, the Company may from time to time suspend your ability to exercise an Option for limited periods of time, which suspensions shall not change the period in which the Option is exercisable, except as otherwise provided in the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EXPIRATION OF OPTION</w:t>
      </w:r>
    </w:p>
    <w:p>
      <w:pPr>
        <w:spacing w:after="0" w:line="237" w:lineRule="exact"/>
        <w:rPr>
          <w:sz w:val="20"/>
          <w:szCs w:val="20"/>
          <w:color w:val="auto"/>
        </w:rPr>
      </w:pPr>
    </w:p>
    <w:p>
      <w:pPr>
        <w:jc w:val="both"/>
        <w:ind w:left="440"/>
        <w:spacing w:after="0" w:line="244" w:lineRule="auto"/>
        <w:rPr>
          <w:sz w:val="20"/>
          <w:szCs w:val="20"/>
          <w:color w:val="auto"/>
        </w:rPr>
      </w:pPr>
      <w:r>
        <w:rPr>
          <w:rFonts w:ascii="Times New Roman" w:cs="Times New Roman" w:eastAsia="Times New Roman" w:hAnsi="Times New Roman"/>
          <w:sz w:val="22"/>
          <w:szCs w:val="22"/>
          <w:color w:val="auto"/>
        </w:rPr>
        <w:t>Except as otherwise may be provided by the Committee consistent with the terms of the Plan, the Option shall expire and cease to be exercisable as of the earlier of (a) the Expiration Date set forth in the Grant Notice or (b) the date specified below in Sections 4A through 4I, as applicable.</w:t>
      </w:r>
    </w:p>
    <w:p>
      <w:pPr>
        <w:spacing w:after="0" w:line="200" w:lineRule="exact"/>
        <w:rPr>
          <w:sz w:val="20"/>
          <w:szCs w:val="20"/>
          <w:color w:val="auto"/>
        </w:rPr>
      </w:pPr>
    </w:p>
    <w:p>
      <w:pPr>
        <w:jc w:val="both"/>
        <w:ind w:left="760" w:hanging="324"/>
        <w:spacing w:after="0" w:line="235" w:lineRule="auto"/>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termination of employment is by reason of death or you are determined to be disabled under the provisions of the Company’s long-term disability plan, then any vesting period with respect to the Option shall be deemed to be satisfied and the Option shall become fully vested and exercisable (by you or your estate, beneficiary or legal representative, as the case may be) at the date of such termination of employment or the first day on which you are determined to be disabled under such long-term disability plan, as the case may be, until the date that is five (5) years following the date of such termination of employment or the first day of disability as determined under such long-term disability plan, as the case may be.</w:t>
      </w:r>
    </w:p>
    <w:p>
      <w:pPr>
        <w:spacing w:after="0" w:line="210" w:lineRule="exact"/>
        <w:rPr>
          <w:rFonts w:ascii="Times New Roman" w:cs="Times New Roman" w:eastAsia="Times New Roman" w:hAnsi="Times New Roman"/>
          <w:sz w:val="22"/>
          <w:szCs w:val="22"/>
          <w:color w:val="auto"/>
        </w:rPr>
      </w:pPr>
    </w:p>
    <w:p>
      <w:pPr>
        <w:jc w:val="both"/>
        <w:ind w:left="760" w:hanging="324"/>
        <w:spacing w:after="0" w:line="236" w:lineRule="auto"/>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have a termination of employment at or after becoming Retirement Eligible as defined below in this Section 4B, then the Option shall be exercisable in accordance with and at the times it becomes vested, as described in the Grant Notice, notwithstanding your termination of employment with the Company, until the date that is five (5) years following the date of such termination of employment. “Retirement Eligible” means meeting the following criteria: (i) at least 2 years of service as Chief Executive Officer; (ii) providing at least 180 days’ written notice of intent to retire; and (iii) assisted in the transition of your role to your successor.</w:t>
      </w:r>
    </w:p>
    <w:p>
      <w:pPr>
        <w:spacing w:after="0" w:line="20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571" w:right="339" w:bottom="1440" w:gutter="0" w:footer="0" w:header="0"/>
        </w:sectPr>
      </w:pPr>
    </w:p>
    <w:bookmarkStart w:id="130" w:name="page131"/>
    <w:bookmarkEnd w:id="130"/>
    <w:p>
      <w:pPr>
        <w:jc w:val="both"/>
        <w:ind w:left="324" w:hanging="324"/>
        <w:spacing w:after="0" w:line="234" w:lineRule="auto"/>
        <w:tabs>
          <w:tab w:leader="none" w:pos="3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that occurs prior to your termination of employment in which the acquiring or surviving company in the transaction does not assume or continue the Option upon the Change in Control, any vesting period with respect to the Option shall be deemed to be satisfied and the Option shall become fully vested and exercisable (provided that the Option may be canceled upon the consummation of the Change in Control without payment of any additional consideration if the exercise price of the Option is less than the consideration per Share payable to shareholders of the Company in such Change in Control) and you may exercise the Option not assumed or continued until the date that is five (5) years following the date of such Change in Control. If you terminate employment following such Change in Control for a reason described in 4I, any unexercised portion of the Option shall be immediately forfeited and canceled as of the date of such termination of employment.</w:t>
      </w:r>
    </w:p>
    <w:p>
      <w:pPr>
        <w:spacing w:after="0" w:line="210" w:lineRule="exact"/>
        <w:rPr>
          <w:rFonts w:ascii="Times New Roman" w:cs="Times New Roman" w:eastAsia="Times New Roman" w:hAnsi="Times New Roman"/>
          <w:sz w:val="22"/>
          <w:szCs w:val="22"/>
          <w:color w:val="auto"/>
        </w:rPr>
      </w:pPr>
    </w:p>
    <w:p>
      <w:pPr>
        <w:jc w:val="both"/>
        <w:ind w:left="324" w:hanging="324"/>
        <w:spacing w:after="0" w:line="239" w:lineRule="auto"/>
        <w:tabs>
          <w:tab w:leader="none" w:pos="3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employment and at the time of such termination of employment you are “Retirement Eligible” (as provided in Section 4B above), you may exercise any portion of the Option that is vested and exercisable at the time of your termination of employment until the date that is five (5) years following the date of such termination of employment.</w:t>
      </w:r>
    </w:p>
    <w:p>
      <w:pPr>
        <w:spacing w:after="0" w:line="207" w:lineRule="exact"/>
        <w:rPr>
          <w:rFonts w:ascii="Times New Roman" w:cs="Times New Roman" w:eastAsia="Times New Roman" w:hAnsi="Times New Roman"/>
          <w:sz w:val="22"/>
          <w:szCs w:val="22"/>
          <w:color w:val="auto"/>
        </w:rPr>
      </w:pPr>
    </w:p>
    <w:p>
      <w:pPr>
        <w:jc w:val="both"/>
        <w:ind w:left="324" w:hanging="324"/>
        <w:spacing w:after="0" w:line="235" w:lineRule="auto"/>
        <w:tabs>
          <w:tab w:leader="none" w:pos="3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4F hereof, in the event you terminate employment with the Company prior to becoming Retirement Eligible, and as a result of such termination of employment you are eligible for and entitled to payment of severance benefits under the provisions of a Severance Policy that include extension of the exercise period with respect to such Option, and provided you satisfy the conditions of the Severance Policy, you may exercise any portion of the Option that is vested and exercisable at the time of your termination of employment until the date established under the Severance Policy, provided that in no event will such date extend beyond the Expiration Date set forth in the Grant Notice.</w:t>
      </w:r>
    </w:p>
    <w:p>
      <w:pPr>
        <w:spacing w:after="0" w:line="210" w:lineRule="exact"/>
        <w:rPr>
          <w:rFonts w:ascii="Times New Roman" w:cs="Times New Roman" w:eastAsia="Times New Roman" w:hAnsi="Times New Roman"/>
          <w:sz w:val="22"/>
          <w:szCs w:val="22"/>
          <w:color w:val="auto"/>
        </w:rPr>
      </w:pPr>
    </w:p>
    <w:p>
      <w:pPr>
        <w:jc w:val="both"/>
        <w:ind w:left="324" w:hanging="324"/>
        <w:spacing w:after="0" w:line="239" w:lineRule="auto"/>
        <w:tabs>
          <w:tab w:leader="none" w:pos="3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Sections 4A through 4E, if you are an Eligible Employee (within the meaning of the Key Employee Continuity Plan) in the Key Employee Continuity Plan and incur a Severance (within the meaning of the Key Employee Continuity Plan), the Option shall vest and be exercisable in accordance with the terms and conditions of the Key Employee Continuity Plan.</w:t>
      </w:r>
    </w:p>
    <w:p>
      <w:pPr>
        <w:spacing w:after="0" w:line="207" w:lineRule="exact"/>
        <w:rPr>
          <w:rFonts w:ascii="Times New Roman" w:cs="Times New Roman" w:eastAsia="Times New Roman" w:hAnsi="Times New Roman"/>
          <w:sz w:val="22"/>
          <w:szCs w:val="22"/>
          <w:color w:val="auto"/>
        </w:rPr>
      </w:pPr>
    </w:p>
    <w:p>
      <w:pPr>
        <w:jc w:val="both"/>
        <w:ind w:left="324" w:hanging="324"/>
        <w:spacing w:after="0" w:line="235" w:lineRule="auto"/>
        <w:tabs>
          <w:tab w:leader="none" w:pos="3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Section 4F, if your employment is involuntarily terminated by the Company (other than a termination as a result of disability determined under the provisions of the Company’s long-term disability plan, or cause or gross misconduct as determined by the Committee) at any time, any vesting period with respect to the Option shall be deemed to be satisfied and you may exercise the Option upon the date of such termination of employment, and the Option shall remain exercisable until the date that is five (5) years following the date of such termination of employment, provided that in no event will such date extend beyond the Expiration Date set forth in the Grant Notice.</w:t>
      </w: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8" w:right="339" w:bottom="1440" w:gutter="0" w:footer="0" w:header="0"/>
        </w:sectPr>
      </w:pPr>
    </w:p>
    <w:bookmarkStart w:id="131" w:name="page132"/>
    <w:bookmarkEnd w:id="131"/>
    <w:p>
      <w:pPr>
        <w:jc w:val="both"/>
        <w:ind w:left="980" w:hanging="324"/>
        <w:spacing w:after="0" w:line="238" w:lineRule="auto"/>
        <w:tabs>
          <w:tab w:leader="none" w:pos="9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foregoing Sections 4A through 4G: (i) you may exercise any portion of the Option that is vested and exercisable at the time of your termination of employment until the date that is three (3) months following the date of such termination of employment; and (ii) any portion of the Option that is not vested and exercisable at the time of such termination of employment shall be forfeited and canceled as of the date of such termination of employment.</w:t>
      </w:r>
    </w:p>
    <w:p>
      <w:pPr>
        <w:spacing w:after="0" w:line="203" w:lineRule="exact"/>
        <w:rPr>
          <w:rFonts w:ascii="Times New Roman" w:cs="Times New Roman" w:eastAsia="Times New Roman" w:hAnsi="Times New Roman"/>
          <w:sz w:val="22"/>
          <w:szCs w:val="22"/>
          <w:color w:val="auto"/>
        </w:rPr>
      </w:pPr>
    </w:p>
    <w:p>
      <w:pPr>
        <w:jc w:val="both"/>
        <w:ind w:left="980" w:hanging="324"/>
        <w:spacing w:after="0" w:line="239" w:lineRule="auto"/>
        <w:tabs>
          <w:tab w:leader="none" w:pos="9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4, if your employment is terminated by the Company for deliberate, willful or gross misconduct (as determined by the Committee), the unexercised portion of the Option, whether or not then vested and exercisable, shall be immediately forfeited and canceled as of the date of such termination of employment.</w:t>
      </w:r>
    </w:p>
    <w:p>
      <w:pPr>
        <w:spacing w:after="0" w:line="20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PROTECTION OF CONFIDENTIAL INFORMATION AND TRADE SECRETS</w:t>
      </w:r>
    </w:p>
    <w:p>
      <w:pPr>
        <w:spacing w:after="0" w:line="233" w:lineRule="exact"/>
        <w:rPr>
          <w:rFonts w:ascii="Times New Roman" w:cs="Times New Roman" w:eastAsia="Times New Roman" w:hAnsi="Times New Roman"/>
          <w:sz w:val="22"/>
          <w:szCs w:val="22"/>
          <w:b w:val="1"/>
          <w:bCs w:val="1"/>
          <w:color w:val="auto"/>
        </w:rPr>
      </w:pPr>
    </w:p>
    <w:p>
      <w:pPr>
        <w:ind w:left="1400" w:hanging="744"/>
        <w:spacing w:after="0"/>
        <w:tabs>
          <w:tab w:leader="none" w:pos="1400"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TRADE SECRETS</w:t>
      </w:r>
    </w:p>
    <w:p>
      <w:pPr>
        <w:spacing w:after="0" w:line="237"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2"/>
          <w:szCs w:val="22"/>
          <w:color w:val="auto"/>
        </w:rPr>
        <w:t>You acknowledge that the Company regards certain information relating to its business and operations as confidential. This includes all confidential and proprietary information concerning the assets, business or affairs of the Company or any customers thereof (“Confidential Information”). You further acknowledge that the Company has certain information that derives economic value from not being known to the public or to others who could obtain economic value from its disclosure or use, which the Company takes reasonable efforts to protect the secrecy of (“Trade Secrets”).</w:t>
      </w:r>
    </w:p>
    <w:p>
      <w:pPr>
        <w:spacing w:after="0" w:line="204" w:lineRule="exact"/>
        <w:rPr>
          <w:sz w:val="20"/>
          <w:szCs w:val="20"/>
          <w:color w:val="auto"/>
        </w:rPr>
      </w:pPr>
    </w:p>
    <w:p>
      <w:pPr>
        <w:ind w:left="1400" w:hanging="744"/>
        <w:spacing w:after="0"/>
        <w:tabs>
          <w:tab w:leader="none" w:pos="140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TYPES OF CONFIDENTIAL INFORMATION OR TRADE SECRETS</w:t>
      </w:r>
    </w:p>
    <w:p>
      <w:pPr>
        <w:spacing w:after="0" w:line="237"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You acknowledge that you developed and/or obtained, or have had and will in the future continue to have access to, one or more of the following types of Confidential Information or Trade Secrets: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constitute gross misconduct.</w:t>
      </w:r>
    </w:p>
    <w:p>
      <w:pPr>
        <w:spacing w:after="0" w:line="214"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2" w:name="page133"/>
    <w:bookmarkEnd w:id="132"/>
    <w:p>
      <w:pPr>
        <w:ind w:left="704" w:hanging="704"/>
        <w:spacing w:after="0"/>
        <w:tabs>
          <w:tab w:leader="none" w:pos="704"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 TO MAINTAIN CONFIDENTIAL INFORMATION</w:t>
      </w:r>
    </w:p>
    <w:p>
      <w:pPr>
        <w:spacing w:after="0" w:line="237" w:lineRule="exact"/>
        <w:rPr>
          <w:sz w:val="20"/>
          <w:szCs w:val="20"/>
          <w:color w:val="auto"/>
        </w:rPr>
      </w:pPr>
    </w:p>
    <w:p>
      <w:pPr>
        <w:jc w:val="both"/>
        <w:ind w:left="644"/>
        <w:spacing w:after="0" w:line="235" w:lineRule="auto"/>
        <w:rPr>
          <w:sz w:val="20"/>
          <w:szCs w:val="20"/>
          <w:color w:val="auto"/>
        </w:rPr>
      </w:pPr>
      <w:r>
        <w:rPr>
          <w:rFonts w:ascii="Times New Roman" w:cs="Times New Roman" w:eastAsia="Times New Roman" w:hAnsi="Times New Roman"/>
          <w:sz w:val="22"/>
          <w:szCs w:val="22"/>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206" w:lineRule="exact"/>
        <w:rPr>
          <w:sz w:val="20"/>
          <w:szCs w:val="20"/>
          <w:color w:val="auto"/>
        </w:rPr>
      </w:pPr>
    </w:p>
    <w:p>
      <w:pPr>
        <w:ind w:left="704" w:hanging="704"/>
        <w:spacing w:after="0"/>
        <w:tabs>
          <w:tab w:leader="none" w:pos="704"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 NOTICE OF EMPLOYMENT</w:t>
      </w:r>
    </w:p>
    <w:p>
      <w:pPr>
        <w:spacing w:after="0" w:line="237" w:lineRule="exact"/>
        <w:rPr>
          <w:sz w:val="20"/>
          <w:szCs w:val="20"/>
          <w:color w:val="auto"/>
        </w:rPr>
      </w:pPr>
    </w:p>
    <w:p>
      <w:pPr>
        <w:jc w:val="both"/>
        <w:ind w:left="644"/>
        <w:spacing w:after="0" w:line="246" w:lineRule="auto"/>
        <w:rPr>
          <w:sz w:val="20"/>
          <w:szCs w:val="20"/>
          <w:color w:val="auto"/>
        </w:rPr>
      </w:pPr>
      <w:r>
        <w:rPr>
          <w:rFonts w:ascii="Times New Roman" w:cs="Times New Roman" w:eastAsia="Times New Roman" w:hAnsi="Times New Roman"/>
          <w:sz w:val="21"/>
          <w:szCs w:val="21"/>
          <w:color w:val="auto"/>
        </w:rPr>
        <w:t>You acknowledge that if you become an employee, contractor, or consultant for any other person or entity engaged in the Business of the Company, as defined in Section 5(G),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one (1) year after you leave the Company, before accepting any employment or affiliation with another person or entity,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194" w:lineRule="exact"/>
        <w:rPr>
          <w:sz w:val="20"/>
          <w:szCs w:val="20"/>
          <w:color w:val="auto"/>
        </w:rPr>
      </w:pPr>
    </w:p>
    <w:p>
      <w:pPr>
        <w:ind w:left="744" w:hanging="744"/>
        <w:spacing w:after="0"/>
        <w:tabs>
          <w:tab w:leader="none" w:pos="744"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 OF CUSTOMERS</w:t>
      </w:r>
    </w:p>
    <w:p>
      <w:pPr>
        <w:spacing w:after="0" w:line="237" w:lineRule="exact"/>
        <w:rPr>
          <w:sz w:val="20"/>
          <w:szCs w:val="20"/>
          <w:color w:val="auto"/>
        </w:rPr>
      </w:pPr>
    </w:p>
    <w:p>
      <w:pPr>
        <w:jc w:val="both"/>
        <w:ind w:left="644"/>
        <w:spacing w:after="0" w:line="234" w:lineRule="auto"/>
        <w:rPr>
          <w:sz w:val="20"/>
          <w:szCs w:val="20"/>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call on or solicit any of the Company’s customers with whom you had personal contact or about whom you received Confidential or Trade Secret information during the period from the Grant Date of this Award until the Restriction Period Termination Date (or, if earlier, the date your employment with the Company ceased), for the purpose of providing the customers with goods and/or services similar in nature to those provided by the Company in its Business as defined below in Section 5(G), within any State in which the Company does business.</w:t>
      </w: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67" w:right="339" w:bottom="1440" w:gutter="0" w:footer="0" w:header="0"/>
        </w:sectPr>
      </w:pPr>
    </w:p>
    <w:bookmarkStart w:id="133" w:name="page134"/>
    <w:bookmarkEnd w:id="133"/>
    <w:p>
      <w:pPr>
        <w:ind w:left="644" w:hanging="644"/>
        <w:spacing w:after="0"/>
        <w:tabs>
          <w:tab w:leader="none" w:pos="644"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NON-SOLICITATION OF EMPLOYEES</w:t>
      </w:r>
    </w:p>
    <w:p>
      <w:pPr>
        <w:spacing w:after="0" w:line="237" w:lineRule="exact"/>
        <w:rPr>
          <w:rFonts w:ascii="Times New Roman" w:cs="Times New Roman" w:eastAsia="Times New Roman" w:hAnsi="Times New Roman"/>
          <w:sz w:val="22"/>
          <w:szCs w:val="22"/>
          <w:b w:val="1"/>
          <w:bCs w:val="1"/>
          <w:color w:val="auto"/>
        </w:rPr>
      </w:pPr>
    </w:p>
    <w:p>
      <w:pPr>
        <w:jc w:val="both"/>
        <w:ind w:left="644"/>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participate in hiring or attempting to hire away a Company employee or contractor, or induce or encourage any employees or contractors of the Company to terminate their relationship with the Company, whom you worked with, managed, or supervised without prior written consent of the Sr. HR Officer.</w:t>
      </w:r>
    </w:p>
    <w:p>
      <w:pPr>
        <w:spacing w:after="0" w:line="206" w:lineRule="exact"/>
        <w:rPr>
          <w:rFonts w:ascii="Times New Roman" w:cs="Times New Roman" w:eastAsia="Times New Roman" w:hAnsi="Times New Roman"/>
          <w:sz w:val="22"/>
          <w:szCs w:val="22"/>
          <w:b w:val="1"/>
          <w:bCs w:val="1"/>
          <w:color w:val="auto"/>
        </w:rPr>
      </w:pPr>
    </w:p>
    <w:p>
      <w:pPr>
        <w:ind w:left="704" w:hanging="704"/>
        <w:spacing w:after="0"/>
        <w:tabs>
          <w:tab w:leader="none" w:pos="704"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NON-COMPETITION</w:t>
      </w:r>
    </w:p>
    <w:p>
      <w:pPr>
        <w:spacing w:after="0" w:line="237" w:lineRule="exact"/>
        <w:rPr>
          <w:sz w:val="20"/>
          <w:szCs w:val="20"/>
          <w:color w:val="auto"/>
        </w:rPr>
      </w:pPr>
    </w:p>
    <w:p>
      <w:pPr>
        <w:jc w:val="both"/>
        <w:ind w:left="644"/>
        <w:spacing w:after="0" w:line="232" w:lineRule="auto"/>
        <w:rPr>
          <w:sz w:val="20"/>
          <w:szCs w:val="20"/>
          <w:color w:val="auto"/>
        </w:rPr>
      </w:pPr>
      <w:r>
        <w:rPr>
          <w:rFonts w:ascii="Times New Roman" w:cs="Times New Roman" w:eastAsia="Times New Roman" w:hAnsi="Times New Roman"/>
          <w:sz w:val="22"/>
          <w:szCs w:val="22"/>
          <w:color w:val="auto"/>
        </w:rPr>
        <w:t>In consideration for your employment with the Company, the financial and other benefits you received from that employment, and/or access to Confidential Information and/or Trade Secrets, as defined in this Agreement, you agree that during employment with the Company, and for a period of one (1) year following your departure from the Company, you will not (directly or indirectly, in association with others or otherwise)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in which the Company does business. For the avoidance of doubt, the term “State” as used in this agreement shall be interpreted to include any legal territory of the United States where the Company does business, including, by way of example, the District of Columbia. Further, for purposes of these Standard Terms and Conditions,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 This Section 5(G) is not intended to prevent you from engaging in any activity that is not substantially the same as or competitive with the Company’s Business.</w:t>
      </w: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67" w:right="339" w:bottom="1440" w:gutter="0" w:footer="0" w:header="0"/>
        </w:sectPr>
      </w:pPr>
    </w:p>
    <w:bookmarkStart w:id="134" w:name="page135"/>
    <w:bookmarkEnd w:id="134"/>
    <w:p>
      <w:pPr>
        <w:ind w:left="704" w:hanging="704"/>
        <w:spacing w:after="0"/>
        <w:tabs>
          <w:tab w:leader="none" w:pos="704"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STATE LAW LIMITATIONS</w:t>
      </w:r>
    </w:p>
    <w:p>
      <w:pPr>
        <w:spacing w:after="0" w:line="237" w:lineRule="exact"/>
        <w:rPr>
          <w:sz w:val="20"/>
          <w:szCs w:val="20"/>
          <w:color w:val="auto"/>
        </w:rPr>
      </w:pPr>
    </w:p>
    <w:p>
      <w:pPr>
        <w:jc w:val="both"/>
        <w:ind w:left="644"/>
        <w:spacing w:after="0" w:line="239" w:lineRule="auto"/>
        <w:rPr>
          <w:sz w:val="20"/>
          <w:szCs w:val="20"/>
          <w:color w:val="auto"/>
        </w:rPr>
      </w:pPr>
      <w:r>
        <w:rPr>
          <w:rFonts w:ascii="Times New Roman" w:cs="Times New Roman" w:eastAsia="Times New Roman" w:hAnsi="Times New Roman"/>
          <w:sz w:val="22"/>
          <w:szCs w:val="22"/>
          <w:color w:val="auto"/>
        </w:rPr>
        <w:t>This Section 5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paragraphs above apply to you in full.</w:t>
      </w:r>
    </w:p>
    <w:p>
      <w:pPr>
        <w:spacing w:after="0" w:line="207" w:lineRule="exact"/>
        <w:rPr>
          <w:sz w:val="20"/>
          <w:szCs w:val="20"/>
          <w:color w:val="auto"/>
        </w:rPr>
      </w:pPr>
    </w:p>
    <w:p>
      <w:pPr>
        <w:ind w:left="1344" w:hanging="696"/>
        <w:spacing w:after="0"/>
        <w:tabs>
          <w:tab w:leader="none" w:pos="13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California:</w:t>
      </w:r>
    </w:p>
    <w:p>
      <w:pPr>
        <w:spacing w:after="0" w:line="233" w:lineRule="exact"/>
        <w:rPr>
          <w:rFonts w:ascii="Times New Roman" w:cs="Times New Roman" w:eastAsia="Times New Roman" w:hAnsi="Times New Roman"/>
          <w:sz w:val="22"/>
          <w:szCs w:val="22"/>
          <w:color w:val="auto"/>
        </w:rPr>
      </w:pPr>
    </w:p>
    <w:p>
      <w:pPr>
        <w:jc w:val="both"/>
        <w:ind w:left="1304" w:hanging="8"/>
        <w:spacing w:after="0" w:line="244" w:lineRule="auto"/>
        <w:tabs>
          <w:tab w:leader="none" w:pos="235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(E) does not apply to you, except that you agree that you will be prohibited from solicitation of the Company’s clients using the Company’s trade secrets, and/or providing services for anyone other than the Company using the Company’s trade secrets.</w:t>
      </w:r>
    </w:p>
    <w:p>
      <w:pPr>
        <w:spacing w:after="0" w:line="200" w:lineRule="exact"/>
        <w:rPr>
          <w:rFonts w:ascii="Times New Roman" w:cs="Times New Roman" w:eastAsia="Times New Roman" w:hAnsi="Times New Roman"/>
          <w:sz w:val="22"/>
          <w:szCs w:val="22"/>
          <w:color w:val="auto"/>
        </w:rPr>
      </w:pPr>
    </w:p>
    <w:p>
      <w:pPr>
        <w:ind w:left="2024" w:hanging="728"/>
        <w:spacing w:after="0"/>
        <w:tabs>
          <w:tab w:leader="none" w:pos="202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(F) and (G) do not apply to you.</w:t>
      </w:r>
    </w:p>
    <w:p>
      <w:pPr>
        <w:spacing w:after="0" w:line="233" w:lineRule="exact"/>
        <w:rPr>
          <w:sz w:val="20"/>
          <w:szCs w:val="20"/>
          <w:color w:val="auto"/>
        </w:rPr>
      </w:pPr>
    </w:p>
    <w:p>
      <w:pPr>
        <w:jc w:val="both"/>
        <w:ind w:left="1304" w:hanging="656"/>
        <w:spacing w:after="0" w:line="245" w:lineRule="auto"/>
        <w:tabs>
          <w:tab w:leader="none" w:pos="17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employees based in Colorado, Section (G) does not apply to you unless your annualized cash compensation from the Company exceeds the threshold set by the Colorado Department of Labor and Employment, Division of Labor Standards and Statistics. As of 2023, this threshold was $112,500. As of 2024, this threshold is scheduled to be $123,750.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 Section (E) does not apply to you unless your annualized cash compensation from the Company exceeds the threshold set by the Colorado Department of Labor and Employment, Division of Labor Standards and Statistics. As of 2023, this threshold was $67,500. As of 2024, this threshold is scheduled to be $74,250.</w:t>
      </w:r>
    </w:p>
    <w:p>
      <w:pPr>
        <w:spacing w:after="0" w:line="204" w:lineRule="exact"/>
        <w:rPr>
          <w:rFonts w:ascii="Times New Roman" w:cs="Times New Roman" w:eastAsia="Times New Roman" w:hAnsi="Times New Roman"/>
          <w:sz w:val="21"/>
          <w:szCs w:val="21"/>
          <w:color w:val="auto"/>
        </w:rPr>
      </w:pPr>
    </w:p>
    <w:p>
      <w:pPr>
        <w:jc w:val="both"/>
        <w:ind w:left="1304" w:hanging="656"/>
        <w:spacing w:after="0" w:line="235" w:lineRule="auto"/>
        <w:tabs>
          <w:tab w:leader="none" w:pos="142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the District of Columbia, Sections (E) and (G) do not apply to you unless you are reasonably expected to earn in a consecutive 12-month period or have earned in the preceding 12-month period, compensation greater than or equal to the threshold set by the District of Columbia Non-Compete Agreements Amendment Act of 2020, as amended. As of 2023, this threshold was $150,000, and the District of Columbia may announce a higher threshold for 2024. For purposes of this agreement, an employee based in the District of Columbia who meets this compensation threshold shall be deemed a “Highly Compensated Employee.”</w:t>
      </w: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79375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67" w:right="339" w:bottom="1440" w:gutter="0" w:footer="0" w:header="0"/>
        </w:sectPr>
      </w:pPr>
    </w:p>
    <w:bookmarkStart w:id="135" w:name="page136"/>
    <w:bookmarkEnd w:id="135"/>
    <w:p>
      <w:pPr>
        <w:jc w:val="both"/>
        <w:ind w:left="840" w:hanging="656"/>
        <w:spacing w:after="0" w:line="244" w:lineRule="auto"/>
        <w:tabs>
          <w:tab w:leader="none" w:pos="99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employees based in Illinois, Section (G) does not apply to you unless (a) you earn more than $75,000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 Sections (E) and (F) do not apply to you unless you (a) earn more than $45,000 per year (or any higher amount set by the Illinois Freedom to Work Act for future years), or (b)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termination for the period of enforcement minus compensation earned through subsequent employment during the period of enforcement.</w:t>
      </w:r>
    </w:p>
    <w:p>
      <w:pPr>
        <w:spacing w:after="0" w:line="210" w:lineRule="exact"/>
        <w:rPr>
          <w:rFonts w:ascii="Times New Roman" w:cs="Times New Roman" w:eastAsia="Times New Roman" w:hAnsi="Times New Roman"/>
          <w:sz w:val="21"/>
          <w:szCs w:val="21"/>
          <w:color w:val="auto"/>
        </w:rPr>
      </w:pPr>
    </w:p>
    <w:p>
      <w:pPr>
        <w:ind w:left="840" w:right="20" w:hanging="656"/>
        <w:spacing w:after="0" w:line="258" w:lineRule="auto"/>
        <w:tabs>
          <w:tab w:leader="none" w:pos="132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Louisiana, you agree that the Company operates throughout the State of Louisiana, and that Section 6 therefore applies in every parish and municipality in the State.</w:t>
      </w:r>
    </w:p>
    <w:p>
      <w:pPr>
        <w:spacing w:after="0" w:line="185" w:lineRule="exact"/>
        <w:rPr>
          <w:rFonts w:ascii="Times New Roman" w:cs="Times New Roman" w:eastAsia="Times New Roman" w:hAnsi="Times New Roman"/>
          <w:sz w:val="22"/>
          <w:szCs w:val="22"/>
          <w:color w:val="auto"/>
        </w:rPr>
      </w:pPr>
    </w:p>
    <w:p>
      <w:pPr>
        <w:ind w:left="980" w:hanging="796"/>
        <w:spacing w:after="0"/>
        <w:tabs>
          <w:tab w:leader="none" w:pos="9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Minnesota, Section (G) does not apply to you.</w:t>
      </w:r>
    </w:p>
    <w:p>
      <w:pPr>
        <w:spacing w:after="0" w:line="233" w:lineRule="exact"/>
        <w:rPr>
          <w:rFonts w:ascii="Times New Roman" w:cs="Times New Roman" w:eastAsia="Times New Roman" w:hAnsi="Times New Roman"/>
          <w:sz w:val="22"/>
          <w:szCs w:val="22"/>
          <w:color w:val="auto"/>
        </w:rPr>
      </w:pPr>
    </w:p>
    <w:p>
      <w:pPr>
        <w:jc w:val="both"/>
        <w:ind w:left="840" w:hanging="656"/>
        <w:spacing w:after="0" w:line="244" w:lineRule="auto"/>
        <w:tabs>
          <w:tab w:leader="none" w:pos="95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New York, Section (E) does not apply to any customer that became a customer of the Company only as a result of your independent contact and business development efforts with the customer before and independent from your employment with the Company.</w:t>
      </w:r>
    </w:p>
    <w:p>
      <w:pPr>
        <w:spacing w:after="0" w:line="200" w:lineRule="exact"/>
        <w:rPr>
          <w:rFonts w:ascii="Times New Roman" w:cs="Times New Roman" w:eastAsia="Times New Roman" w:hAnsi="Times New Roman"/>
          <w:sz w:val="22"/>
          <w:szCs w:val="22"/>
          <w:color w:val="auto"/>
        </w:rPr>
      </w:pPr>
    </w:p>
    <w:p>
      <w:pPr>
        <w:ind w:left="1040" w:hanging="856"/>
        <w:spacing w:after="0"/>
        <w:tabs>
          <w:tab w:leader="none" w:pos="10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North Dakota, Sections (E) and (G) do not apply to you.</w:t>
      </w: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136" w:name="page137"/>
    <w:bookmarkEnd w:id="136"/>
    <w:p>
      <w:pPr>
        <w:ind w:left="2100" w:hanging="796"/>
        <w:spacing w:after="0"/>
        <w:tabs>
          <w:tab w:leader="none" w:pos="21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Oklahoma:</w:t>
      </w:r>
    </w:p>
    <w:p>
      <w:pPr>
        <w:spacing w:after="0" w:line="233" w:lineRule="exact"/>
        <w:rPr>
          <w:rFonts w:ascii="Times New Roman" w:cs="Times New Roman" w:eastAsia="Times New Roman" w:hAnsi="Times New Roman"/>
          <w:sz w:val="22"/>
          <w:szCs w:val="22"/>
          <w:color w:val="auto"/>
        </w:rPr>
      </w:pPr>
    </w:p>
    <w:p>
      <w:pPr>
        <w:jc w:val="both"/>
        <w:ind w:left="1960" w:hanging="8"/>
        <w:spacing w:after="0" w:line="238" w:lineRule="auto"/>
        <w:tabs>
          <w:tab w:leader="none" w:pos="279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pacing w:after="0" w:line="203" w:lineRule="exact"/>
        <w:rPr>
          <w:rFonts w:ascii="Times New Roman" w:cs="Times New Roman" w:eastAsia="Times New Roman" w:hAnsi="Times New Roman"/>
          <w:sz w:val="22"/>
          <w:szCs w:val="22"/>
          <w:color w:val="auto"/>
        </w:rPr>
      </w:pPr>
    </w:p>
    <w:p>
      <w:pPr>
        <w:ind w:left="2740" w:hanging="788"/>
        <w:spacing w:after="0"/>
        <w:tabs>
          <w:tab w:leader="none" w:pos="27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(F) and (G) do not apply to you.</w:t>
      </w:r>
    </w:p>
    <w:p>
      <w:pPr>
        <w:spacing w:after="0" w:line="233" w:lineRule="exact"/>
        <w:rPr>
          <w:rFonts w:ascii="Times New Roman" w:cs="Times New Roman" w:eastAsia="Times New Roman" w:hAnsi="Times New Roman"/>
          <w:sz w:val="22"/>
          <w:szCs w:val="22"/>
          <w:color w:val="auto"/>
        </w:rPr>
      </w:pPr>
    </w:p>
    <w:p>
      <w:pPr>
        <w:jc w:val="both"/>
        <w:ind w:left="1960" w:hanging="656"/>
        <w:spacing w:after="0" w:line="239" w:lineRule="auto"/>
        <w:tabs>
          <w:tab w:leader="none" w:pos="211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based in the State of Washington, Section (G) does not apply to you unless your annual earnings from your employment with the Company exceed the threshold established by the Washington Department of Labor and Industries pursuant to RCW 49.62.040. As of 2023, this threshold was $116,593.18. As of 2024, the Department has announced that this threshold will be $120,559.99.</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INJUNCTIVE RELIEF</w:t>
      </w:r>
    </w:p>
    <w:p>
      <w:pPr>
        <w:spacing w:after="0" w:line="23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5, the damage to the Company would be irreparable. You therefore agree that the Company, in addition to any other remedies available to it, including, without limitation, the remedies set forth in Sections 7 and 8, shall be entitled to injunctive relief against your breach or threaten breach of said covenants, to the extent they apply in the State in which your employment with the Company is based. You and the Company further agree that, in the event that any one or more of the provisions of Section 5 shall be determined by any court of competent jurisdiction to be unenforceable by reason of it being overly broad, such provision shall be deemed to be modified to permit its enforcement to the maximum extent permitted by law.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7" w:name="page138"/>
    <w:bookmarkEnd w:id="137"/>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VIOLATION OF PROMISES</w:t>
      </w:r>
    </w:p>
    <w:p>
      <w:pPr>
        <w:spacing w:after="0" w:line="237"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You agree that if you violate any one or more of the promises set forth in Section 5 then, in lieu of or in addition to any other remedies available to Company as permitted by applicable law, all unvested Stock Options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5, the vesting of this Grant may be suspended pending a determination of whether you violated any such provision by a tribunal as specified in Section 8 and 10. In addition, in lieu of or in addition to any remedy provided for in Section 6, at any time the Company may seek in any such proceeding that you be required to immediately deliver to the Company any shares of Common Stock (or the fair market value thereof) and any related Dividend Equivalent Payments earned by or issued to you pursuant to this Grant at any time during the three (3) full fiscal years preceding the Notice Date. You agree that you will deliver such shares of Common Stock (or the fair market value thereof) and any related Dividend Equivalent Payments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and any related Dividend Equivalent Payments against any amount that might be owed to you by the Company. For the avoidance of doubt, this paragraph shall apply only to the extent the promises set forth in Section 5, is applicable in the State in which your employment with the Company is based.</w:t>
      </w:r>
    </w:p>
    <w:p>
      <w:pPr>
        <w:spacing w:after="0" w:line="2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233"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p>
    <w:p>
      <w:pPr>
        <w:spacing w:after="0" w:line="237" w:lineRule="exact"/>
        <w:rPr>
          <w:rFonts w:ascii="Times New Roman" w:cs="Times New Roman" w:eastAsia="Times New Roman" w:hAnsi="Times New Roman"/>
          <w:sz w:val="22"/>
          <w:szCs w:val="22"/>
          <w:b w:val="1"/>
          <w:bCs w:val="1"/>
          <w:color w:val="auto"/>
        </w:rPr>
      </w:pPr>
    </w:p>
    <w:p>
      <w:pPr>
        <w:jc w:val="both"/>
        <w:ind w:left="660" w:hanging="4"/>
        <w:spacing w:after="0" w:line="244" w:lineRule="auto"/>
        <w:tabs>
          <w:tab w:leader="none" w:pos="1598"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each agree that any controversy, claim, or dispute arising out of or relating to these Standard Terms and Conditions or arising out of or relating to your employment relationship with the Company or any of its affiliates, the termination of such relationship, or your conduct following the termination of such relationship,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8" w:name="page139"/>
    <w:bookmarkEnd w:id="138"/>
    <w:p>
      <w:pPr>
        <w:ind w:left="980" w:hanging="324"/>
        <w:spacing w:after="0"/>
        <w:tabs>
          <w:tab w:leader="none" w:pos="98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disputes arising under Sections 5 and 7 of these Terms and Conditions, the parties will submit the dispute, within</w:t>
      </w:r>
    </w:p>
    <w:p>
      <w:pPr>
        <w:spacing w:after="0" w:line="25" w:lineRule="exact"/>
        <w:rPr>
          <w:rFonts w:ascii="Times New Roman" w:cs="Times New Roman" w:eastAsia="Times New Roman" w:hAnsi="Times New Roman"/>
          <w:sz w:val="21"/>
          <w:szCs w:val="21"/>
          <w:color w:val="auto"/>
        </w:rPr>
      </w:pPr>
    </w:p>
    <w:p>
      <w:pPr>
        <w:jc w:val="both"/>
        <w:ind w:left="66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Sections 5 and 7, to the extent those covenants apply in the State in which your employment with the Company is based. The arbitrator will have no authority to order a modification or amendment of these Standard Terms and Conditions, except that if the arbitrator finds any covenant in Sections 5 and 7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209" w:lineRule="exact"/>
        <w:rPr>
          <w:rFonts w:ascii="Times New Roman" w:cs="Times New Roman" w:eastAsia="Times New Roman" w:hAnsi="Times New Roman"/>
          <w:sz w:val="21"/>
          <w:szCs w:val="21"/>
          <w:color w:val="auto"/>
        </w:rPr>
      </w:pPr>
    </w:p>
    <w:p>
      <w:pPr>
        <w:jc w:val="both"/>
        <w:ind w:left="660" w:hanging="4"/>
        <w:spacing w:after="0" w:line="236" w:lineRule="auto"/>
        <w:tabs>
          <w:tab w:leader="none" w:pos="169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may seek injunctive relief to enforce any one or more of the covenants set forth in Sections 5 or 7 of these Terms and Conditions, in a court of competent jurisdiction, as set forth in Section 10 below. You specifically agree that a court of competent jurisdiction may enter preliminary injunctive relief to restrain violations of any of the covenants in Sections 5 or 7 of these Terms and Conditions, pending arbitration or other litigation. For the avoidance of doubt, this provision only applies to the promises set forth in Sections 5 or 7, to the extent those Sections are applicable in the State in which your employment with the Company is based.</w:t>
      </w:r>
    </w:p>
    <w:p>
      <w:pPr>
        <w:spacing w:after="0" w:line="20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37" w:lineRule="exact"/>
        <w:rPr>
          <w:rFonts w:ascii="Times New Roman" w:cs="Times New Roman" w:eastAsia="Times New Roman" w:hAnsi="Times New Roman"/>
          <w:sz w:val="22"/>
          <w:szCs w:val="22"/>
          <w:b w:val="1"/>
          <w:bCs w:val="1"/>
          <w:color w:val="auto"/>
        </w:rPr>
      </w:pPr>
    </w:p>
    <w:p>
      <w:pPr>
        <w:jc w:val="both"/>
        <w:ind w:left="660"/>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provision of these Standard Terms and Conditions is, becomes, or is deemed to be invalid, illegal, or unenforceable in any jurisdiction, such provision shall be construed or deemed amended or limited in scope to conform to applicable laws or, in the discretion of the Company, it shall be stricken and the remainder of these Standard Terms and Conditions shall remain in force and effect.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9" w:name="page140"/>
    <w:bookmarkEnd w:id="139"/>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CHOICE OF LAW; JURISDICTION</w:t>
      </w:r>
    </w:p>
    <w:p>
      <w:pPr>
        <w:spacing w:after="0" w:line="23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All questions pertaining to the construction, regulation, validity, and effect of these Standard Terms and Conditions shall be determined in accordance with the laws of the State of Utah, without regard to the conflict of laws doctrine, with the exception of Sections 5 or 7. All questions pertaining to the construction, regulation, validity, and effect of Sections 5 or 7 shall be determined in accordance with the laws of the State in which your employment with the Company is based. With respect to any claim or dispute involving your Grant and/or these Standard Terms and Conditions that is not subject to the arbitration pursuant to Section 10 hereof, other than those arising from Sections 5 or 7,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and these Standard Terms and Conditions (including all terms incorporated by reference into these Standard Terms and Conditions).</w:t>
      </w:r>
    </w:p>
    <w:p>
      <w:pPr>
        <w:spacing w:after="0" w:line="197" w:lineRule="exact"/>
        <w:rPr>
          <w:sz w:val="20"/>
          <w:szCs w:val="20"/>
          <w:color w:val="auto"/>
        </w:rPr>
      </w:pPr>
    </w:p>
    <w:p>
      <w:pPr>
        <w:ind w:left="760" w:hanging="752"/>
        <w:spacing w:after="0"/>
        <w:tabs>
          <w:tab w:leader="none" w:pos="7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Plan and these Standard Terms and Conditions may be amended or altered by the Committee or the Company’s Board of Directors to the extent provided in the Plan.</w:t>
      </w:r>
    </w:p>
    <w:p>
      <w:pPr>
        <w:spacing w:after="0" w:line="181" w:lineRule="exact"/>
        <w:rPr>
          <w:sz w:val="20"/>
          <w:szCs w:val="20"/>
          <w:color w:val="auto"/>
        </w:rPr>
      </w:pPr>
    </w:p>
    <w:p>
      <w:pPr>
        <w:ind w:left="760" w:hanging="752"/>
        <w:spacing w:after="0"/>
        <w:tabs>
          <w:tab w:leader="none" w:pos="7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 ACQUIRED PURSUANT TO OPTION EXERCISE</w:t>
      </w:r>
    </w:p>
    <w:p>
      <w:pPr>
        <w:spacing w:after="0" w:line="23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you or other subsequent transfers by you of any Common Stock issued as a result of the exercise of the Option, including without limitation (a) restrictions under an insider trading policy, (b) restrictions designed to delay and/or coordinate the timing and manner of sales by you and other option holders and (c) restrictions as to the use of a specified brokerage firm for such resales or other transfers.</w:t>
      </w:r>
    </w:p>
    <w:p>
      <w:pPr>
        <w:spacing w:after="0" w:line="200" w:lineRule="exact"/>
        <w:rPr>
          <w:sz w:val="20"/>
          <w:szCs w:val="20"/>
          <w:color w:val="auto"/>
        </w:rPr>
      </w:pPr>
    </w:p>
    <w:p>
      <w:pPr>
        <w:ind w:left="760" w:hanging="752"/>
        <w:spacing w:after="0"/>
        <w:tabs>
          <w:tab w:leader="none" w:pos="7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Company shall not deliver shares of Common Stock in respect of the exercise of any Option unless and until you have made satisfactory arrangements to pay or otherwise satisfy all applicable tax withholding obligations. Unless you pay the tax withholding obligations to the Company by cash or check in connection with the exercise of the Option, tax withholding may be effected, at the Company’s option, by withholding Common Stock issuable in connection with the exercise of the Option (provided that shares of Common Stock may be withheld only to the extent that such tax withholding will not result in adverse accounting treatment for the Company). You acknowledge that the Company shall have the right to deduct any taxes required to be withheld by law in connection with the exercise of the Option from any amounts payable by it to you (including, without limitation, future cash wages).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0" w:name="page141"/>
    <w:bookmarkEnd w:id="140"/>
    <w:p>
      <w:pPr>
        <w:ind w:left="760" w:hanging="752"/>
        <w:spacing w:after="0"/>
        <w:tabs>
          <w:tab w:leader="none" w:pos="7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w:t>
      </w:r>
    </w:p>
    <w:p>
      <w:pPr>
        <w:spacing w:after="0" w:line="237"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You understand, acknowledge and agree that, except as permitted under the Plan, you may not assign or transfer the Option to anyone other than by will or the laws of descent and distribution and the Option shall be exercisable only by you during your lifetime or, following your death, by your beneficiary. The Company may cancel your Option if you attempt to assign or transfer it in a manner inconsistent with this Section 14. Your beneficiaries and anyone claiming an interest in the Option through you are subject to all of the terms and conditions applicable to you, other than the covenants set forth in Section 5.</w:t>
      </w:r>
    </w:p>
    <w:p>
      <w:pPr>
        <w:spacing w:after="0" w:line="177" w:lineRule="exact"/>
        <w:rPr>
          <w:sz w:val="20"/>
          <w:szCs w:val="20"/>
          <w:color w:val="auto"/>
        </w:rPr>
      </w:pPr>
    </w:p>
    <w:p>
      <w:pPr>
        <w:ind w:left="760" w:hanging="752"/>
        <w:spacing w:after="0"/>
        <w:tabs>
          <w:tab w:leader="none" w:pos="7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 AND RECOUPMENT</w:t>
      </w:r>
    </w:p>
    <w:p>
      <w:pPr>
        <w:spacing w:after="0" w:line="237"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color w:val="auto"/>
        </w:rPr>
        <w:t>If you are or become a Covered Executive or Other Executive under the Company’s Policy for Recoupment of Certain Compensation, you agree that your Option, and shares issuable upon exercise of the Option, are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pacing w:after="0" w:line="214" w:lineRule="exact"/>
        <w:rPr>
          <w:sz w:val="20"/>
          <w:szCs w:val="20"/>
          <w:color w:val="auto"/>
        </w:rPr>
      </w:pPr>
    </w:p>
    <w:p>
      <w:pPr>
        <w:ind w:left="760" w:hanging="752"/>
        <w:spacing w:after="0"/>
        <w:tabs>
          <w:tab w:leader="none" w:pos="7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OPTION</w:t>
      </w:r>
    </w:p>
    <w:p>
      <w:pPr>
        <w:spacing w:after="0" w:line="23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Neither you (individually or as a member of a group) nor any beneficiary or other person claiming by, under or through you shall have any right, title, interest, or privilege in or to any shares of Common Stock allocated or reserved for the purpose of the Plan, the Long Term Plan or subject to the Grant Notice or these Standard Terms and Conditions except as to such shares of Common Stock, if any, as shall have been issued to such person upon vesting of the Stock Units, which shares shall remain subject to the conditions set forth in these Standard Terms and Conditions. Nothing in the Plan, the Long-Term Plan, the Grant Notice, these Standard Terms and Conditions or any other instrument executed pursuant to the Plan shall confer upon you any right to continue in the Company’s employ or service nor limit in any way the Company’s right to terminate your employment at any time for any reason.</w:t>
      </w:r>
    </w:p>
    <w:p>
      <w:pPr>
        <w:spacing w:after="0" w:line="201" w:lineRule="exact"/>
        <w:rPr>
          <w:sz w:val="20"/>
          <w:szCs w:val="20"/>
          <w:color w:val="auto"/>
        </w:rPr>
      </w:pPr>
    </w:p>
    <w:p>
      <w:pPr>
        <w:ind w:left="760" w:hanging="752"/>
        <w:spacing w:after="0"/>
        <w:tabs>
          <w:tab w:leader="none" w:pos="7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3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Grant Notice, these Standard Terms and Conditions, the Plan and the Long-Term Plan constitute the entire understanding between you and the Company regarding the Option. Any prior agreements, commitments or negotiations concerning the Option are superseded.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1" w:name="page142"/>
    <w:bookmarkEnd w:id="141"/>
    <w:p>
      <w:pPr>
        <w:ind w:left="760" w:hanging="752"/>
        <w:spacing w:after="0"/>
        <w:tabs>
          <w:tab w:leader="none" w:pos="7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PERIOD/NOTICE FOR CERTAIN EMPLOYEES</w:t>
      </w:r>
    </w:p>
    <w:p>
      <w:pPr>
        <w:spacing w:after="0" w:line="233"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STATE OF </w:t>
      </w:r>
      <w:r>
        <w:rPr>
          <w:rFonts w:ascii="Times New Roman" w:cs="Times New Roman" w:eastAsia="Times New Roman" w:hAnsi="Times New Roman"/>
          <w:sz w:val="22"/>
          <w:szCs w:val="22"/>
          <w:b w:val="1"/>
          <w:bCs w:val="1"/>
          <w:color w:val="auto"/>
        </w:rPr>
        <w:t>COLORADO</w:t>
      </w:r>
      <w:r>
        <w:rPr>
          <w:rFonts w:ascii="Times New Roman" w:cs="Times New Roman" w:eastAsia="Times New Roman" w:hAnsi="Times New Roman"/>
          <w:sz w:val="22"/>
          <w:szCs w:val="22"/>
          <w:color w:val="auto"/>
        </w:rPr>
        <w:t xml:space="preserve"> AND ARE SUBJECT TO THE RESTRICTIONS IN SECTIONS 5(E),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 YOU HAVE 14 CALENDAR DAYS FROM THE DAY YOU RECEIVED THIS AGREEMENT TO REVIEW IT AND THAT YOU ARE ADVISED TO CONSULT LEGAL COUNSEL PRIOR TO SIGNING IT.</w:t>
      </w:r>
    </w:p>
    <w:p>
      <w:pPr>
        <w:spacing w:after="0" w:line="203"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w:t>
      </w:r>
      <w:r>
        <w:rPr>
          <w:rFonts w:ascii="Times New Roman" w:cs="Times New Roman" w:eastAsia="Times New Roman" w:hAnsi="Times New Roman"/>
          <w:sz w:val="22"/>
          <w:szCs w:val="22"/>
          <w:b w:val="1"/>
          <w:bCs w:val="1"/>
          <w:color w:val="auto"/>
        </w:rPr>
        <w:t>DISTRICT OF COLUMBIA</w:t>
      </w:r>
      <w:r>
        <w:rPr>
          <w:rFonts w:ascii="Times New Roman" w:cs="Times New Roman" w:eastAsia="Times New Roman" w:hAnsi="Times New Roman"/>
          <w:sz w:val="22"/>
          <w:szCs w:val="22"/>
          <w:color w:val="auto"/>
        </w:rPr>
        <w:t xml:space="preserve"> AS A “HIGHLY COMPENSATED EMPLOYEE,” AS DEFINED IN SECTION 5(H),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SECTIONS 5(E) AND (G), THE COMPANY HAS DETERMINED THAT YOU ARE A HIGHLY COMPENSATED EMPLOYEE. FOR MORE INFORMATION ABOUT THE BAN ON NON-COMPETE AGREEMENTS AMENDMENT ACT OF 2020, AS AMENDED, CONTACT THE DISTRICT OF COLUMBIA DEPARTMENT OF EMPLOYMENT SERVICES (DOES).</w:t>
      </w:r>
    </w:p>
    <w:p>
      <w:pPr>
        <w:spacing w:after="0" w:line="20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 xml:space="preserve">IF YOU ARE EMPLOYED BY THE COMPANY IN THE STATE OF </w:t>
      </w:r>
      <w:r>
        <w:rPr>
          <w:rFonts w:ascii="Times New Roman" w:cs="Times New Roman" w:eastAsia="Times New Roman" w:hAnsi="Times New Roman"/>
          <w:sz w:val="22"/>
          <w:szCs w:val="22"/>
          <w:b w:val="1"/>
          <w:bCs w:val="1"/>
          <w:color w:val="auto"/>
        </w:rPr>
        <w:t>ILLINOIS</w:t>
      </w:r>
      <w:r>
        <w:rPr>
          <w:rFonts w:ascii="Times New Roman" w:cs="Times New Roman" w:eastAsia="Times New Roman" w:hAnsi="Times New Roman"/>
          <w:sz w:val="22"/>
          <w:szCs w:val="22"/>
          <w:color w:val="auto"/>
        </w:rPr>
        <w:t>, YOU ACKNOWLEDGE THAT YOU HAVE AT LEAST 14 CALENDAR DAYS FROM THE DAY YOU RECEIVED THIS AGREEMENT TO REVIEW IT AND THAT YOU ARE ADVISED TO CONSULT LEGAL COUNSEL PRIOR TO SIGNING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56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10(e)</w:t>
      </w:r>
    </w:p>
    <w:p>
      <w:pPr>
        <w:spacing w:after="0" w:line="1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SUPPLEMENTAL PENSION PLAN</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(409A NON-GRANDFATHERED COMPONENT)</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Officers and Managers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Affiliates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 amended and restated in its entirety</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effective as of January 1, 1989, including all amendments</w:t>
      </w:r>
    </w:p>
    <w:p>
      <w:pPr>
        <w:spacing w:after="0" w:line="2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adopted through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390525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00" w:type="dxa"/>
            <w:vAlign w:val="bottom"/>
            <w:gridSpan w:val="10"/>
          </w:tcPr>
          <w:p>
            <w:pPr>
              <w:jc w:val="center"/>
              <w:ind w:right="70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518"/>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33"/>
        </w:trPr>
        <w:tc>
          <w:tcPr>
            <w:tcW w:w="2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rPr>
              <w:t>ARTICLE ONE</w:t>
            </w:r>
          </w:p>
        </w:tc>
        <w:tc>
          <w:tcPr>
            <w:tcW w:w="5480" w:type="dxa"/>
            <w:vAlign w:val="bottom"/>
            <w:gridSpan w:val="14"/>
          </w:tcPr>
          <w:p>
            <w:pPr>
              <w:ind w:left="220"/>
              <w:spacing w:after="0"/>
              <w:rPr>
                <w:sz w:val="20"/>
                <w:szCs w:val="20"/>
                <w:color w:val="auto"/>
              </w:rPr>
            </w:pPr>
            <w:r>
              <w:rPr>
                <w:rFonts w:ascii="Times New Roman" w:cs="Times New Roman" w:eastAsia="Times New Roman" w:hAnsi="Times New Roman"/>
                <w:sz w:val="22"/>
                <w:szCs w:val="22"/>
                <w:color w:val="0000EE"/>
                <w:w w:val="97"/>
              </w:rPr>
              <w:t>SCOPE OF SUPPLEMENTAL PLAN AND DEFINITIONS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66"/>
        </w:trPr>
        <w:tc>
          <w:tcPr>
            <w:tcW w:w="14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6"/>
              </w:rPr>
              <w:t>ARTICLE TWO</w:t>
            </w:r>
          </w:p>
        </w:tc>
        <w:tc>
          <w:tcPr>
            <w:tcW w:w="5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AMOUNT AND PAYMENT OF PENSION</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7</w:t>
            </w: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66"/>
        </w:trPr>
        <w:tc>
          <w:tcPr>
            <w:tcW w:w="1660" w:type="dxa"/>
            <w:vAlign w:val="bottom"/>
            <w:gridSpan w:val="5"/>
          </w:tcPr>
          <w:p>
            <w:pPr>
              <w:spacing w:after="0"/>
              <w:rPr>
                <w:sz w:val="20"/>
                <w:szCs w:val="20"/>
                <w:color w:val="auto"/>
              </w:rPr>
            </w:pPr>
            <w:r>
              <w:rPr>
                <w:rFonts w:ascii="Times New Roman" w:cs="Times New Roman" w:eastAsia="Times New Roman" w:hAnsi="Times New Roman"/>
                <w:sz w:val="22"/>
                <w:szCs w:val="22"/>
                <w:color w:val="0000EE"/>
                <w:w w:val="96"/>
              </w:rPr>
              <w:t>ARTICLE THREE</w:t>
            </w:r>
          </w:p>
        </w:tc>
        <w:tc>
          <w:tcPr>
            <w:tcW w:w="3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MANNER OF PAYMENT</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14</w:t>
            </w:r>
          </w:p>
        </w:tc>
      </w:tr>
      <w:tr>
        <w:trPr>
          <w:trHeight w:val="466"/>
        </w:trPr>
        <w:tc>
          <w:tcPr>
            <w:tcW w:w="1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5"/>
              </w:rPr>
              <w:t>ARTICLE FOUR</w:t>
            </w:r>
          </w:p>
        </w:tc>
        <w:tc>
          <w:tcPr>
            <w:tcW w:w="120" w:type="dxa"/>
            <w:vAlign w:val="bottom"/>
            <w:tcBorders>
              <w:top w:val="single" w:sz="8" w:color="0000EE"/>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22"/>
                <w:szCs w:val="22"/>
                <w:color w:val="0000EE"/>
              </w:rPr>
              <w:t>VESTINGS</w:t>
            </w:r>
          </w:p>
        </w:tc>
        <w:tc>
          <w:tcPr>
            <w:tcW w:w="2940" w:type="dxa"/>
            <w:vAlign w:val="bottom"/>
            <w:gridSpan w:val="8"/>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w w:val="90"/>
              </w:rPr>
              <w:t>16</w:t>
            </w: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1540" w:type="dxa"/>
            <w:vAlign w:val="bottom"/>
            <w:gridSpan w:val="4"/>
          </w:tcPr>
          <w:p>
            <w:pPr>
              <w:spacing w:after="0"/>
              <w:rPr>
                <w:sz w:val="20"/>
                <w:szCs w:val="20"/>
                <w:color w:val="auto"/>
              </w:rPr>
            </w:pPr>
            <w:r>
              <w:rPr>
                <w:rFonts w:ascii="Times New Roman" w:cs="Times New Roman" w:eastAsia="Times New Roman" w:hAnsi="Times New Roman"/>
                <w:sz w:val="22"/>
                <w:szCs w:val="22"/>
                <w:color w:val="0000EE"/>
              </w:rPr>
              <w:t>ARTICLE FIVE</w:t>
            </w:r>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CERTAIN EMPLOYEE TRANSFERS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18</w:t>
            </w: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0000EE"/>
              </w:rPr>
              <w:t>ARTICLE SIX</w:t>
            </w:r>
          </w:p>
        </w:tc>
        <w:tc>
          <w:tcPr>
            <w:tcW w:w="6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rPr>
              <w:t>PRE-RETIREMENT SURVIVOR’S BENEFIT</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19</w:t>
            </w:r>
          </w:p>
        </w:tc>
      </w:tr>
      <w:tr>
        <w:trPr>
          <w:trHeight w:val="20"/>
        </w:trPr>
        <w:tc>
          <w:tcPr>
            <w:tcW w:w="1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1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22"/>
                <w:szCs w:val="22"/>
                <w:color w:val="0000EE"/>
                <w:w w:val="96"/>
              </w:rPr>
              <w:t>ARTICLE SEVEN</w:t>
            </w:r>
          </w:p>
        </w:tc>
        <w:tc>
          <w:tcPr>
            <w:tcW w:w="3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rPr>
              <w:t>FUNDING</w:t>
            </w:r>
          </w:p>
        </w:tc>
        <w:tc>
          <w:tcPr>
            <w:tcW w:w="4220" w:type="dxa"/>
            <w:vAlign w:val="bottom"/>
            <w:gridSpan w:val="12"/>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w w:val="90"/>
              </w:rPr>
              <w:t>21</w:t>
            </w:r>
          </w:p>
        </w:tc>
      </w:tr>
      <w:tr>
        <w:trPr>
          <w:trHeight w:val="466"/>
        </w:trPr>
        <w:tc>
          <w:tcPr>
            <w:tcW w:w="2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rPr>
              <w:t>ARTICLE EIGHT</w:t>
            </w:r>
          </w:p>
        </w:tc>
        <w:tc>
          <w:tcPr>
            <w:tcW w:w="5480" w:type="dxa"/>
            <w:vAlign w:val="bottom"/>
            <w:gridSpan w:val="14"/>
          </w:tcPr>
          <w:p>
            <w:pPr>
              <w:ind w:left="220"/>
              <w:spacing w:after="0"/>
              <w:rPr>
                <w:sz w:val="20"/>
                <w:szCs w:val="20"/>
                <w:color w:val="auto"/>
              </w:rPr>
            </w:pPr>
            <w:r>
              <w:rPr>
                <w:rFonts w:ascii="Times New Roman" w:cs="Times New Roman" w:eastAsia="Times New Roman" w:hAnsi="Times New Roman"/>
                <w:sz w:val="22"/>
                <w:szCs w:val="22"/>
                <w:color w:val="0000EE"/>
              </w:rPr>
              <w:t>ADMINISTRATION</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22</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9"/>
              </w:rPr>
              <w:t>ARTICLE NINE</w:t>
            </w:r>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w w:val="97"/>
              </w:rPr>
              <w:t>AMENDMENT OR TERMINATION</w:t>
            </w:r>
          </w:p>
        </w:tc>
        <w:tc>
          <w:tcPr>
            <w:tcW w:w="1960" w:type="dxa"/>
            <w:vAlign w:val="bottom"/>
            <w:gridSpan w:val="6"/>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w w:val="90"/>
              </w:rPr>
              <w:t>24</w:t>
            </w:r>
          </w:p>
        </w:tc>
      </w:tr>
      <w:tr>
        <w:trPr>
          <w:trHeight w:val="466"/>
        </w:trPr>
        <w:tc>
          <w:tcPr>
            <w:tcW w:w="2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rPr>
              <w:t>ARTICLE TEN</w:t>
            </w:r>
          </w:p>
        </w:tc>
        <w:tc>
          <w:tcPr>
            <w:tcW w:w="5480" w:type="dxa"/>
            <w:vAlign w:val="bottom"/>
            <w:gridSpan w:val="14"/>
          </w:tcPr>
          <w:p>
            <w:pPr>
              <w:ind w:left="220"/>
              <w:spacing w:after="0"/>
              <w:rPr>
                <w:sz w:val="20"/>
                <w:szCs w:val="20"/>
                <w:color w:val="auto"/>
              </w:rPr>
            </w:pPr>
            <w:r>
              <w:rPr>
                <w:rFonts w:ascii="Times New Roman" w:cs="Times New Roman" w:eastAsia="Times New Roman" w:hAnsi="Times New Roman"/>
                <w:sz w:val="22"/>
                <w:szCs w:val="22"/>
                <w:color w:val="0000EE"/>
              </w:rPr>
              <w:t>GENERAL PROVISIONS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25</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2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rPr>
              <w:t>ARTICLE ELEVEN</w:t>
            </w:r>
          </w:p>
        </w:tc>
        <w:tc>
          <w:tcPr>
            <w:tcW w:w="5480" w:type="dxa"/>
            <w:vAlign w:val="bottom"/>
            <w:gridSpan w:val="14"/>
          </w:tcPr>
          <w:p>
            <w:pPr>
              <w:ind w:left="220"/>
              <w:spacing w:after="0"/>
              <w:rPr>
                <w:sz w:val="20"/>
                <w:szCs w:val="20"/>
                <w:color w:val="auto"/>
              </w:rPr>
            </w:pPr>
            <w:r>
              <w:rPr>
                <w:rFonts w:ascii="Times New Roman" w:cs="Times New Roman" w:eastAsia="Times New Roman" w:hAnsi="Times New Roman"/>
                <w:sz w:val="22"/>
                <w:szCs w:val="22"/>
                <w:color w:val="0000EE"/>
              </w:rPr>
              <w:t>TRANSFERS TO NON-COVERED EMPLOYMENT</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28</w:t>
            </w:r>
          </w:p>
        </w:tc>
      </w:tr>
      <w:tr>
        <w:trPr>
          <w:trHeight w:val="20"/>
        </w:trPr>
        <w:tc>
          <w:tcPr>
            <w:tcW w:w="18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66"/>
        </w:trPr>
        <w:tc>
          <w:tcPr>
            <w:tcW w:w="2040" w:type="dxa"/>
            <w:vAlign w:val="bottom"/>
            <w:gridSpan w:val="8"/>
          </w:tcPr>
          <w:p>
            <w:pPr>
              <w:spacing w:after="0"/>
              <w:rPr>
                <w:sz w:val="20"/>
                <w:szCs w:val="20"/>
                <w:color w:val="auto"/>
              </w:rPr>
            </w:pPr>
            <w:r>
              <w:rPr>
                <w:rFonts w:ascii="Times New Roman" w:cs="Times New Roman" w:eastAsia="Times New Roman" w:hAnsi="Times New Roman"/>
                <w:sz w:val="22"/>
                <w:szCs w:val="22"/>
                <w:color w:val="0000EE"/>
              </w:rPr>
              <w:t>ARTICLE TWELVE</w:t>
            </w:r>
          </w:p>
        </w:tc>
        <w:tc>
          <w:tcPr>
            <w:tcW w:w="5480" w:type="dxa"/>
            <w:vAlign w:val="bottom"/>
            <w:gridSpan w:val="14"/>
          </w:tcPr>
          <w:p>
            <w:pPr>
              <w:ind w:left="220"/>
              <w:spacing w:after="0"/>
              <w:rPr>
                <w:sz w:val="20"/>
                <w:szCs w:val="20"/>
                <w:color w:val="auto"/>
              </w:rPr>
            </w:pPr>
            <w:r>
              <w:rPr>
                <w:rFonts w:ascii="Times New Roman" w:cs="Times New Roman" w:eastAsia="Times New Roman" w:hAnsi="Times New Roman"/>
                <w:sz w:val="22"/>
                <w:szCs w:val="22"/>
                <w:color w:val="0000EE"/>
              </w:rPr>
              <w:t>CLAIMS PROCEDURE</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29</w:t>
            </w:r>
          </w:p>
        </w:tc>
      </w:tr>
      <w:tr>
        <w:trPr>
          <w:trHeight w:val="518"/>
        </w:trPr>
        <w:tc>
          <w:tcPr>
            <w:tcW w:w="1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gridSpan w:val="6"/>
          </w:tcPr>
          <w:p>
            <w:pPr>
              <w:jc w:val="center"/>
              <w:ind w:right="1820"/>
              <w:spacing w:after="0"/>
              <w:rPr>
                <w:sz w:val="20"/>
                <w:szCs w:val="20"/>
                <w:color w:val="auto"/>
              </w:rPr>
            </w:pPr>
            <w:r>
              <w:rPr>
                <w:rFonts w:ascii="Times New Roman" w:cs="Times New Roman" w:eastAsia="Times New Roman" w:hAnsi="Times New Roman"/>
                <w:sz w:val="22"/>
                <w:szCs w:val="22"/>
                <w:color w:val="auto"/>
                <w:w w:val="97"/>
              </w:rPr>
              <w:t>i</w:t>
            </w:r>
          </w:p>
        </w:tc>
        <w:tc>
          <w:tcPr>
            <w:tcW w:w="35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03"/>
        </w:trPr>
        <w:tc>
          <w:tcPr>
            <w:tcW w:w="1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5"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Scope of Supplemental Plan and Definitions</w:t>
      </w:r>
    </w:p>
    <w:p>
      <w:pPr>
        <w:spacing w:after="0" w:line="23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1.1 Introduction. This “Supplemental Plan (409A Non-Grandfathered Component),” amended through January 1, 2009, since amended and now further amended effective November 1, 2023, and as it may hereafter be amended from time to time, establishes the rights to specified benefits for certain officers and managers or highly compensated employees who retire or otherwise terminate their Employment on or after January 1, 2005. The rights of any such individual who retired or otherwise terminated Employment prior to January 1, 2005 shall be subject to the terms of the Supplemental Plan as in effect at the date of retirement or termination, except to the extent otherwise provided herein. This Supplemental Plan is intended to be a non-qualified supplemental retirement plan which is unfunded and maintained primarily for the purpose of providing deferred compensation for a select group of management or highly compensated employees of the Company, pursuant to sections 201, 301 and 401 of the Employee Retirement Income Security Act of 1974, as amended (“ERISA”) and, as such, to be exempt from the provisions of Parts 2, 3 and 4 of Subtitle B of Title I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-1419860</wp:posOffset>
            </wp:positionV>
            <wp:extent cx="8153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86" w:lineRule="exact"/>
        <w:rPr>
          <w:sz w:val="20"/>
          <w:szCs w:val="20"/>
          <w:color w:val="auto"/>
        </w:rPr>
      </w:pPr>
    </w:p>
    <w:p>
      <w:pPr>
        <w:ind w:firstLine="648"/>
        <w:spacing w:after="0" w:line="257" w:lineRule="exact"/>
        <w:rPr>
          <w:sz w:val="20"/>
          <w:szCs w:val="20"/>
          <w:color w:val="auto"/>
        </w:rPr>
      </w:pPr>
      <w:r>
        <w:rPr>
          <w:rFonts w:ascii="Times New Roman" w:cs="Times New Roman" w:eastAsia="Times New Roman" w:hAnsi="Times New Roman"/>
          <w:sz w:val="22"/>
          <w:szCs w:val="22"/>
          <w:color w:val="auto"/>
        </w:rPr>
        <w:t>1.2 Applicability. The Supplemental Plan was bifurcated into two components, effective January 1, 2009. One such component, known as the “Supplemental Pension Plan (409A Grandfathered Component) for Officers and Managers of Union Pacific Corporation, effective January 1, 1989,” is applicable solely to those benefits that were both accrued and fully vested as of December 31, 2004 in accordance with the terms of the Supplemental Plan as in effect on December 31, 2004, which terms were not materially modified after October 3, 2004. With respect to all other amounts accrued under the Supplemental Plan, the rights of the Participant shall be governed by the terms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-829310</wp:posOffset>
            </wp:positionV>
            <wp:extent cx="853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853440" cy="8255"/>
                    </a:xfrm>
                    <a:prstGeom prst="rect">
                      <a:avLst/>
                    </a:prstGeom>
                    <a:noFill/>
                  </pic:spPr>
                </pic:pic>
              </a:graphicData>
            </a:graphic>
          </wp:anchor>
        </w:drawing>
      </w:r>
    </w:p>
    <w:p>
      <w:pPr>
        <w:spacing w:after="0" w:line="123" w:lineRule="exact"/>
        <w:rPr>
          <w:sz w:val="20"/>
          <w:szCs w:val="20"/>
          <w:color w:val="auto"/>
        </w:rPr>
      </w:pPr>
    </w:p>
    <w:p>
      <w:pPr>
        <w:ind w:right="300" w:firstLine="648"/>
        <w:spacing w:after="0" w:line="287" w:lineRule="exact"/>
        <w:rPr>
          <w:sz w:val="20"/>
          <w:szCs w:val="20"/>
          <w:color w:val="auto"/>
        </w:rPr>
      </w:pPr>
      <w:r>
        <w:rPr>
          <w:rFonts w:ascii="Times New Roman" w:cs="Times New Roman" w:eastAsia="Times New Roman" w:hAnsi="Times New Roman"/>
          <w:sz w:val="22"/>
          <w:szCs w:val="22"/>
          <w:color w:val="auto"/>
        </w:rPr>
        <w:t>1.3 Definitions. As used in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the following terms have the meanings set forth below, unless a different meaning is plainly required by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-186690</wp:posOffset>
            </wp:positionV>
            <wp:extent cx="7543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4" w:lineRule="exact"/>
        <w:rPr>
          <w:sz w:val="20"/>
          <w:szCs w:val="20"/>
          <w:color w:val="auto"/>
        </w:rPr>
      </w:pPr>
    </w:p>
    <w:p>
      <w:pPr>
        <w:ind w:right="520" w:firstLine="1296"/>
        <w:spacing w:after="0" w:line="271" w:lineRule="exact"/>
        <w:rPr>
          <w:sz w:val="20"/>
          <w:szCs w:val="20"/>
          <w:color w:val="auto"/>
        </w:rPr>
      </w:pPr>
      <w:r>
        <w:rPr>
          <w:rFonts w:ascii="Times New Roman" w:cs="Times New Roman" w:eastAsia="Times New Roman" w:hAnsi="Times New Roman"/>
          <w:sz w:val="22"/>
          <w:szCs w:val="22"/>
          <w:color w:val="auto"/>
        </w:rPr>
        <w:t>(a)“ Additional Disability Pay Benefit” means the benefit provided for in Section 2.4(b). The Additional Disability Pay Benefit is intended to constitute “disability pay” that is exempt from the requirements of Section 409A of the Code, as described in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1(a)(5) of the Treasury Regulations.</w:t>
      </w:r>
    </w:p>
    <w:p>
      <w:pPr>
        <w:spacing w:after="0" w:line="173" w:lineRule="exact"/>
        <w:rPr>
          <w:sz w:val="20"/>
          <w:szCs w:val="20"/>
          <w:color w:val="auto"/>
        </w:rPr>
      </w:pPr>
    </w:p>
    <w:p>
      <w:pPr>
        <w:ind w:right="140" w:firstLine="1296"/>
        <w:spacing w:after="0" w:line="238" w:lineRule="auto"/>
        <w:rPr>
          <w:sz w:val="20"/>
          <w:szCs w:val="20"/>
          <w:color w:val="auto"/>
        </w:rPr>
      </w:pPr>
      <w:r>
        <w:rPr>
          <w:rFonts w:ascii="Times New Roman" w:cs="Times New Roman" w:eastAsia="Times New Roman" w:hAnsi="Times New Roman"/>
          <w:sz w:val="22"/>
          <w:szCs w:val="22"/>
          <w:color w:val="auto"/>
        </w:rPr>
        <w:t>(b)“ Administrator” shall have, on and after February 1, 2013, the same meaning as “Named Fiduciary-Plan Administration” as such term is defined in the Pension Plan for Salaried Employees of Union Pacific Corporation and Affiliates. Prior to February 1, 2013, “Administrator” means the Senior Vice President-Human Resources of Union Pacific or, if there is no such Senior Vice President - Human Resources, such person or persons appointed by the Board of Directors of Union Pacific or, in the absence of any such appointment, Union Pacific, who shall administer this Supplemental Plan.</w:t>
      </w:r>
    </w:p>
    <w:p>
      <w:pPr>
        <w:spacing w:after="0" w:line="204" w:lineRule="exact"/>
        <w:rPr>
          <w:sz w:val="20"/>
          <w:szCs w:val="20"/>
          <w:color w:val="auto"/>
        </w:rPr>
      </w:pPr>
    </w:p>
    <w:p>
      <w:pPr>
        <w:ind w:right="860" w:firstLine="1296"/>
        <w:spacing w:after="0" w:line="258" w:lineRule="auto"/>
        <w:rPr>
          <w:sz w:val="20"/>
          <w:szCs w:val="20"/>
          <w:color w:val="auto"/>
        </w:rPr>
      </w:pPr>
      <w:r>
        <w:rPr>
          <w:rFonts w:ascii="Times New Roman" w:cs="Times New Roman" w:eastAsia="Times New Roman" w:hAnsi="Times New Roman"/>
          <w:sz w:val="22"/>
          <w:szCs w:val="22"/>
          <w:color w:val="auto"/>
        </w:rPr>
        <w:t>(c)“ Change in Control” means a “Change in Control” as defined in the Union Pacific Corporation Key Employee Continuity Plan adopted November 16, 2000, as may be amended from time to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5" w:name="page146"/>
    <w:bookmarkEnd w:id="145"/>
    <w:p>
      <w:pPr>
        <w:ind w:firstLine="1296"/>
        <w:spacing w:after="0" w:line="234" w:lineRule="auto"/>
        <w:rPr>
          <w:sz w:val="20"/>
          <w:szCs w:val="20"/>
          <w:color w:val="auto"/>
        </w:rPr>
      </w:pPr>
      <w:r>
        <w:rPr>
          <w:rFonts w:ascii="Times New Roman" w:cs="Times New Roman" w:eastAsia="Times New Roman" w:hAnsi="Times New Roman"/>
          <w:sz w:val="22"/>
          <w:szCs w:val="22"/>
          <w:color w:val="auto"/>
        </w:rPr>
        <w:t>(d)“ Company” means Union Pacific and any Affiliated Company which is included in the Supplemental Plan by written action of (i) its board of directors and (ii) either the Board of Directors of Union Pacific or the Administrator acting on behalf of the Board of Directors of Union Pacific; provided, however, that if an Affiliated Company (other than an Affiliated Company that would remain such if the phrase “100 percent” were substituted for the phrase “at least 80 percent” in section 1563(a)(1) of the Code, which is then incorporated by reference in sections 414(b) and (c) of the Code) is included in the Supplemental Plan by virtue of action by the Administrator, unless the Board of Directors of Union Pacific ratifies such action not later than its first regularly scheduled meeting held subsequent to the taking of such action by the Administrator, such Affiliated Company shall cease to be so included as of the close of business on the last day of the month in which such meeting occurs and no employee of such Affiliated Company shall accrue a benefit under the Supplemental Plan.</w:t>
      </w:r>
    </w:p>
    <w:p>
      <w:pPr>
        <w:spacing w:after="0" w:line="210" w:lineRule="exact"/>
        <w:rPr>
          <w:sz w:val="20"/>
          <w:szCs w:val="20"/>
          <w:color w:val="auto"/>
        </w:rPr>
      </w:pPr>
    </w:p>
    <w:p>
      <w:pPr>
        <w:ind w:right="40" w:firstLine="1296"/>
        <w:spacing w:after="0" w:line="249" w:lineRule="exact"/>
        <w:rPr>
          <w:sz w:val="20"/>
          <w:szCs w:val="20"/>
          <w:color w:val="auto"/>
        </w:rPr>
      </w:pPr>
      <w:r>
        <w:rPr>
          <w:rFonts w:ascii="Times New Roman" w:cs="Times New Roman" w:eastAsia="Times New Roman" w:hAnsi="Times New Roman"/>
          <w:sz w:val="22"/>
          <w:szCs w:val="22"/>
          <w:color w:val="auto"/>
        </w:rPr>
        <w:t>(e)“ Early Supplemental Pension Retirement Date” means the date of a Participant’s Separation from Service after he becomes vested in 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Grandfathered Component) benefit under Section 4.2, before his Normal Retirement Date, and after either attaining age 55 and completing 10 years of Vesting Service or attaining age 65, determined after taking into account (i) additional service credited under Section 1.3(s) and/or (ii) additional years of age, not exceeding five (5), as may be approved by the Chief Executive Officer of Union Pacific prior to the Participant’s Separation from Service or as may be credited to the Participant pursuant to Section 2.7, Section 2.8 or Section 2.10; provided, however that such date does not qualify as an Early Retirement Date under the terms of the Pension Plan. Notwithstanding the foregoing, any additional years of age awarded under this Section 1.3(e) shall affect only a Participant’s eligibility for an Early Supplemental Pension, and not the actual commencement date of such benefit.</w:t>
      </w:r>
    </w:p>
    <w:p>
      <w:pPr>
        <w:sectPr>
          <w:pgSz w:w="11900" w:h="16838" w:orient="portrait"/>
          <w:cols w:equalWidth="0" w:num="1">
            <w:col w:w="11240"/>
          </w:cols>
          <w:pgMar w:left="320" w:top="598"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Early Supplemental Pension” means the pension provided for in Section 2.2.</w:t>
      </w:r>
    </w:p>
    <w:p>
      <w:pPr>
        <w:spacing w:after="0" w:line="211" w:lineRule="exact"/>
        <w:rPr>
          <w:sz w:val="20"/>
          <w:szCs w:val="20"/>
          <w:color w:val="auto"/>
        </w:rPr>
      </w:pPr>
    </w:p>
    <w:p>
      <w:pPr>
        <w:sectPr>
          <w:pgSz w:w="11900" w:h="16838" w:orient="portrait"/>
          <w:cols w:equalWidth="0" w:num="2">
            <w:col w:w="1620" w:space="220"/>
            <w:col w:w="9400"/>
          </w:cols>
          <w:pgMar w:left="320" w:top="598" w:right="339" w:bottom="1440" w:gutter="0" w:footer="0" w:header="0"/>
          <w:type w:val="continuous"/>
        </w:sectPr>
      </w:pPr>
    </w:p>
    <w:p>
      <w:pPr>
        <w:spacing w:after="0" w:line="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Effective Date” means January 1, 1989, the effective date of this document; provided, however, that when a</w:t>
      </w:r>
    </w:p>
    <w:p>
      <w:pPr>
        <w:sectPr>
          <w:pgSz w:w="11900" w:h="16838" w:orient="portrait"/>
          <w:cols w:equalWidth="0" w:num="1">
            <w:col w:w="11240"/>
          </w:cols>
          <w:pgMar w:left="320" w:top="598" w:right="339" w:bottom="1440" w:gutter="0" w:footer="0" w:header="0"/>
          <w:type w:val="continuous"/>
        </w:sectPr>
      </w:pPr>
    </w:p>
    <w:p>
      <w:pPr>
        <w:spacing w:after="0" w:line="29" w:lineRule="exact"/>
        <w:rPr>
          <w:sz w:val="20"/>
          <w:szCs w:val="20"/>
          <w:color w:val="auto"/>
        </w:rPr>
      </w:pPr>
    </w:p>
    <w:p>
      <w:pPr>
        <w:ind w:right="220"/>
        <w:spacing w:after="0" w:line="249" w:lineRule="exact"/>
        <w:rPr>
          <w:sz w:val="20"/>
          <w:szCs w:val="20"/>
          <w:color w:val="auto"/>
        </w:rPr>
      </w:pPr>
      <w:r>
        <w:rPr>
          <w:rFonts w:ascii="Times New Roman" w:cs="Times New Roman" w:eastAsia="Times New Roman" w:hAnsi="Times New Roman"/>
          <w:sz w:val="22"/>
          <w:szCs w:val="22"/>
          <w:color w:val="auto"/>
        </w:rPr>
        <w:t>provision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states an effective date other than January 1, 1989, such stated special effective date shall apply as to that provision.</w:t>
      </w:r>
    </w:p>
    <w:p>
      <w:pPr>
        <w:spacing w:after="0" w:line="206" w:lineRule="exact"/>
        <w:rPr>
          <w:sz w:val="20"/>
          <w:szCs w:val="20"/>
          <w:color w:val="auto"/>
        </w:rPr>
      </w:pPr>
    </w:p>
    <w:p>
      <w:pPr>
        <w:ind w:right="380" w:firstLine="1296"/>
        <w:spacing w:after="0" w:line="258" w:lineRule="auto"/>
        <w:rPr>
          <w:sz w:val="20"/>
          <w:szCs w:val="20"/>
          <w:color w:val="auto"/>
        </w:rPr>
      </w:pPr>
      <w:r>
        <w:rPr>
          <w:rFonts w:ascii="Times New Roman" w:cs="Times New Roman" w:eastAsia="Times New Roman" w:hAnsi="Times New Roman"/>
          <w:sz w:val="22"/>
          <w:szCs w:val="22"/>
          <w:color w:val="auto"/>
        </w:rPr>
        <w:t>(h)“ Final Average Compensation” means Final Average Compensation as determined under Article II of the Pension Plan as of the date of the Participant’s Separation from Service.</w:t>
      </w:r>
    </w:p>
    <w:p>
      <w:pPr>
        <w:sectPr>
          <w:pgSz w:w="11900" w:h="16838" w:orient="portrait"/>
          <w:cols w:equalWidth="0" w:num="1">
            <w:col w:w="11240"/>
          </w:cols>
          <w:pgMar w:left="320" w:top="598" w:right="339" w:bottom="1440" w:gutter="0" w:footer="0" w:header="0"/>
          <w:type w:val="continuous"/>
        </w:sectPr>
      </w:pP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Incentive Compensation” means:</w:t>
      </w:r>
    </w:p>
    <w:p>
      <w:pPr>
        <w:spacing w:after="0" w:line="200" w:lineRule="exact"/>
        <w:rPr>
          <w:sz w:val="20"/>
          <w:szCs w:val="20"/>
          <w:color w:val="auto"/>
        </w:rPr>
      </w:pPr>
    </w:p>
    <w:p>
      <w:pPr>
        <w:sectPr>
          <w:pgSz w:w="11900" w:h="16838" w:orient="portrait"/>
          <w:cols w:equalWidth="0" w:num="2">
            <w:col w:w="1600" w:space="220"/>
            <w:col w:w="9420"/>
          </w:cols>
          <w:pgMar w:left="320" w:top="598" w:right="339" w:bottom="1440" w:gutter="0" w:footer="0" w:header="0"/>
          <w:type w:val="continuous"/>
        </w:sectPr>
      </w:pPr>
    </w:p>
    <w:p>
      <w:pPr>
        <w:spacing w:after="0" w:line="45" w:lineRule="exact"/>
        <w:rPr>
          <w:sz w:val="20"/>
          <w:szCs w:val="20"/>
          <w:color w:val="auto"/>
        </w:rPr>
      </w:pPr>
    </w:p>
    <w:p>
      <w:pPr>
        <w:ind w:right="120" w:firstLine="1952"/>
        <w:spacing w:after="0" w:line="244" w:lineRule="auto"/>
        <w:tabs>
          <w:tab w:leader="none" w:pos="236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awarded to a Participant under the Executive Incentive Plan of Union Pacific Corporation and Subsidiaries, as amended and restated as of April 15, 1988 and as it may thereafter be amended from time to time, and any successor thereto (the “Executive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46" w:name="page147"/>
    <w:bookmarkEnd w:id="146"/>
    <w:p>
      <w:pPr>
        <w:ind w:right="360" w:firstLine="1952"/>
        <w:spacing w:after="0" w:line="258" w:lineRule="auto"/>
        <w:tabs>
          <w:tab w:leader="none" w:pos="24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1999 and later years, incentive compensation foregone by a Participant for an award under the Executive Incentive Premium Exchange Program of Union Pacific Corporation and Subsidiaries;</w:t>
      </w:r>
    </w:p>
    <w:p>
      <w:pPr>
        <w:spacing w:after="0" w:line="185" w:lineRule="exact"/>
        <w:rPr>
          <w:rFonts w:ascii="Times New Roman" w:cs="Times New Roman" w:eastAsia="Times New Roman" w:hAnsi="Times New Roman"/>
          <w:sz w:val="22"/>
          <w:szCs w:val="22"/>
          <w:color w:val="auto"/>
        </w:rPr>
      </w:pPr>
    </w:p>
    <w:p>
      <w:pPr>
        <w:ind w:firstLine="1952"/>
        <w:spacing w:after="0" w:line="258" w:lineRule="auto"/>
        <w:tabs>
          <w:tab w:leader="none" w:pos="248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incentive compensation as may be included in Incentive Compensation for a Participant at the discretion of the Board of Directors of Union Pacific; or</w:t>
      </w:r>
    </w:p>
    <w:p>
      <w:pPr>
        <w:spacing w:after="0" w:line="185" w:lineRule="exact"/>
        <w:rPr>
          <w:rFonts w:ascii="Times New Roman" w:cs="Times New Roman" w:eastAsia="Times New Roman" w:hAnsi="Times New Roman"/>
          <w:sz w:val="22"/>
          <w:szCs w:val="22"/>
          <w:color w:val="auto"/>
        </w:rPr>
      </w:pPr>
    </w:p>
    <w:p>
      <w:pPr>
        <w:jc w:val="both"/>
        <w:ind w:right="160" w:firstLine="1952"/>
        <w:spacing w:after="0" w:line="244" w:lineRule="auto"/>
        <w:tabs>
          <w:tab w:leader="none" w:pos="247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retention stock (or retention units) awarded to a Participant by the Compensation and Benefits Committee of the Company’s Board of Directors (or any successor thereto) in lieu of a cash award under the Executive Incentive Plan,</w:t>
      </w:r>
    </w:p>
    <w:p>
      <w:pPr>
        <w:spacing w:after="0" w:line="200"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but only to the extent that such incentive compensation or retention stock (or retention units) is not taken into account in computing the Participant’s Final Average Compensation for reasons other than: (A) the annual compensation limit under section 401(a)(17) of the Code, (B) the provisions of Alternative II-D set forth in Section 3.01(c) of the Pension Plan, (C) the eligibility freeze set forth in Section 3.02 of the Pension Plan, or (D) the Credited Service freeze set forth in Section 4.04 of the Pension Plan. Awards of Incentive Compensation shall be taken into account at the time such awards would have been paid but for the Participant’s election, to forego or defer payment under a plan of the Company or an Affiliated Company; provided, however, that for purposes of calculating a Participant’s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no more than the three highest awards of Incentive Compensation shall be counted in the Participant’s highest 36 consecutive months of Compensation determined as of the Participant’s Separation from Service taking all Incentive Compensation into account.</w:t>
      </w:r>
    </w:p>
    <w:p>
      <w:pPr>
        <w:sectPr>
          <w:pgSz w:w="11900" w:h="16838" w:orient="portrait"/>
          <w:cols w:equalWidth="0" w:num="1">
            <w:col w:w="11240"/>
          </w:cols>
          <w:pgMar w:left="320" w:top="598" w:right="339" w:bottom="1440" w:gutter="0" w:footer="0" w:header="0"/>
        </w:sectPr>
      </w:pP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(j)“</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Normal Supplemental Pension” means the pension provided for in Section 2.1.</w:t>
      </w:r>
    </w:p>
    <w:p>
      <w:pPr>
        <w:spacing w:after="0" w:line="200" w:lineRule="exact"/>
        <w:rPr>
          <w:sz w:val="20"/>
          <w:szCs w:val="20"/>
          <w:color w:val="auto"/>
        </w:rPr>
      </w:pPr>
    </w:p>
    <w:p>
      <w:pPr>
        <w:sectPr>
          <w:pgSz w:w="11900" w:h="16838" w:orient="portrait"/>
          <w:cols w:equalWidth="0" w:num="2">
            <w:col w:w="1600" w:space="220"/>
            <w:col w:w="9420"/>
          </w:cols>
          <w:pgMar w:left="320" w:top="598" w:right="339" w:bottom="1440" w:gutter="0" w:footer="0" w:header="0"/>
          <w:type w:val="continuous"/>
        </w:sectPr>
      </w:pPr>
    </w:p>
    <w:p>
      <w:pPr>
        <w:spacing w:after="0" w:line="45"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rFonts w:ascii="Times New Roman" w:cs="Times New Roman" w:eastAsia="Times New Roman" w:hAnsi="Times New Roman"/>
          <w:sz w:val="21"/>
          <w:szCs w:val="21"/>
          <w:color w:val="auto"/>
        </w:rPr>
        <w:t>Participant” means any Employee of the Company on or after the Effective Date who is or once was a</w:t>
      </w:r>
    </w:p>
    <w:p>
      <w:pPr>
        <w:sectPr>
          <w:pgSz w:w="11900" w:h="16838" w:orient="portrait"/>
          <w:cols w:equalWidth="0" w:num="1">
            <w:col w:w="11240"/>
          </w:cols>
          <w:pgMar w:left="320" w:top="598"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Employee under the Pension Plan and:</w:t>
      </w:r>
    </w:p>
    <w:p>
      <w:pPr>
        <w:spacing w:after="0" w:line="204" w:lineRule="exact"/>
        <w:rPr>
          <w:sz w:val="20"/>
          <w:szCs w:val="20"/>
          <w:color w:val="auto"/>
        </w:rPr>
      </w:pPr>
    </w:p>
    <w:p>
      <w:pPr>
        <w:ind w:right="340" w:firstLine="1952"/>
        <w:spacing w:after="0" w:line="244" w:lineRule="auto"/>
        <w:tabs>
          <w:tab w:leader="none" w:pos="236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Total Credited Service under Section 1.3(s) includes years that are not taken into account as Credited Service under the Pension Plan (including years not taken into account due to application of the provisions of Alternative II-D set forth in Section 3.01(c) of the Pension Plan);</w:t>
      </w:r>
    </w:p>
    <w:p>
      <w:pPr>
        <w:spacing w:after="0" w:line="20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has Incentive Compensation within the 120-calendar-month period immediately preceding:</w:t>
      </w:r>
    </w:p>
    <w:p>
      <w:pPr>
        <w:spacing w:after="0" w:line="233" w:lineRule="exact"/>
        <w:rPr>
          <w:rFonts w:ascii="Times New Roman" w:cs="Times New Roman" w:eastAsia="Times New Roman" w:hAnsi="Times New Roman"/>
          <w:sz w:val="22"/>
          <w:szCs w:val="22"/>
          <w:color w:val="auto"/>
        </w:rPr>
      </w:pPr>
    </w:p>
    <w:p>
      <w:pPr>
        <w:ind w:right="400" w:firstLine="2600"/>
        <w:spacing w:after="0" w:line="258" w:lineRule="auto"/>
        <w:tabs>
          <w:tab w:leader="none" w:pos="3108"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not an Active Participant under the Pension Plan after December 31, 2017</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date prior to January 1, 2018 on which the Participant ceases to be a Covered Employee; and</w:t>
      </w:r>
    </w:p>
    <w:p>
      <w:pPr>
        <w:spacing w:after="0" w:line="185" w:lineRule="exact"/>
        <w:rPr>
          <w:rFonts w:ascii="Times New Roman" w:cs="Times New Roman" w:eastAsia="Times New Roman" w:hAnsi="Times New Roman"/>
          <w:sz w:val="22"/>
          <w:szCs w:val="22"/>
          <w:color w:val="auto"/>
        </w:rPr>
      </w:pPr>
    </w:p>
    <w:p>
      <w:pPr>
        <w:ind w:right="220" w:firstLine="2600"/>
        <w:spacing w:after="0" w:line="244" w:lineRule="auto"/>
        <w:tabs>
          <w:tab w:leader="none" w:pos="3096"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an Active Participant under the Pension Plan on or after January 1, 2018, the date on or after January 1, 2018 on which the Participant ceases to be an Active Participant under the Pension Plan, after taking into account Section 3.02(e)(1) or (2) (as may be applicable) of the Pension Plan;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47" w:name="page148"/>
    <w:bookmarkEnd w:id="147"/>
    <w:p>
      <w:pPr>
        <w:ind w:right="160" w:firstLine="1952"/>
        <w:spacing w:after="0" w:line="244" w:lineRule="auto"/>
        <w:tabs>
          <w:tab w:leader="none" w:pos="248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Final Average Compensation is not fully recognized under the Pension Plan solely due to application of the annual compensation limit under section 401(a)(17) of the Code or the provisions of Alternative II-D set forth in Section 3.01(c) of the Pension Plan, as determined as of the date of the Participant’s Separation from Service;</w:t>
      </w:r>
    </w:p>
    <w:p>
      <w:pPr>
        <w:spacing w:after="0" w:line="200"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benefit under the Pension Plan is reduced as a result of the limitation described in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 of the Pension Plan; or</w:t>
      </w:r>
    </w:p>
    <w:p>
      <w:pPr>
        <w:spacing w:after="0" w:line="209" w:lineRule="exact"/>
        <w:rPr>
          <w:sz w:val="20"/>
          <w:szCs w:val="20"/>
          <w:color w:val="auto"/>
        </w:rPr>
      </w:pPr>
    </w:p>
    <w:p>
      <w:pPr>
        <w:ind w:right="1760" w:firstLine="1952"/>
        <w:spacing w:after="0" w:line="461" w:lineRule="auto"/>
        <w:tabs>
          <w:tab w:leader="none" w:pos="241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credited with additional years of age as described in Section 1.3(e)(ii), and who has been designated by the Administrator as eligible to participate in the Supplemental Plan.</w:t>
      </w:r>
    </w:p>
    <w:p>
      <w:pPr>
        <w:jc w:val="both"/>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Supplemental Plan to the contrary, no person who was not an Active Participant under the Pension Plan on December 31, 2017 shall be eligible to participate in the Supplemental Plan after December 31, 2017. No person who was not an Active Participant under the Pension Plan on December 31, 2017 and who, subsequent to that date, first becomes, or returns to service as, a Covered Employee (whether by returning to Employment following a Separation from Service, transfer or otherwise, and without regard to whether he has commenced a previously accrued Supplemental Plan benefit) shall be eligible to participate in the Supplemental Plan for purposes of benefit accrual with respect to such service after December 31, 2017.</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event of the death or incompetency of a Participant, the term shall mean the Participant’s personal representative or guardian for whatever amounts remain payable to the Participant under the terms of the Supplemental Plan.</w:t>
      </w:r>
    </w:p>
    <w:p>
      <w:pPr>
        <w:spacing w:after="0" w:line="18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2"/>
          <w:szCs w:val="22"/>
          <w:color w:val="auto"/>
        </w:rPr>
        <w:t>(l)“ Pension Plan” means the Pension Plan for Salaried Employees of Union Pacific Corporation and Affiliates, as amended from time to time.</w:t>
      </w:r>
    </w:p>
    <w:p>
      <w:pPr>
        <w:sectPr>
          <w:pgSz w:w="11900" w:h="16838" w:orient="portrait"/>
          <w:cols w:equalWidth="0" w:num="1">
            <w:col w:w="11240"/>
          </w:cols>
          <w:pgMar w:left="320" w:top="598" w:right="33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Postponed Supplemental Pension” means the pension provided for in Section 2.3.</w:t>
      </w:r>
    </w:p>
    <w:p>
      <w:pPr>
        <w:spacing w:after="0" w:line="211" w:lineRule="exact"/>
        <w:rPr>
          <w:sz w:val="20"/>
          <w:szCs w:val="20"/>
          <w:color w:val="auto"/>
        </w:rPr>
      </w:pPr>
    </w:p>
    <w:p>
      <w:pPr>
        <w:sectPr>
          <w:pgSz w:w="11900" w:h="16838" w:orient="portrait"/>
          <w:cols w:equalWidth="0" w:num="2">
            <w:col w:w="1720" w:space="200"/>
            <w:col w:w="9320"/>
          </w:cols>
          <w:pgMar w:left="320" w:top="598" w:right="3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Rehired Supplemental Pension” means the pension provided for in Section 2.5.</w:t>
      </w:r>
    </w:p>
    <w:p>
      <w:pPr>
        <w:spacing w:after="0" w:line="211" w:lineRule="exact"/>
        <w:rPr>
          <w:sz w:val="20"/>
          <w:szCs w:val="20"/>
          <w:color w:val="auto"/>
        </w:rPr>
      </w:pPr>
    </w:p>
    <w:p>
      <w:pPr>
        <w:sectPr>
          <w:pgSz w:w="11900" w:h="16838" w:orient="portrait"/>
          <w:cols w:equalWidth="0" w:num="2">
            <w:col w:w="1660" w:space="200"/>
            <w:col w:w="9380"/>
          </w:cols>
          <w:pgMar w:left="320" w:top="598" w:right="339" w:bottom="1440" w:gutter="0" w:footer="0" w:header="0"/>
          <w:type w:val="continuous"/>
        </w:sectPr>
      </w:pPr>
    </w:p>
    <w:p>
      <w:pPr>
        <w:spacing w:after="0" w:line="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(o)“</w:t>
      </w:r>
      <w:r>
        <w:rPr>
          <w:sz w:val="20"/>
          <w:szCs w:val="20"/>
          <w:color w:val="auto"/>
        </w:rPr>
        <w:tab/>
      </w:r>
      <w:r>
        <w:rPr>
          <w:rFonts w:ascii="Times New Roman" w:cs="Times New Roman" w:eastAsia="Times New Roman" w:hAnsi="Times New Roman"/>
          <w:sz w:val="21"/>
          <w:szCs w:val="21"/>
          <w:color w:val="auto"/>
        </w:rPr>
        <w:t>Separation from Service” means the date as of which the Company and the Participant reasonably anticipate</w:t>
      </w:r>
    </w:p>
    <w:p>
      <w:pPr>
        <w:sectPr>
          <w:pgSz w:w="11900" w:h="16838" w:orient="portrait"/>
          <w:cols w:equalWidth="0" w:num="1">
            <w:col w:w="11240"/>
          </w:cols>
          <w:pgMar w:left="320" w:top="598" w:right="339" w:bottom="1440" w:gutter="0" w:footer="0" w:header="0"/>
          <w:type w:val="continuous"/>
        </w:sectPr>
      </w:pPr>
    </w:p>
    <w:p>
      <w:pPr>
        <w:spacing w:after="0" w:line="2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1"/>
          <w:szCs w:val="21"/>
          <w:color w:val="auto"/>
        </w:rPr>
        <w:t>that no further services would be performed, or that the level of bona fide services the Participant would perform after such date would permanently decrease to no more than twenty percent (20%) of the average level of bona fide services performed by the Participant over the immediately preceding thirty-six (36) month period. There shall be no Separation from Service during a Participant’s bona fide leave of absence so long as such leave does not exceed six (6) months or such longer period as the Participant may retain a right to reemployment with the Company under applicable statute or by contract. The term Separation from Service shall be interpreted in the same manner as a separation from service under Section 409A of the Code.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48" w:name="page149"/>
    <w:bookmarkEnd w:id="148"/>
    <w:p>
      <w:pPr>
        <w:ind w:firstLine="1296"/>
        <w:spacing w:after="0" w:line="236" w:lineRule="auto"/>
        <w:rPr>
          <w:sz w:val="20"/>
          <w:szCs w:val="20"/>
          <w:color w:val="auto"/>
        </w:rPr>
      </w:pPr>
      <w:r>
        <w:rPr>
          <w:rFonts w:ascii="Times New Roman" w:cs="Times New Roman" w:eastAsia="Times New Roman" w:hAnsi="Times New Roman"/>
          <w:sz w:val="22"/>
          <w:szCs w:val="22"/>
          <w:color w:val="auto"/>
        </w:rPr>
        <w:t>(p)“ Supplemental Plan” means the Supplemental Pension Plan for Officers and Managers of Union Pacific Corporation and Affiliates, as amended and restated effective January 1, 1989, and as it may thereafter be amended from time to time. The Supplemental Plan is comprised of the following components, each of which is set forth in a separate document: (1) the Supplemental Pension Plan (409A Non-Grandfathered Component) for Officers and Managers of Union Pacific Corporation and Affiliates, and (2) the Supplemental Pension Plan (409A Grandfathered Component) for Officers and Managers of Union Pacific Corporation and Affiliates.</w:t>
      </w:r>
    </w:p>
    <w:p>
      <w:pPr>
        <w:spacing w:after="0" w:line="20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(q)“</w:t>
      </w:r>
      <w:r>
        <w:rPr>
          <w:sz w:val="20"/>
          <w:szCs w:val="20"/>
          <w:color w:val="auto"/>
        </w:rPr>
        <w:tab/>
      </w:r>
      <w:r>
        <w:rPr>
          <w:rFonts w:ascii="Times New Roman" w:cs="Times New Roman" w:eastAsia="Times New Roman" w:hAnsi="Times New Roman"/>
          <w:sz w:val="21"/>
          <w:szCs w:val="21"/>
          <w:color w:val="auto"/>
        </w:rPr>
        <w:t>Surviving Spouse” means:</w:t>
      </w:r>
    </w:p>
    <w:p>
      <w:pPr>
        <w:spacing w:after="0" w:line="233" w:lineRule="exact"/>
        <w:rPr>
          <w:sz w:val="20"/>
          <w:szCs w:val="20"/>
          <w:color w:val="auto"/>
        </w:rPr>
      </w:pPr>
    </w:p>
    <w:p>
      <w:pPr>
        <w:ind w:right="180" w:firstLine="1952"/>
        <w:spacing w:after="0" w:line="244" w:lineRule="auto"/>
        <w:tabs>
          <w:tab w:leader="none" w:pos="236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payments to the Participant have not begun under the Supplemental Plan at the time of the Participant’s death, the spouse who was legally married to the Participant continuously during the 12 months ending on the date of the Participant’s death;</w:t>
      </w:r>
    </w:p>
    <w:p>
      <w:pPr>
        <w:spacing w:after="0" w:line="20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payments to the Participant have begun under the Supplemental Plan prior to the Participant’s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death:</w:t>
      </w:r>
    </w:p>
    <w:p>
      <w:pPr>
        <w:spacing w:after="0" w:line="209" w:lineRule="exact"/>
        <w:rPr>
          <w:rFonts w:ascii="Times New Roman" w:cs="Times New Roman" w:eastAsia="Times New Roman" w:hAnsi="Times New Roman"/>
          <w:sz w:val="21"/>
          <w:szCs w:val="21"/>
          <w:color w:val="auto"/>
        </w:rPr>
      </w:pPr>
    </w:p>
    <w:p>
      <w:pPr>
        <w:jc w:val="both"/>
        <w:ind w:right="180" w:firstLine="2600"/>
        <w:spacing w:after="0" w:line="244" w:lineRule="auto"/>
        <w:tabs>
          <w:tab w:leader="none" w:pos="310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and Pension Plan benefit began on the same date or who is not vested in a Pension Plan benefit, the spouse who was legally married to the Participant on the date that his Supplemental Plan payments began;</w:t>
      </w:r>
    </w:p>
    <w:p>
      <w:pPr>
        <w:spacing w:after="0" w:line="200" w:lineRule="exact"/>
        <w:rPr>
          <w:rFonts w:ascii="Times New Roman" w:cs="Times New Roman" w:eastAsia="Times New Roman" w:hAnsi="Times New Roman"/>
          <w:sz w:val="22"/>
          <w:szCs w:val="22"/>
          <w:color w:val="auto"/>
        </w:rPr>
      </w:pPr>
    </w:p>
    <w:p>
      <w:pPr>
        <w:jc w:val="both"/>
        <w:ind w:firstLine="2600"/>
        <w:spacing w:after="0" w:line="244" w:lineRule="auto"/>
        <w:tabs>
          <w:tab w:leader="none" w:pos="309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on a date earlier than the date on which his Pension Plan benefits began, the spouse who was legally married to the Participant on the date his Pension Plan benefits began; or</w:t>
      </w:r>
    </w:p>
    <w:p>
      <w:pPr>
        <w:spacing w:after="0" w:line="200" w:lineRule="exact"/>
        <w:rPr>
          <w:rFonts w:ascii="Times New Roman" w:cs="Times New Roman" w:eastAsia="Times New Roman" w:hAnsi="Times New Roman"/>
          <w:sz w:val="22"/>
          <w:szCs w:val="22"/>
          <w:color w:val="auto"/>
        </w:rPr>
      </w:pPr>
    </w:p>
    <w:p>
      <w:pPr>
        <w:ind w:right="180" w:firstLine="2600"/>
        <w:spacing w:after="0" w:line="244" w:lineRule="auto"/>
        <w:tabs>
          <w:tab w:leader="none" w:pos="309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whose Supplemental Plan benefits began but whose vested Pension Plan benefits had not started prior to this death, the spouse who was legally married to the Participant on the date of his death.</w:t>
      </w:r>
    </w:p>
    <w:p>
      <w:pPr>
        <w:sectPr>
          <w:pgSz w:w="11900" w:h="16838" w:orient="portrait"/>
          <w:cols w:equalWidth="0" w:num="1">
            <w:col w:w="11220"/>
          </w:cols>
          <w:pgMar w:left="320" w:top="598" w:right="359" w:bottom="1440" w:gutter="0" w:footer="0" w:header="0"/>
        </w:sectPr>
      </w:pP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Surviving Spouse’s Pension” means the pension provided for in Section 2.6.</w:t>
      </w:r>
    </w:p>
    <w:p>
      <w:pPr>
        <w:spacing w:after="0" w:line="211" w:lineRule="exact"/>
        <w:rPr>
          <w:sz w:val="20"/>
          <w:szCs w:val="20"/>
          <w:color w:val="auto"/>
        </w:rPr>
      </w:pPr>
    </w:p>
    <w:p>
      <w:pPr>
        <w:sectPr>
          <w:pgSz w:w="11900" w:h="16838" w:orient="portrait"/>
          <w:cols w:equalWidth="0" w:num="2">
            <w:col w:w="1620" w:space="220"/>
            <w:col w:w="9380"/>
          </w:cols>
          <w:pgMar w:left="320" w:top="598" w:right="35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Credited Service” means:</w:t>
      </w:r>
    </w:p>
    <w:p>
      <w:pPr>
        <w:spacing w:after="0" w:line="200" w:lineRule="exact"/>
        <w:rPr>
          <w:sz w:val="20"/>
          <w:szCs w:val="20"/>
          <w:color w:val="auto"/>
        </w:rPr>
      </w:pPr>
    </w:p>
    <w:p>
      <w:pPr>
        <w:sectPr>
          <w:pgSz w:w="11900" w:h="16838" w:orient="portrait"/>
          <w:cols w:equalWidth="0" w:num="2">
            <w:col w:w="1620" w:space="220"/>
            <w:col w:w="9380"/>
          </w:cols>
          <w:pgMar w:left="320" w:top="598" w:right="359" w:bottom="1440" w:gutter="0" w:footer="0" w:header="0"/>
          <w:type w:val="continuous"/>
        </w:sectPr>
      </w:pPr>
    </w:p>
    <w:p>
      <w:pPr>
        <w:spacing w:after="0" w:line="45" w:lineRule="exact"/>
        <w:rPr>
          <w:sz w:val="20"/>
          <w:szCs w:val="20"/>
          <w:color w:val="auto"/>
        </w:rPr>
      </w:pPr>
    </w:p>
    <w:p>
      <w:pPr>
        <w:ind w:firstLine="1952"/>
        <w:spacing w:after="0" w:line="236" w:lineRule="auto"/>
        <w:tabs>
          <w:tab w:leader="none" w:pos="236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years of Credited Service (and portions thereof) as set forth in the Article IV of the Pension Plan, which are credited with respect to the Participant under the Pension Plan (taking into account, as applicable, the Credited Service freeze set forth in Section 4.04 of the Pension Plan), other than Credited Service accruing during a Participant’s approved unpaid leave of absence (for the avoidance of doubt, for reasons other than Total Disability) that is after the Participant’s Separation from Service, plus Credited Service for years of Employment that are not taken into account under the Pension Plan solely due to application of the provisions of Alternative II-D set forth in Section 3.01(c) of the Pension Plan;</w:t>
      </w:r>
    </w:p>
    <w:p>
      <w:pPr>
        <w:spacing w:after="0" w:line="208" w:lineRule="exact"/>
        <w:rPr>
          <w:rFonts w:ascii="Times New Roman" w:cs="Times New Roman" w:eastAsia="Times New Roman" w:hAnsi="Times New Roman"/>
          <w:sz w:val="22"/>
          <w:szCs w:val="22"/>
          <w:color w:val="auto"/>
        </w:rPr>
      </w:pPr>
    </w:p>
    <w:p>
      <w:pPr>
        <w:ind w:right="40" w:firstLine="1952"/>
        <w:spacing w:after="0" w:line="244" w:lineRule="auto"/>
        <w:tabs>
          <w:tab w:leader="none" w:pos="242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training prior to the Participant’s Employment Commencement Date, as may have especially qualified the Participant for service with the Company, as determined by the Board of Directors, in its sole discretion;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type w:val="continuous"/>
        </w:sectPr>
      </w:pPr>
    </w:p>
    <w:bookmarkStart w:id="149" w:name="page150"/>
    <w:bookmarkEnd w:id="149"/>
    <w:p>
      <w:pPr>
        <w:ind w:right="140" w:firstLine="1952"/>
        <w:spacing w:after="0" w:line="258" w:lineRule="auto"/>
        <w:tabs>
          <w:tab w:leader="none" w:pos="24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not exceeding five (5), as may be approved by the Chief Executive Officer of Union Pacific prior to the Participant’s termination of Employment; and</w:t>
      </w:r>
    </w:p>
    <w:p>
      <w:pPr>
        <w:spacing w:after="0" w:line="185"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years of service as may be credited to the Participant pursuant to Section 2.8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2.10.</w:t>
      </w:r>
    </w:p>
    <w:p>
      <w:pPr>
        <w:spacing w:after="0" w:line="209"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1"/>
          <w:szCs w:val="21"/>
          <w:color w:val="auto"/>
        </w:rPr>
        <w:t>(t)“ Total Offset Service” means (i) all years of “offset service” (including portions thereof) as set forth in Article V of the Pension Plan, including years of offset service for years of Employment that are not taken into account under the Pension Plan solely due to application of the provisions of Alternative II-D set forth in Section 3.01(c) of the Pension Plan; and</w:t>
      </w:r>
    </w:p>
    <w:p>
      <w:pPr>
        <w:spacing w:after="0" w:line="1" w:lineRule="exact"/>
        <w:rPr>
          <w:sz w:val="20"/>
          <w:szCs w:val="20"/>
          <w:color w:val="auto"/>
        </w:rPr>
      </w:pPr>
    </w:p>
    <w:p>
      <w:pPr>
        <w:ind w:right="380" w:firstLine="8"/>
        <w:spacing w:after="0" w:line="235" w:lineRule="auto"/>
        <w:tabs>
          <w:tab w:leader="none" w:pos="31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years as credited in accordance with Section 1.3(s)(ii), (iii) or (iv). For the avoidance of doubt, Total Offset Service includes Credited Service described in Section 5.01(b)(2) of the Pension Plan used to determine a Participant’s governmental offset under the Pension Plan.</w:t>
      </w:r>
    </w:p>
    <w:p>
      <w:pPr>
        <w:sectPr>
          <w:pgSz w:w="11900" w:h="16838" w:orient="portrait"/>
          <w:cols w:equalWidth="0" w:num="1">
            <w:col w:w="11240"/>
          </w:cols>
          <w:pgMar w:left="320" w:top="598"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Union Pacific” means Union Pacific Corporation, or any successor to that corporation.</w:t>
      </w:r>
    </w:p>
    <w:p>
      <w:pPr>
        <w:spacing w:after="0" w:line="211" w:lineRule="exact"/>
        <w:rPr>
          <w:sz w:val="20"/>
          <w:szCs w:val="20"/>
          <w:color w:val="auto"/>
        </w:rPr>
      </w:pPr>
    </w:p>
    <w:p>
      <w:pPr>
        <w:sectPr>
          <w:pgSz w:w="11900" w:h="16838" w:orient="portrait"/>
          <w:cols w:equalWidth="0" w:num="2">
            <w:col w:w="1660" w:space="200"/>
            <w:col w:w="9380"/>
          </w:cols>
          <w:pgMar w:left="320" w:top="598" w:right="339" w:bottom="1440" w:gutter="0" w:footer="0" w:header="0"/>
          <w:type w:val="continuous"/>
        </w:sectPr>
      </w:pPr>
    </w:p>
    <w:p>
      <w:pPr>
        <w:spacing w:after="0" w:line="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1"/>
          <w:szCs w:val="21"/>
          <w:color w:val="auto"/>
        </w:rPr>
        <w:t>Vesting Service” means (i) all years of Vesting Service (including portions thereof) as set forth in Article IV</w:t>
      </w:r>
    </w:p>
    <w:p>
      <w:pPr>
        <w:sectPr>
          <w:pgSz w:w="11900" w:h="16838" w:orient="portrait"/>
          <w:cols w:equalWidth="0" w:num="1">
            <w:col w:w="11240"/>
          </w:cols>
          <w:pgMar w:left="320" w:top="598"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Pension Plan; and (ii) any additional years as credited in accordance with Section 1.3(s)(ii), (iii) or (iv).</w:t>
      </w:r>
    </w:p>
    <w:p>
      <w:pPr>
        <w:spacing w:after="0" w:line="204" w:lineRule="exact"/>
        <w:rPr>
          <w:sz w:val="20"/>
          <w:szCs w:val="20"/>
          <w:color w:val="auto"/>
        </w:rPr>
      </w:pPr>
    </w:p>
    <w:p>
      <w:pPr>
        <w:ind w:firstLine="1304"/>
        <w:spacing w:after="0" w:line="258" w:lineRule="auto"/>
        <w:tabs>
          <w:tab w:leader="none" w:pos="181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other capitalized terms shall have the respective meanings set forth in the definition provisions of Article II of the Pension Plan.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Amount and Payment of Pension</w:t>
      </w:r>
    </w:p>
    <w:p>
      <w:pPr>
        <w:spacing w:after="0" w:line="23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2.1 Normal Supplemental Pension. Subject to the provisions of Articles Three, Five and Eleven, a Participant who has a Separation from Service at his or her Normal Retirement Age under the Pension Plan shall be entitled to receive a Normal Supplemental Pension (or a Rehire Supplemental Pension, as applicable), in the form of a single life annuity commencing on the Participant’s Normal Retirement Date, equal to the result of (a) minus (b) minus (c),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-493395</wp:posOffset>
            </wp:positionV>
            <wp:extent cx="18135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1813560" cy="8890"/>
                    </a:xfrm>
                    <a:prstGeom prst="rect">
                      <a:avLst/>
                    </a:prstGeom>
                    <a:noFill/>
                  </pic:spPr>
                </pic:pic>
              </a:graphicData>
            </a:graphic>
          </wp:anchor>
        </w:drawing>
      </w:r>
    </w:p>
    <w:p>
      <w:pPr>
        <w:spacing w:after="0" w:line="187" w:lineRule="exact"/>
        <w:rPr>
          <w:sz w:val="20"/>
          <w:szCs w:val="20"/>
          <w:color w:val="auto"/>
        </w:rPr>
      </w:pPr>
    </w:p>
    <w:p>
      <w:pPr>
        <w:ind w:right="380" w:firstLine="1304"/>
        <w:spacing w:after="0" w:line="251" w:lineRule="auto"/>
        <w:tabs>
          <w:tab w:leader="none" w:pos="175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the annual Accrued Benefit payable at Normal Retirement Date computed on the basis of the formula provided in Section 5.01 of the Pension Plan as of the date of the Participant’s Separation from Service, determined without regard to the limitation described in Section 5.02 of the Pension Plan, and including under such formula any amounts of Final Average Compensation that were excluded from consideration for the Participant under the Pension Plan and all Incentive Compensation payable to the Participant within the 120-calendar-month period immediately preceding:</w:t>
      </w:r>
    </w:p>
    <w:p>
      <w:pPr>
        <w:spacing w:after="0" w:line="195" w:lineRule="exact"/>
        <w:rPr>
          <w:sz w:val="20"/>
          <w:szCs w:val="20"/>
          <w:color w:val="auto"/>
        </w:rPr>
      </w:pPr>
    </w:p>
    <w:p>
      <w:pPr>
        <w:ind w:firstLine="1304"/>
        <w:spacing w:after="0" w:line="258" w:lineRule="auto"/>
        <w:tabs>
          <w:tab w:leader="none" w:pos="207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not an Active Participant under the Pension Plan after December 31, 2017, the date prior to January 1, 2018 on which the Participant ceases to be a Covered Employee; and</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5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Participant who is an Active Participant under the Pension Plan on or after January 1, 2018, the date on or after January 1, 2018 on which the Participant ceases to be an Active Participant under the Pension Plan, after taking into account Section 3.02(e)(1) or (2) (as may be applicable) of the Pension Plan,</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and, in all cases, utilizing Total Credited Service up to 40 years in place of Credited Service under Article IV of the Pension Plan and Total Offset Service up to 40 years in place of “offset service” under Article V of the Pension Plan;</w:t>
      </w:r>
    </w:p>
    <w:p>
      <w:pPr>
        <w:spacing w:after="0" w:line="185" w:lineRule="exact"/>
        <w:rPr>
          <w:sz w:val="20"/>
          <w:szCs w:val="20"/>
          <w:color w:val="auto"/>
        </w:rPr>
      </w:pPr>
    </w:p>
    <w:p>
      <w:pPr>
        <w:ind w:right="260" w:firstLine="1304"/>
        <w:spacing w:after="0" w:line="258" w:lineRule="auto"/>
        <w:tabs>
          <w:tab w:leader="none" w:pos="176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nonforfeitable Accrued Benefit payable at Normal Retirement Date actually determined to be due under the terms of the Pension Plan as of the date of the Participant’s Separation from Service; and</w:t>
      </w:r>
    </w:p>
    <w:p>
      <w:pPr>
        <w:spacing w:after="0" w:line="185" w:lineRule="exact"/>
        <w:rPr>
          <w:rFonts w:ascii="Times New Roman" w:cs="Times New Roman" w:eastAsia="Times New Roman" w:hAnsi="Times New Roman"/>
          <w:sz w:val="22"/>
          <w:szCs w:val="22"/>
          <w:color w:val="auto"/>
        </w:rPr>
      </w:pPr>
    </w:p>
    <w:p>
      <w:pPr>
        <w:ind w:right="560" w:firstLine="1304"/>
        <w:spacing w:after="0" w:line="258" w:lineRule="auto"/>
        <w:tabs>
          <w:tab w:leader="none" w:pos="1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annual nonforfeitable Normal Supplemental Pension payable at Normal Retirement Date actually determined under the Supplemental Plan (409A Grandfathered Component).</w:t>
      </w:r>
    </w:p>
    <w:p>
      <w:pPr>
        <w:spacing w:after="0" w:line="151" w:lineRule="exact"/>
        <w:rPr>
          <w:sz w:val="20"/>
          <w:szCs w:val="20"/>
          <w:color w:val="auto"/>
        </w:rPr>
      </w:pPr>
    </w:p>
    <w:p>
      <w:pPr>
        <w:jc w:val="both"/>
        <w:spacing w:after="0" w:line="272" w:lineRule="exact"/>
        <w:rPr>
          <w:sz w:val="20"/>
          <w:szCs w:val="20"/>
          <w:color w:val="auto"/>
        </w:rPr>
      </w:pPr>
      <w:r>
        <w:rPr>
          <w:rFonts w:ascii="Times New Roman" w:cs="Times New Roman" w:eastAsia="Times New Roman" w:hAnsi="Times New Roman"/>
          <w:sz w:val="21"/>
          <w:szCs w:val="21"/>
          <w:color w:val="auto"/>
        </w:rPr>
        <w:t>For purposes of determining benefits under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any actuarial adjustments for a delay in the commencement of payment beyond the Normal Retirement Date or otherwise that apply under the Pension Plan in calculating the benefit described in (b), above, shall also apply to calculate the benefit described in (a), above.</w:t>
      </w:r>
    </w:p>
    <w:p>
      <w:pPr>
        <w:spacing w:after="0" w:line="20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Early Supplemental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16916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169164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51" w:name="page152"/>
    <w:bookmarkEnd w:id="151"/>
    <w:p>
      <w:pPr>
        <w:ind w:left="-8" w:firstLine="1304"/>
        <w:spacing w:after="0" w:line="232" w:lineRule="auto"/>
        <w:tabs>
          <w:tab w:leader="none" w:pos="17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Retires on Early Retirement Date. Subject to the provisions of Articles Three, Five and Eleven, a Participant who has a Separation from Service on an Early Retirement Date under the Pension Plan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the Normal Supplemental Pension, but with the amounts described in Section 2.1 adjusted for payment as of the early benefit start date in accordance with Section 6.03 of the Pension Plan (whether or not the Participant’s Pension Plan benefit or Supplemental Plan (409A Grandfathered Component) benefit starts on that date), taking into account any additional years of age described in Section 1.3(e)(ii) solely for purposes of adjusting both the gross and offset portions of the benefit in Section 2.1(a). Additionally, 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the immediately preceding sentence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on that date).</w:t>
      </w:r>
    </w:p>
    <w:p>
      <w:pPr>
        <w:spacing w:after="0" w:line="218" w:lineRule="exact"/>
        <w:rPr>
          <w:rFonts w:ascii="Times New Roman" w:cs="Times New Roman" w:eastAsia="Times New Roman" w:hAnsi="Times New Roman"/>
          <w:sz w:val="22"/>
          <w:szCs w:val="22"/>
          <w:color w:val="auto"/>
        </w:rPr>
      </w:pPr>
    </w:p>
    <w:p>
      <w:pPr>
        <w:ind w:left="-8" w:right="80" w:firstLine="1304"/>
        <w:spacing w:after="0" w:line="236" w:lineRule="auto"/>
        <w:tabs>
          <w:tab w:leader="none" w:pos="1756"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Retires on Early Supplemental Pension Retirement Date. Subject to the provisions of Articles Three, Five and Eleven, a Participant who has a Separation from Service on an Early Supplemental Pension Retirement Date shall receive an Early Supplemental Pension, in the form of a single life annuity commencing on the first day of the month following the later of the Participant’s Separation from Service or the Participant’s attainment of age 55. The Early Supplemental Pension shall be computed in the same manner as described in Section 2.2(a), above, except that, for purposes of determining the Early Supplemental Pension as described in Section 2.2(a):</w:t>
      </w:r>
    </w:p>
    <w:p>
      <w:pPr>
        <w:spacing w:after="0" w:line="208" w:lineRule="exact"/>
        <w:rPr>
          <w:rFonts w:ascii="Times New Roman" w:cs="Times New Roman" w:eastAsia="Times New Roman" w:hAnsi="Times New Roman"/>
          <w:sz w:val="22"/>
          <w:szCs w:val="22"/>
          <w:color w:val="auto"/>
        </w:rPr>
      </w:pPr>
    </w:p>
    <w:p>
      <w:pPr>
        <w:ind w:left="-8" w:right="40" w:firstLine="1952"/>
        <w:spacing w:after="0" w:line="249" w:lineRule="auto"/>
        <w:tabs>
          <w:tab w:leader="none" w:pos="2356" w:val="left"/>
        </w:tabs>
        <w:numPr>
          <w:ilvl w:val="2"/>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described in Sections 2.1(a) and 2.1(c) shall be adjusted for payment as of the early benefit start date in accordance with Section 6.03 of the Pension Plan (whether or not the Participant’s Supplemental Plan (409A Grandfathered Component) benefit starts on that date), taking into account any additional years of age described in Section 1.3(e)</w:t>
      </w:r>
    </w:p>
    <w:p>
      <w:pPr>
        <w:spacing w:after="0" w:line="1"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adjusting both the gross and offset portions of the benefit in Section 2.1(a); and</w:t>
      </w:r>
    </w:p>
    <w:p>
      <w:pPr>
        <w:spacing w:after="0" w:line="209" w:lineRule="exact"/>
        <w:rPr>
          <w:rFonts w:ascii="Times New Roman" w:cs="Times New Roman" w:eastAsia="Times New Roman" w:hAnsi="Times New Roman"/>
          <w:sz w:val="22"/>
          <w:szCs w:val="22"/>
          <w:color w:val="auto"/>
        </w:rPr>
      </w:pPr>
    </w:p>
    <w:p>
      <w:pPr>
        <w:ind w:left="-8" w:firstLine="1952"/>
        <w:spacing w:after="0" w:line="282" w:lineRule="auto"/>
        <w:tabs>
          <w:tab w:leader="none" w:pos="2416"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described in Section 2.1(b) shall be adjusted for payment as of the early benefit start date in accordance with Section 6.04 of the Pension Plan (whether or not the Participant’s Pension Plan benefit starts on that date); and</w:t>
      </w:r>
    </w:p>
    <w:p>
      <w:pPr>
        <w:spacing w:after="0" w:line="161" w:lineRule="exact"/>
        <w:rPr>
          <w:rFonts w:ascii="Times New Roman" w:cs="Times New Roman" w:eastAsia="Times New Roman" w:hAnsi="Times New Roman"/>
          <w:sz w:val="21"/>
          <w:szCs w:val="21"/>
          <w:color w:val="auto"/>
        </w:rPr>
      </w:pPr>
    </w:p>
    <w:p>
      <w:pPr>
        <w:ind w:left="-8" w:right="80" w:firstLine="1952"/>
        <w:spacing w:after="0" w:line="235" w:lineRule="auto"/>
        <w:tabs>
          <w:tab w:leader="none" w:pos="2476"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Normal Supplemental Pension, as defined in the Supplemental Plan (409A Grandfathered Component), is payable under Section 4.2 of such Plan, the Participant’s Early Supplemental Pension under the Supplemental Plan (409A Non-Grandfathered Component) shall be increased by the difference, if any, between (i) the amount of the benefit computed under Section 2.2(a) attributable to the Participant’s Normal Supplemental Pension under the terms of the Supplemental Plan (409A Grandfathered Component) as described in Section 2.1(c) and (ii) such amount that would have been payable from the Supplemental Plan (409A Grandfathered Component) at the Participant’s early benefit start date under the Supplemental Plan (409A Non-Grandfathered Component) (whether or not the Participant’s Supplemental Plan (409A Grandfathered Component) benefit starts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-6049645</wp:posOffset>
            </wp:positionV>
            <wp:extent cx="25939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259397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-3426460</wp:posOffset>
            </wp:positionV>
            <wp:extent cx="3850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3850640" cy="8255"/>
                    </a:xfrm>
                    <a:prstGeom prst="rect">
                      <a:avLst/>
                    </a:prstGeom>
                    <a:noFill/>
                  </pic:spPr>
                </pic:pic>
              </a:graphicData>
            </a:graphic>
          </wp:anchor>
        </w:drawing>
      </w:r>
    </w:p>
    <w:p>
      <w:pPr>
        <w:spacing w:after="0" w:line="1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98" w:right="339" w:bottom="1440" w:gutter="0" w:footer="0" w:header="0"/>
        </w:sectPr>
      </w:pPr>
    </w:p>
    <w:bookmarkStart w:id="152" w:name="page153"/>
    <w:bookmarkEnd w:id="152"/>
    <w:p>
      <w:pPr>
        <w:ind w:firstLine="648"/>
        <w:spacing w:after="0" w:line="238" w:lineRule="auto"/>
        <w:rPr>
          <w:sz w:val="20"/>
          <w:szCs w:val="20"/>
          <w:color w:val="auto"/>
        </w:rPr>
      </w:pPr>
      <w:r>
        <w:rPr>
          <w:rFonts w:ascii="Times New Roman" w:cs="Times New Roman" w:eastAsia="Times New Roman" w:hAnsi="Times New Roman"/>
          <w:sz w:val="22"/>
          <w:szCs w:val="22"/>
          <w:color w:val="auto"/>
        </w:rPr>
        <w:t>2.3 Postponed Supplemental Pension. Subject to the provisions of Articles Three, Five and Eleven, a Participant who has a Separation from Service after his Normal Retirement Age shall be entitled to a Postponed Supplemental Pension, in the form of a single life annuity commencing at the Postponed Retirement Date, which is equal to the Normal Supplemental Pension, computed in accordance with Section 2.1 based on his Total Credited Service, Total Offset Service, etc. as of the Participant’s Postponed Retirement Date (instead of his Normal Retirement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1965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1965960" cy="8255"/>
                    </a:xfrm>
                    <a:prstGeom prst="rect">
                      <a:avLst/>
                    </a:prstGeom>
                    <a:noFill/>
                  </pic:spPr>
                </pic:pic>
              </a:graphicData>
            </a:graphic>
          </wp:anchor>
        </w:drawing>
      </w:r>
    </w:p>
    <w:p>
      <w:pPr>
        <w:spacing w:after="0" w:line="18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Disabled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1306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213" w:lineRule="exact"/>
        <w:rPr>
          <w:sz w:val="20"/>
          <w:szCs w:val="20"/>
          <w:color w:val="auto"/>
        </w:rPr>
      </w:pPr>
    </w:p>
    <w:p>
      <w:pPr>
        <w:ind w:right="100" w:firstLine="1304"/>
        <w:spacing w:after="0" w:line="251" w:lineRule="exact"/>
        <w:tabs>
          <w:tab w:leader="none" w:pos="17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Supplemental Retirement Benefit. In the event that a Participant becomes a Disabled Participant under the Pension Plan (and therefore is deemed to have had a Separation from Service under the Pension Plan), the Participant shall receive a Normal Supplemental Pension, Early Supplemental Pension, or Postponed Supplemental Pension, as determined under Section 2.1, 2.2, 2.3 or 4.2, as applicable, in the form of a single life annuity commencing on the first day of the month following the later of the Participant’s Disability Date under the Pension Plan or the Participant’s attainment of age 55; provided that such Disabled Participant has had a Separation from Service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Such benefit shall be based on the Participant’s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 accrued through his or her Disability Date.</w:t>
      </w:r>
    </w:p>
    <w:p>
      <w:pPr>
        <w:spacing w:after="0" w:line="207" w:lineRule="exact"/>
        <w:rPr>
          <w:rFonts w:ascii="Times New Roman" w:cs="Times New Roman" w:eastAsia="Times New Roman" w:hAnsi="Times New Roman"/>
          <w:sz w:val="22"/>
          <w:szCs w:val="22"/>
          <w:color w:val="auto"/>
        </w:rPr>
      </w:pPr>
    </w:p>
    <w:p>
      <w:pPr>
        <w:ind w:firstLine="1304"/>
        <w:spacing w:after="0" w:line="251" w:lineRule="exact"/>
        <w:tabs>
          <w:tab w:leader="none" w:pos="17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Disability Pay. To the extent that a Disabled Participant accrues a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in excess of the amount described in Section 2.4(a) (due to the continued crediting of service and deemed Compensation for Disabled Participants), such additional benefit shall be paid at the same time and in the same form as the Participant’s Pension Plan benefit, as described in Section 6.05 of the Pension Plan. Such Additional Disability Pay Benefit may include, by way of example, any early retirement subsidy with respect to the Supplemental Plan benefit described in Section 2.4(a) that the Disabled Participant accrues after his or her Disability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-2214880</wp:posOffset>
            </wp:positionV>
            <wp:extent cx="254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254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-808990</wp:posOffset>
            </wp:positionV>
            <wp:extent cx="1531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18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2.5 Rehired Employees. The following provisions shall apply to any Participant who returns to Employment with the Company after having had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-198755</wp:posOffset>
            </wp:positionV>
            <wp:extent cx="1214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131" w:lineRule="exact"/>
        <w:rPr>
          <w:sz w:val="20"/>
          <w:szCs w:val="20"/>
          <w:color w:val="auto"/>
        </w:rPr>
      </w:pPr>
    </w:p>
    <w:p>
      <w:pPr>
        <w:jc w:val="both"/>
        <w:ind w:right="40" w:firstLine="1304"/>
        <w:spacing w:after="0" w:line="265" w:lineRule="exact"/>
        <w:tabs>
          <w:tab w:leader="none" w:pos="17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Supplemental Pension determined under the terms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that is attributable to a prior period of Employment shall continue to be paid to the Participant without regard to the Participant’s reemployment (even if the Participant’s Pension Plan benefit and Supplemental Plan (409A Grandfathered Component) benefit are suspended during such reemployment).</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53" w:name="page154"/>
    <w:bookmarkEnd w:id="153"/>
    <w:p>
      <w:pPr>
        <w:ind w:left="-40" w:right="40" w:firstLine="1304"/>
        <w:spacing w:after="0" w:line="249" w:lineRule="exact"/>
        <w:tabs>
          <w:tab w:leader="none" w:pos="171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rehired Participant shall be entitled to a Rehire Supplemental Pension, as determined in the same manner as a Supplemental Pension under Sections 2.1, 2.2, 2.3, 2.4(a) or 4.2, as applicable, based on the Participant’s Final Average Compensation, Incentive Compensation, Total Credited Service and Total Offset Service during his or her aggregated periods of Employment, but offset further by the annual nonforfeitable Supplemental Pension actually determined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as of the Participant’s prior Separation from Service. Notwithstanding the foregoing, a Participant shall not be entitled to accrue a benefit with respect to any period of Employment that follows a rehire occurring on or after January 1, 2018, unless the Participant’s Separation from Service was the result of the Participant becoming a Disabled Participant and the Participant returns to Employment as a Covered Employee at such time as the Employer may reasonably require after ceasing to suffer from a Total Disability.</w:t>
      </w:r>
    </w:p>
    <w:p>
      <w:pPr>
        <w:spacing w:after="0" w:line="204" w:lineRule="exact"/>
        <w:rPr>
          <w:rFonts w:ascii="Times New Roman" w:cs="Times New Roman" w:eastAsia="Times New Roman" w:hAnsi="Times New Roman"/>
          <w:sz w:val="22"/>
          <w:szCs w:val="22"/>
          <w:color w:val="auto"/>
        </w:rPr>
      </w:pPr>
    </w:p>
    <w:p>
      <w:pPr>
        <w:jc w:val="both"/>
        <w:ind w:left="-40" w:right="40" w:firstLine="1304"/>
        <w:spacing w:after="0" w:line="257" w:lineRule="exact"/>
        <w:tabs>
          <w:tab w:leader="none" w:pos="171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last sentence of Section 2.5(b), in the event that the Participant is entitled to receive more than one Rehire Supplemental Pension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(as a result of more than two Separations from Service), the provisions of Section 2.5(b) shall be applied as if all prior periods of the Participant’s Employment were aggregated into a single prior period of Employment.</w:t>
      </w:r>
    </w:p>
    <w:p>
      <w:pPr>
        <w:spacing w:after="0" w:line="203" w:lineRule="exact"/>
        <w:rPr>
          <w:rFonts w:ascii="Times New Roman" w:cs="Times New Roman" w:eastAsia="Times New Roman" w:hAnsi="Times New Roman"/>
          <w:sz w:val="22"/>
          <w:szCs w:val="22"/>
          <w:color w:val="auto"/>
        </w:rPr>
      </w:pPr>
    </w:p>
    <w:p>
      <w:pPr>
        <w:ind w:left="-40" w:right="20" w:firstLine="1304"/>
        <w:spacing w:after="0" w:line="239" w:lineRule="auto"/>
        <w:tabs>
          <w:tab w:leader="none" w:pos="172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Disabled Participant who is entitled to an Additional Disability Pay Benefit under Section 2.4(b) returns to Employment with the Company, the Rehire Supplemental Pension determined under Section 2.5(b) shall not take into account the Additional Disability Pay Benefit (except for purposes of vesting, eligibility for an early retirement subsidy, or the calculation of the 40 year limit in Section 2.1).</w:t>
      </w:r>
    </w:p>
    <w:p>
      <w:pPr>
        <w:spacing w:after="0" w:line="20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Surviving Spouse’s Pension (Post-Retirement Automatic Survivor Annuity).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43053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13" w:lineRule="exact"/>
        <w:rPr>
          <w:sz w:val="20"/>
          <w:szCs w:val="20"/>
          <w:color w:val="auto"/>
        </w:rPr>
      </w:pPr>
    </w:p>
    <w:p>
      <w:pPr>
        <w:ind w:left="-40" w:firstLine="1304"/>
        <w:spacing w:after="0" w:line="236" w:lineRule="auto"/>
        <w:tabs>
          <w:tab w:leader="none" w:pos="170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 of a Participant who dies while receiving a Normal Supplemental Pension (including a Normal Supplemental Pension determined under Section 4.2), Postponed Supplemental Pension or an Early Supplemental Pension determined under Section 2.2(a), which death occurs at a time when such Participant was receiving (or was immediately eligible to receive, had the Participant survived), the normal, postponed or early retirement benefit described at Sections 6.01, 6.02 or 6.03, respectively, of the Pension Plan, and, if applicable, an Additional Disability Pay Benefit, shall be entitled to a Surviving Spouse’s Pension equal to:</w:t>
      </w:r>
    </w:p>
    <w:p>
      <w:pPr>
        <w:spacing w:after="0" w:line="208" w:lineRule="exact"/>
        <w:rPr>
          <w:rFonts w:ascii="Times New Roman" w:cs="Times New Roman" w:eastAsia="Times New Roman" w:hAnsi="Times New Roman"/>
          <w:sz w:val="22"/>
          <w:szCs w:val="22"/>
          <w:color w:val="auto"/>
        </w:rPr>
      </w:pPr>
    </w:p>
    <w:p>
      <w:pPr>
        <w:ind w:left="-40" w:firstLine="1952"/>
        <w:spacing w:after="0" w:line="271" w:lineRule="exact"/>
        <w:tabs>
          <w:tab w:leader="none" w:pos="237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Participant is described in paragraph (ii) below, one-half of the single life annuity amount of the Normal, Early, or Postponed Supplemental Pension (including the Additional Disability Pay Benefit, if applicable) payable to such deceased Participant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w:t>
      </w:r>
    </w:p>
    <w:p>
      <w:pPr>
        <w:spacing w:after="0" w:line="172" w:lineRule="exact"/>
        <w:rPr>
          <w:rFonts w:ascii="Times New Roman" w:cs="Times New Roman" w:eastAsia="Times New Roman" w:hAnsi="Times New Roman"/>
          <w:sz w:val="22"/>
          <w:szCs w:val="22"/>
          <w:color w:val="auto"/>
        </w:rPr>
      </w:pPr>
    </w:p>
    <w:p>
      <w:pPr>
        <w:ind w:left="-40" w:right="20" w:firstLine="1952"/>
        <w:spacing w:after="0" w:line="249" w:lineRule="exact"/>
        <w:tabs>
          <w:tab w:leader="none" w:pos="238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was receiving, as described in Section 2.4(a), a Normal Supplemental Pension determined under Section 4.2 as a result of becoming a Disabled Participant and incurring a Separation from Service under the Supplemental Plan (409A Non-Grandfathered Component) prior to attaining age 55, one-half of the single life annuity amount of the Normal, Early or Postponed Supplemental Pension (including the Additional Disability Pay Benefit described in Section 2.4(b), if applicable) credited with respect to such deceased Participant under the terms of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determined as of the Participant’s Benefit Payment Date under the Pension Plan (or date of death if the Participant died prior thereto), and reflecting the Pension Plan’s early retirement reduction factors, if applicable, notwithstanding the Participant’s Separation from Service prior to age 55 for purposes of the Supplemental Plan (409A Non-Grandfathered Component).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98" w:right="379" w:bottom="1440" w:gutter="0" w:footer="0" w:header="0"/>
        </w:sectPr>
      </w:pPr>
    </w:p>
    <w:bookmarkStart w:id="154" w:name="page155"/>
    <w:bookmarkEnd w:id="154"/>
    <w:p>
      <w:pPr>
        <w:jc w:val="both"/>
        <w:spacing w:after="0" w:line="234" w:lineRule="auto"/>
        <w:rPr>
          <w:sz w:val="20"/>
          <w:szCs w:val="20"/>
          <w:color w:val="auto"/>
        </w:rPr>
      </w:pPr>
      <w:r>
        <w:rPr>
          <w:rFonts w:ascii="Times New Roman" w:cs="Times New Roman" w:eastAsia="Times New Roman" w:hAnsi="Times New Roman"/>
          <w:sz w:val="22"/>
          <w:szCs w:val="22"/>
          <w:color w:val="auto"/>
        </w:rPr>
        <w:t>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Section 2.1(c) adjusted for payment as of any early benefit start date in accordance with Section 6.04 of the Pension Plan (whether or not the Participant’s Supplemental Plan (409A Grandfathered Component) benefit starts on that date) and adjusted as of any postponed benefit start date according to any actuarial adjustments for a delay in the commencement of payment of the Participant’s benefit beyond the Normal Retirement Date or otherwise that apply to the calculation of such a delayed benefit payment (whether or not the Participant’s Supplemental Plan (409A Grandfathered Component) benefit starts on that date). Such Surviving Spouse’s Pension shall be payable to such Spouse in equal monthly payments for life, commencing on the first day of the month immediately following the death of such Participant.</w:t>
      </w:r>
    </w:p>
    <w:p>
      <w:pPr>
        <w:spacing w:after="0" w:line="206" w:lineRule="exact"/>
        <w:rPr>
          <w:sz w:val="20"/>
          <w:szCs w:val="20"/>
          <w:color w:val="auto"/>
        </w:rPr>
      </w:pPr>
    </w:p>
    <w:p>
      <w:pPr>
        <w:ind w:right="40" w:firstLine="1304"/>
        <w:spacing w:after="0" w:line="247" w:lineRule="exact"/>
        <w:tabs>
          <w:tab w:leader="none" w:pos="17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Spouse of a Participant who dies while receiving an Early Supplemental Pension determined under Section 2.2(b), relating to a Separation from Service on an Early Supplemental Pension Retirement Date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a date that does not qualify as an Early Retirement Date under the terms of the Pension Plan), and, if applicable, an Additional Disability Pay Benefit, shall be entitled to a Surviving Spouse’s Pension. The Surviving Spouse’s Pension shall be payable in equal monthly payments for the Surviving Spouse’s life, commencing on the first day of the month immediately following the Participant’s death, which shall equal one-half of the single life annuity amount calculated for the Participant under Section 2.2(b) (including the Additional Disability Pay Benefit, if applicable), as of the Participant’s early benefit start date under this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Additionally, if the Participant’s Normal Supplemental Pension, as defined in the Supplemental Plan (409A Grandfathered Component), is payable under Section 4.2 of such Plan, the Participant’s Surviving Spouse’s Pension shall be increased by an amount equal to one-half of the amount of the benefit computed under the Section</w:t>
      </w:r>
    </w:p>
    <w:p>
      <w:pPr>
        <w:spacing w:after="0" w:line="2" w:lineRule="exact"/>
        <w:rPr>
          <w:rFonts w:ascii="Times New Roman" w:cs="Times New Roman" w:eastAsia="Times New Roman" w:hAnsi="Times New Roman"/>
          <w:sz w:val="21"/>
          <w:szCs w:val="21"/>
          <w:color w:val="auto"/>
        </w:rPr>
      </w:pPr>
    </w:p>
    <w:p>
      <w:pPr>
        <w:ind w:right="1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2.1(c) adjusted for payment as of any early benefit start date in accordance with Section 6.04 of the Pension Plan (whether or not the Participant’s Supplemental Plan (409A Grandfathered Component) benefit starts on that date).</w:t>
      </w:r>
    </w:p>
    <w:p>
      <w:pPr>
        <w:spacing w:after="0" w:line="205" w:lineRule="exact"/>
        <w:rPr>
          <w:rFonts w:ascii="Times New Roman" w:cs="Times New Roman" w:eastAsia="Times New Roman" w:hAnsi="Times New Roman"/>
          <w:sz w:val="21"/>
          <w:szCs w:val="21"/>
          <w:color w:val="auto"/>
        </w:rPr>
      </w:pPr>
    </w:p>
    <w:p>
      <w:pPr>
        <w:ind w:right="20" w:firstLine="1304"/>
        <w:spacing w:after="0" w:line="236" w:lineRule="auto"/>
        <w:tabs>
          <w:tab w:leader="none" w:pos="174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Spouse’s Pension described in this Section 2.6 is payable in addition to any other death benefit that may be payable to the Surviving Spouse or other beneficiary of the Participant under the form of payment in which the Participant’s Supplemental Pension is paid pursuant to Article Three. However, in no event shall the Surviving Spouse who is entitled to the Surviving Spouse’s Pension, if also designated as the Participant’s beneficiary under a joint and survivor annuity payable under the Supplemental Plan, receive a total benefit from the Supplemental Plan that is more than 100% of the retirement income otherwise payable to the Participant under the Supplemental Plan.</w:t>
      </w:r>
    </w:p>
    <w:p>
      <w:pPr>
        <w:spacing w:after="0" w:line="20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2.7 Change in Control. A Participant who is affected by a Change in Control shall have his eligibility for and amount of Supplemental Plan benefits determined pursuant to the terms of the Union Pacific Corporation Key Employee Continuity Plan adopted November 16, 2000, 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-343535</wp:posOffset>
            </wp:positionV>
            <wp:extent cx="1150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Additional Age and Service for Certain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29711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5" w:name="page156"/>
    <w:bookmarkEnd w:id="155"/>
    <w:p>
      <w:pPr>
        <w:ind w:firstLine="1304"/>
        <w:spacing w:after="0" w:line="239" w:lineRule="auto"/>
        <w:tabs>
          <w:tab w:leader="none" w:pos="175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Ike Evans shall be deemed to have attained an age two (2) years, six (6) months older than his actual age, up to a maximum age 65 and shall receive an additional two (2) years, six (6) months service (up to a maximum of 40 years of service), which service shall be treated as part of the Participant’s Total Credited Service in the way described in Section 1.3(s)(iii);</w:t>
      </w:r>
    </w:p>
    <w:p>
      <w:pPr>
        <w:spacing w:after="0" w:line="207" w:lineRule="exact"/>
        <w:rPr>
          <w:rFonts w:ascii="Times New Roman" w:cs="Times New Roman" w:eastAsia="Times New Roman" w:hAnsi="Times New Roman"/>
          <w:sz w:val="22"/>
          <w:szCs w:val="22"/>
          <w:color w:val="auto"/>
        </w:rPr>
      </w:pPr>
    </w:p>
    <w:p>
      <w:pPr>
        <w:ind w:right="40" w:firstLine="1304"/>
        <w:spacing w:after="0" w:line="244" w:lineRule="auto"/>
        <w:tabs>
          <w:tab w:leader="none" w:pos="176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Stan McLaughlin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200" w:lineRule="exact"/>
        <w:rPr>
          <w:rFonts w:ascii="Times New Roman" w:cs="Times New Roman" w:eastAsia="Times New Roman" w:hAnsi="Times New Roman"/>
          <w:sz w:val="22"/>
          <w:szCs w:val="22"/>
          <w:color w:val="auto"/>
        </w:rPr>
      </w:pPr>
    </w:p>
    <w:p>
      <w:pPr>
        <w:jc w:val="both"/>
        <w:ind w:right="40" w:firstLine="1304"/>
        <w:spacing w:after="0" w:line="244" w:lineRule="auto"/>
        <w:tabs>
          <w:tab w:leader="none" w:pos="175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John Holm, shall be deemed to have attained an age two (2) years older than his actual age, up to a maximum age 65 and shall receive an additional two (2) years service (up to a maximum of 40 years of service), which service shall be treated as part of the Participant’s Total Credited Service in the way described in Section 1.3(s)(iii);</w:t>
      </w:r>
    </w:p>
    <w:p>
      <w:pPr>
        <w:spacing w:after="0" w:line="200" w:lineRule="exact"/>
        <w:rPr>
          <w:rFonts w:ascii="Times New Roman" w:cs="Times New Roman" w:eastAsia="Times New Roman" w:hAnsi="Times New Roman"/>
          <w:sz w:val="22"/>
          <w:szCs w:val="22"/>
          <w:color w:val="auto"/>
        </w:rPr>
      </w:pPr>
    </w:p>
    <w:p>
      <w:pPr>
        <w:ind w:right="180" w:firstLine="1304"/>
        <w:spacing w:after="0" w:line="239" w:lineRule="auto"/>
        <w:tabs>
          <w:tab w:leader="none" w:pos="176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Jerry Everett shall be deemed to have attained an age two (2) years, three (3) months older than his actual age, up to a maximum age 65 and shall receive an additional two (2) years service (up to a maximum of 40 years of service), which service shall be treated as part of the Participant’s Total Credited Service in the way described in Section 1.3(s) (iii); and</w:t>
      </w:r>
    </w:p>
    <w:p>
      <w:pPr>
        <w:spacing w:after="0" w:line="207" w:lineRule="exact"/>
        <w:rPr>
          <w:rFonts w:ascii="Times New Roman" w:cs="Times New Roman" w:eastAsia="Times New Roman" w:hAnsi="Times New Roman"/>
          <w:sz w:val="22"/>
          <w:szCs w:val="22"/>
          <w:color w:val="auto"/>
        </w:rPr>
      </w:pPr>
    </w:p>
    <w:p>
      <w:pPr>
        <w:ind w:right="140" w:firstLine="1304"/>
        <w:spacing w:after="0" w:line="258" w:lineRule="auto"/>
        <w:tabs>
          <w:tab w:leader="none" w:pos="175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Mike Ring shall be deemed to have attained an age three (3) years, six (6) months older than his actual age, up to a maximum age 65.</w:t>
      </w:r>
    </w:p>
    <w:p>
      <w:pPr>
        <w:spacing w:after="0" w:line="185" w:lineRule="exact"/>
        <w:rPr>
          <w:rFonts w:ascii="Times New Roman" w:cs="Times New Roman" w:eastAsia="Times New Roman" w:hAnsi="Times New Roman"/>
          <w:sz w:val="22"/>
          <w:szCs w:val="22"/>
          <w:color w:val="auto"/>
        </w:rPr>
      </w:pPr>
    </w:p>
    <w:p>
      <w:pPr>
        <w:ind w:right="140" w:firstLine="1304"/>
        <w:spacing w:after="0" w:line="244" w:lineRule="auto"/>
        <w:tabs>
          <w:tab w:leader="none" w:pos="172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and service credited as provided in Section 2.8(a)-(e) results in an additional deferral of compensation for purposes of the American Jobs Creation Act of 2004 (“AJCA”), and such additional deferral of compensation is subject to the terms of the AJCA.</w:t>
      </w:r>
    </w:p>
    <w:p>
      <w:pPr>
        <w:spacing w:after="0" w:line="200" w:lineRule="exact"/>
        <w:rPr>
          <w:sz w:val="20"/>
          <w:szCs w:val="20"/>
          <w:color w:val="auto"/>
        </w:rPr>
      </w:pPr>
    </w:p>
    <w:p>
      <w:pPr>
        <w:ind w:right="60" w:firstLine="648"/>
        <w:spacing w:after="0" w:line="249" w:lineRule="exact"/>
        <w:rPr>
          <w:sz w:val="20"/>
          <w:szCs w:val="20"/>
          <w:color w:val="auto"/>
        </w:rPr>
      </w:pPr>
      <w:r>
        <w:rPr>
          <w:rFonts w:ascii="Times New Roman" w:cs="Times New Roman" w:eastAsia="Times New Roman" w:hAnsi="Times New Roman"/>
          <w:sz w:val="21"/>
          <w:szCs w:val="21"/>
          <w:color w:val="auto"/>
        </w:rPr>
        <w:t>2.9 Six Month Delay for Specified Employees. Notwithstanding any provision of this Supplemental Plan (409A Non-Grandfathered Component) to the contrary, no payment shall be made to a “specified employee” (as determined in accordance with a uniform policy adopted by the Company with respect to all arrangements subject to Section 409A of the Code maintained by the Company and its Affiliated Companies) until the first day of the seventh month following such specified employee’s Separation from Service; provided, however, that in the event of the specified employee’s death before his payment commencement date, this provision shall not prevent payment of death benefits at the time(s) otherwise prescribed by this Supplemental Plan (409A Non-Grandfathered Component); and provided further that this Section 2.9 shall not apply to the Additional Disability Pay Benefit. Payments suspended during such six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month period shall be accumulated and paid to the specified employee (without interest) in the seventh month following the specified employee’s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-1273810</wp:posOffset>
            </wp:positionV>
            <wp:extent cx="24720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2472055" cy="8890"/>
                    </a:xfrm>
                    <a:prstGeom prst="rect">
                      <a:avLst/>
                    </a:prstGeom>
                    <a:noFill/>
                  </pic:spPr>
                </pic:pic>
              </a:graphicData>
            </a:graphic>
          </wp:anchor>
        </w:drawing>
      </w:r>
    </w:p>
    <w:p>
      <w:pPr>
        <w:spacing w:after="0" w:line="18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2.10 2017 Benefit Enhancement. Effective September 30, 2017, the benefit enhancements described in subsection (b) shall be provided to any Participant who is a Covered Employee under the Pension Plan who satisfies the requirements of subsection (a). These enhancements shall be taken into account in determining the Participant’s Normal Supplemental Pension, Early Supplemental Pension or Postponed Supplemental Pension as described in Section 2.1, 2.2 or 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-504825</wp:posOffset>
            </wp:positionV>
            <wp:extent cx="16300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56" w:name="page157"/>
    <w:bookmarkEnd w:id="156"/>
    <w:p>
      <w:pPr>
        <w:ind w:left="1720" w:hanging="456"/>
        <w:spacing w:after="0"/>
        <w:tabs>
          <w:tab w:leader="none" w:pos="17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this subsection (a) are satisfied by a Covered Employee who:</w:t>
      </w:r>
    </w:p>
    <w:p>
      <w:pPr>
        <w:spacing w:after="0" w:line="233" w:lineRule="exact"/>
        <w:rPr>
          <w:rFonts w:ascii="Times New Roman" w:cs="Times New Roman" w:eastAsia="Times New Roman" w:hAnsi="Times New Roman"/>
          <w:sz w:val="22"/>
          <w:szCs w:val="22"/>
          <w:color w:val="auto"/>
        </w:rPr>
      </w:pPr>
    </w:p>
    <w:p>
      <w:pPr>
        <w:ind w:left="2380" w:hanging="468"/>
        <w:spacing w:after="0"/>
        <w:tabs>
          <w:tab w:leader="none" w:pos="23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Covered Employee under the Pension Plan on August 16, 2017;</w:t>
      </w:r>
    </w:p>
    <w:p>
      <w:pPr>
        <w:spacing w:after="0" w:line="233" w:lineRule="exact"/>
        <w:rPr>
          <w:rFonts w:ascii="Times New Roman" w:cs="Times New Roman" w:eastAsia="Times New Roman" w:hAnsi="Times New Roman"/>
          <w:sz w:val="22"/>
          <w:szCs w:val="22"/>
          <w:color w:val="auto"/>
        </w:rPr>
      </w:pPr>
    </w:p>
    <w:p>
      <w:pPr>
        <w:ind w:left="2380" w:hanging="468"/>
        <w:spacing w:after="0"/>
        <w:tabs>
          <w:tab w:leader="none" w:pos="23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2016 Compensation, as defined in Section 2.18(c) of the Pension Plan, in excess of $120,000;</w:t>
      </w:r>
    </w:p>
    <w:p>
      <w:pPr>
        <w:spacing w:after="0" w:line="233" w:lineRule="exact"/>
        <w:rPr>
          <w:rFonts w:ascii="Times New Roman" w:cs="Times New Roman" w:eastAsia="Times New Roman" w:hAnsi="Times New Roman"/>
          <w:sz w:val="22"/>
          <w:szCs w:val="22"/>
          <w:color w:val="auto"/>
        </w:rPr>
      </w:pPr>
    </w:p>
    <w:p>
      <w:pPr>
        <w:ind w:left="-40" w:right="200" w:firstLine="1952"/>
        <w:spacing w:after="0" w:line="258" w:lineRule="auto"/>
        <w:tabs>
          <w:tab w:leader="none" w:pos="237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at least age 55 with at least 10 years of Vesting Service, as defined in Section 2.75 of the Pension Plan or has attained age 65, each determined as of September 30, 2017;</w:t>
      </w:r>
    </w:p>
    <w:p>
      <w:pPr>
        <w:spacing w:after="0" w:line="185" w:lineRule="exact"/>
        <w:rPr>
          <w:rFonts w:ascii="Times New Roman" w:cs="Times New Roman" w:eastAsia="Times New Roman" w:hAnsi="Times New Roman"/>
          <w:sz w:val="22"/>
          <w:szCs w:val="22"/>
          <w:color w:val="auto"/>
        </w:rPr>
      </w:pPr>
    </w:p>
    <w:p>
      <w:pPr>
        <w:ind w:left="-40" w:right="220" w:firstLine="1952"/>
        <w:spacing w:after="0" w:line="244" w:lineRule="auto"/>
        <w:tabs>
          <w:tab w:leader="none" w:pos="237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eligible for and is selected by the Company to participate in the Union Pacific 2017 Workforce Reduction Program (“2017 WRP”) and has a Separation from Service with the Company on the date selected by the Company, which date shall not occur after September 30, 2017; and</w:t>
      </w:r>
    </w:p>
    <w:p>
      <w:pPr>
        <w:spacing w:after="0" w:line="200" w:lineRule="exact"/>
        <w:rPr>
          <w:rFonts w:ascii="Times New Roman" w:cs="Times New Roman" w:eastAsia="Times New Roman" w:hAnsi="Times New Roman"/>
          <w:sz w:val="22"/>
          <w:szCs w:val="22"/>
          <w:color w:val="auto"/>
        </w:rPr>
      </w:pPr>
    </w:p>
    <w:p>
      <w:pPr>
        <w:ind w:left="-40" w:firstLine="1952"/>
        <w:spacing w:after="0" w:line="238" w:lineRule="auto"/>
        <w:tabs>
          <w:tab w:leader="none" w:pos="237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executes all documents required by the terms of the 2017 WRP, including a waiver and general release of any and all employment-related rights or claims (other than claims for benefits under the Supplemental Pension Plan or Pension Plan) that the Participant may have against the Company, any Affiliated Company, the Supplemental Plan, the Pension Plan and their respective officers, agents and employees, in the form and manner prescribed by the Company, and does not revoke such waiver and general release within the time period prescribed by the Company.</w:t>
      </w:r>
    </w:p>
    <w:p>
      <w:pPr>
        <w:spacing w:after="0" w:line="203" w:lineRule="exact"/>
        <w:rPr>
          <w:rFonts w:ascii="Times New Roman" w:cs="Times New Roman" w:eastAsia="Times New Roman" w:hAnsi="Times New Roman"/>
          <w:sz w:val="22"/>
          <w:szCs w:val="22"/>
          <w:color w:val="auto"/>
        </w:rPr>
      </w:pPr>
    </w:p>
    <w:p>
      <w:pPr>
        <w:ind w:left="1740" w:hanging="476"/>
        <w:spacing w:after="0"/>
        <w:tabs>
          <w:tab w:leader="none" w:pos="17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Employee described in subsection (a) shall:</w:t>
      </w:r>
    </w:p>
    <w:p>
      <w:pPr>
        <w:spacing w:after="0" w:line="233" w:lineRule="exact"/>
        <w:rPr>
          <w:rFonts w:ascii="Times New Roman" w:cs="Times New Roman" w:eastAsia="Times New Roman" w:hAnsi="Times New Roman"/>
          <w:sz w:val="22"/>
          <w:szCs w:val="22"/>
          <w:color w:val="auto"/>
        </w:rPr>
      </w:pPr>
    </w:p>
    <w:p>
      <w:pPr>
        <w:ind w:left="2380" w:hanging="468"/>
        <w:spacing w:after="0"/>
        <w:tabs>
          <w:tab w:leader="none" w:pos="23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up to an additional 60 months in the aggregate, which shall be applied as follows:</w:t>
      </w:r>
    </w:p>
    <w:p>
      <w:pPr>
        <w:spacing w:after="0" w:line="233" w:lineRule="exact"/>
        <w:rPr>
          <w:rFonts w:ascii="Times New Roman" w:cs="Times New Roman" w:eastAsia="Times New Roman" w:hAnsi="Times New Roman"/>
          <w:sz w:val="22"/>
          <w:szCs w:val="22"/>
          <w:color w:val="auto"/>
        </w:rPr>
      </w:pPr>
    </w:p>
    <w:p>
      <w:pPr>
        <w:ind w:left="3080" w:hanging="520"/>
        <w:spacing w:after="0"/>
        <w:tabs>
          <w:tab w:leader="none" w:pos="3080"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increase the Covered Employee’s deemed age, up to a maximum of age 65; and</w:t>
      </w:r>
    </w:p>
    <w:p>
      <w:pPr>
        <w:spacing w:after="0" w:line="233" w:lineRule="exact"/>
        <w:rPr>
          <w:rFonts w:ascii="Times New Roman" w:cs="Times New Roman" w:eastAsia="Times New Roman" w:hAnsi="Times New Roman"/>
          <w:sz w:val="22"/>
          <w:szCs w:val="22"/>
          <w:color w:val="auto"/>
        </w:rPr>
      </w:pPr>
    </w:p>
    <w:p>
      <w:pPr>
        <w:jc w:val="both"/>
        <w:ind w:left="-40" w:right="40" w:firstLine="2600"/>
        <w:spacing w:after="0" w:line="282" w:lineRule="auto"/>
        <w:tabs>
          <w:tab w:leader="none" w:pos="3056"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if any such months remain, to increase the Covered Employee’s years and months of service for purposes of calculating Total Credited Service and Total Offset Service, up to a maximum of 40 years of service; and</w:t>
      </w:r>
    </w:p>
    <w:p>
      <w:pPr>
        <w:spacing w:after="0" w:line="161" w:lineRule="exact"/>
        <w:rPr>
          <w:rFonts w:ascii="Times New Roman" w:cs="Times New Roman" w:eastAsia="Times New Roman" w:hAnsi="Times New Roman"/>
          <w:sz w:val="21"/>
          <w:szCs w:val="21"/>
          <w:color w:val="auto"/>
        </w:rPr>
      </w:pPr>
    </w:p>
    <w:p>
      <w:pPr>
        <w:ind w:left="-40" w:right="400" w:firstLine="1952"/>
        <w:spacing w:after="0" w:line="244" w:lineRule="auto"/>
        <w:tabs>
          <w:tab w:leader="none" w:pos="264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treated as having been a Covered Employee for 60 full consecutive months for purposes of applying Section 4.02(c)(3) of the Pension Plan when calculating Total Credited Service and Total Offset Service under this Supplemental Pension Plan (409A Non-Grandfathered Component).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98" w:right="37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Manner of Payment</w:t>
      </w:r>
    </w:p>
    <w:p>
      <w:pPr>
        <w:spacing w:after="0" w:line="237" w:lineRule="exact"/>
        <w:rPr>
          <w:sz w:val="20"/>
          <w:szCs w:val="20"/>
          <w:color w:val="auto"/>
        </w:rPr>
      </w:pPr>
    </w:p>
    <w:p>
      <w:pPr>
        <w:ind w:right="380" w:firstLine="648"/>
        <w:spacing w:after="0" w:line="238" w:lineRule="auto"/>
        <w:rPr>
          <w:sz w:val="20"/>
          <w:szCs w:val="20"/>
          <w:color w:val="auto"/>
        </w:rPr>
      </w:pPr>
      <w:r>
        <w:rPr>
          <w:rFonts w:ascii="Times New Roman" w:cs="Times New Roman" w:eastAsia="Times New Roman" w:hAnsi="Times New Roman"/>
          <w:sz w:val="22"/>
          <w:szCs w:val="22"/>
          <w:color w:val="auto"/>
        </w:rPr>
        <w:t>3.1 Normal Form of Payment for Retirement. Except as provided in Sections 3.2 and 3.3, if a Participant has a Separation from Service on a Normal Retirement Date, an Early Retirement Date, an Early Supplemental Pension Retirement Date, or a Postponed Retirement Date under Section 2.1, 2.2 or 2.3, payment of the Supplemental Pension shall be made to a Participant on his or her benefit start date in the form of a single life annuity payable in equal monthly installments to the Participant for his or her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23882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8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21"/>
          <w:szCs w:val="21"/>
          <w:color w:val="auto"/>
        </w:rPr>
        <w:t>3.2 Optional Forms of Payment for Retirement. Notwithstanding Section 3.1, a Participant may elect to receive payment of the Supplemental Pension in one of the following forms in lieu of the applicable normal form set forth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-213995</wp:posOffset>
            </wp:positionV>
            <wp:extent cx="25025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142" w:lineRule="exact"/>
        <w:rPr>
          <w:sz w:val="20"/>
          <w:szCs w:val="20"/>
          <w:color w:val="auto"/>
        </w:rPr>
      </w:pPr>
    </w:p>
    <w:p>
      <w:pPr>
        <w:ind w:left="1740" w:hanging="436"/>
        <w:spacing w:after="0"/>
        <w:tabs>
          <w:tab w:leader="none" w:pos="17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life annuity payable in equal monthly installments to the Participant for his lifetime;</w:t>
      </w:r>
    </w:p>
    <w:p>
      <w:pPr>
        <w:spacing w:after="0" w:line="233" w:lineRule="exact"/>
        <w:rPr>
          <w:rFonts w:ascii="Times New Roman" w:cs="Times New Roman" w:eastAsia="Times New Roman" w:hAnsi="Times New Roman"/>
          <w:sz w:val="22"/>
          <w:szCs w:val="22"/>
          <w:color w:val="auto"/>
        </w:rPr>
      </w:pPr>
    </w:p>
    <w:p>
      <w:pPr>
        <w:ind w:right="220" w:firstLine="1304"/>
        <w:spacing w:after="0" w:line="238" w:lineRule="auto"/>
        <w:tabs>
          <w:tab w:leader="none" w:pos="175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life annuity payable in equal monthly installments to the Participant for his lifetime, with 120 payments guaranteed. If a Participant dies before he or she has received 120 monthly payments, then any balance of guaranteed payments shall be paid in a single sum to the Participant’s Beneficiary within 90 days following the Participant’s death. A Participant’s designation of a Beneficiary to receive the balance of the guaranteed payments may be made or changed until the earlier of the Participant’ death or the expiration of the guaranteed period; or</w:t>
      </w:r>
    </w:p>
    <w:p>
      <w:pPr>
        <w:spacing w:after="0" w:line="203" w:lineRule="exact"/>
        <w:rPr>
          <w:rFonts w:ascii="Times New Roman" w:cs="Times New Roman" w:eastAsia="Times New Roman" w:hAnsi="Times New Roman"/>
          <w:sz w:val="22"/>
          <w:szCs w:val="22"/>
          <w:color w:val="auto"/>
        </w:rPr>
      </w:pPr>
    </w:p>
    <w:p>
      <w:pPr>
        <w:ind w:right="40" w:firstLine="1304"/>
        <w:spacing w:after="0" w:line="246" w:lineRule="auto"/>
        <w:tabs>
          <w:tab w:leader="none" w:pos="174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joint and survivor annuity with any individual Beneficiary designated by the Participant, payable in equal monthly installments for the Participant’s lifetime and with 25%, 50%, 75% or 100%, as elected by the Participant, of the amount of such monthly installment payable after the death of the Participant to the designated Beneficiary of such Participant, if then living, for the life of such designated Beneficiary. A Participant’s designation of a Beneficiary under a joint and survivor annuity may not be changed on or after the benefit start date for the Supplemental Pension. If a Participant’s Beneficiary dies before the benefit start date for the Supplemental Pension, but after the Participant has elected a joint and survivor annuity, the election shall automatically be revoked and the Supplemental Pension shall be paid in the form set forth in Section 3.1. Notwithstanding the foregoing, the percentage payable to the Participant’s Beneficiary (unless the Beneficiary is the Participant’s spouse) after the Participant’s death may not exceed the applicable percentage from the table set forth in Appendix C of the Pension Plan.</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election described in this Section 3.2 must be made in writing, in the form prescribed by the Administrator, at least six (6) months before, and no later than the tax year of the Participant immediately preceding, the benefit start date for the Supplemental Pension. Any optional form of benefit described in this Section 3.2 shall be the actuarial equivalent of the normal form of benefit described in Section 3.1, disregarding the value of any subsidized survivor annuity benefit, and based on the applicable factors set forth in the Pension Plan used for purposes of determining actuarial equivalence of such optional form of benefit.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58" w:name="page159"/>
    <w:bookmarkEnd w:id="158"/>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3.3 Payments For Certain Retirements Under Section 2.2(b). If a Participant has a Separation from Service on an Early Supplemental Pension Retirement Date, and at such Separation from Service either is not vested in or is not eligible to start a pension under the Pension Plan, payment of his Supplemental Pension shall be made in the form of a single life annuity. The Participant is not eligible to elect payment of his Supplemental Pension in any other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-493395</wp:posOffset>
            </wp:positionV>
            <wp:extent cx="32188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Special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1304"/>
        <w:spacing w:after="0" w:line="248" w:lineRule="auto"/>
        <w:tabs>
          <w:tab w:leader="none" w:pos="2022"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Michael A. Paras</w:t>
      </w:r>
      <w:r>
        <w:rPr>
          <w:rFonts w:ascii="Times New Roman" w:cs="Times New Roman" w:eastAsia="Times New Roman" w:hAnsi="Times New Roman"/>
          <w:sz w:val="21"/>
          <w:szCs w:val="21"/>
          <w:color w:val="auto"/>
        </w:rPr>
        <w:t>. The amount of the Supplemental Pension payable to Michael A. Paras under Article Two shall be paid on its scheduled payment date in the form of a single sum payment determined by converting the single life annuity into a single sum payment using (1) 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w:t>
      </w:r>
    </w:p>
    <w:p>
      <w:pPr>
        <w:spacing w:after="0" w:line="197" w:lineRule="exact"/>
        <w:rPr>
          <w:rFonts w:ascii="Times New Roman" w:cs="Times New Roman" w:eastAsia="Times New Roman" w:hAnsi="Times New Roman"/>
          <w:sz w:val="21"/>
          <w:szCs w:val="21"/>
          <w:color w:val="auto"/>
        </w:rPr>
      </w:pPr>
    </w:p>
    <w:p>
      <w:pPr>
        <w:ind w:firstLine="1304"/>
        <w:spacing w:after="0" w:line="233" w:lineRule="auto"/>
        <w:tabs>
          <w:tab w:leader="none" w:pos="203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Jeff M. Crandall</w:t>
      </w:r>
      <w:r>
        <w:rPr>
          <w:rFonts w:ascii="Times New Roman" w:cs="Times New Roman" w:eastAsia="Times New Roman" w:hAnsi="Times New Roman"/>
          <w:sz w:val="22"/>
          <w:szCs w:val="22"/>
          <w:color w:val="auto"/>
        </w:rPr>
        <w:t>. The amount of the Supplemental Pension payable to Jeff M. Crandall under Article Two shall be paid on its scheduled payment date in the form of a single sum payment determined by converting the joint and survivor annuity into a single sum payment using (1) an interest rate that is equal to the adjusted first, second, and third segment rates applied under rules similar to the rules of Section 430(h)(2)(C) of the Code for the month before the date of distribution or such other time as the Secretary of the Treasury may prescribe, as described in Section 417(e)(3) of the Code and as published from time to time by the Secretary of the Treasury and (2) the mortality table referred to in Revenue Ruling 2007-67 (or such other mortality table as may subsequently be in effect) for Benefit Payment Dates occurring on or after January 1, 2009; provided that Jeff M. Crandall is not entitled to receive any payment from a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w:t>
      </w:r>
    </w:p>
    <w:p>
      <w:pPr>
        <w:spacing w:after="0" w:line="214" w:lineRule="exact"/>
        <w:rPr>
          <w:sz w:val="20"/>
          <w:szCs w:val="20"/>
          <w:color w:val="auto"/>
        </w:rPr>
      </w:pPr>
    </w:p>
    <w:p>
      <w:pPr>
        <w:ind w:firstLine="1304"/>
        <w:spacing w:after="0" w:line="234" w:lineRule="auto"/>
        <w:tabs>
          <w:tab w:leader="none" w:pos="193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Arnold R. Robinson</w:t>
      </w:r>
      <w:r>
        <w:rPr>
          <w:rFonts w:ascii="Times New Roman" w:cs="Times New Roman" w:eastAsia="Times New Roman" w:hAnsi="Times New Roman"/>
          <w:sz w:val="22"/>
          <w:szCs w:val="22"/>
          <w:color w:val="auto"/>
        </w:rPr>
        <w:t>. Notwithstanding Section 3.1, the benefit payable to Arnold R. Robinson under Article Two hereof shall be paid on its scheduled payment date in the form of a single sum payment, the amount of which shall be determined by converting the single life annuity (including for this purpose, the benefit described in Section 2.6(a)) into to a single sum payment by using the applicable interest rate and mortality assumptions of Section 2.05(c) of the Pension Plan and treating such scheduled payment date as the “Benefit Payment Date” for purposes of Section 2.05(c) of the Pension Plan; provided that Arnold R. Robinson is not entitled to receive any payment from another nonqualified deferred compensation plan required to be aggregated with the Supplemental Plan (409A Non-Grandfathered Component) under the regulations promulgated under Section 409A of the Code and the amount of the single sum payment does not exceed the applicable dollar amount under Section 402(g)(1)(B) of the Code for the 2017 calendar year.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Termination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16986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213" w:lineRule="exact"/>
        <w:rPr>
          <w:sz w:val="20"/>
          <w:szCs w:val="20"/>
          <w:color w:val="auto"/>
        </w:rPr>
      </w:pPr>
    </w:p>
    <w:p>
      <w:pPr>
        <w:ind w:right="40" w:firstLine="1304"/>
        <w:spacing w:after="0" w:line="250" w:lineRule="exact"/>
        <w:tabs>
          <w:tab w:leader="none" w:pos="1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2.7, a Participant who has a Separation from Service before Early or Normal Retirement Date, and before completion of 5 years of actual Vesting Service under the Pension Plan (treating as actual service for this purpose, service described in Section 1.3(s)(ii) or credited under Section 2.7) shall not be entitled to any benefit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provided, however, that the Chief Executive Officer of Union Pacific may reduce the required years of actual Vesting Service to 3 if the Chief Executive Officer of Union Pacific determines that such change would not be disadvantageous to the Company in the case of any Participant. The Chief Executive Officer of Union Pacific shall make such determination by the date the Participant terminates Employment.</w:t>
      </w:r>
    </w:p>
    <w:p>
      <w:pPr>
        <w:spacing w:after="0" w:line="208" w:lineRule="exact"/>
        <w:rPr>
          <w:rFonts w:ascii="Times New Roman" w:cs="Times New Roman" w:eastAsia="Times New Roman" w:hAnsi="Times New Roman"/>
          <w:sz w:val="22"/>
          <w:szCs w:val="22"/>
          <w:color w:val="auto"/>
        </w:rPr>
      </w:pPr>
    </w:p>
    <w:p>
      <w:pPr>
        <w:ind w:right="260" w:firstLine="1304"/>
        <w:spacing w:after="0" w:line="253" w:lineRule="exact"/>
        <w:tabs>
          <w:tab w:leader="none" w:pos="176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described in Section 4.1(a) returns to Employment and subsequently becomes vested in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 that was forfeited under Section 4.1(a), such benefit shall commence on the first day of the month following the later of the date the Participant becomes vested or the Participant’s attainment of age 55 (even if the Participant is still in the Employment of the Company on such date by reason of his or her reemployment).</w:t>
      </w:r>
    </w:p>
    <w:p>
      <w:pPr>
        <w:spacing w:after="0" w:line="207"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1"/>
          <w:szCs w:val="21"/>
          <w:color w:val="auto"/>
        </w:rPr>
        <w:t>4.2 Termination After Vesting. Except as provided in Section 2.7 or Articles Five and Eleven, a Participant who has a Separation from Service before Normal or Early Retirement Date and before Early Supplemental Pension Retirement Date but after (i) completing 5 (or 3, if applicable) years of actual Vesting Service under the Pension Plan (treating as actual service for this purpose, service described in Section 1.3(s)(ii) or credited under Section 2.7) shall be entitled to receive, commencing on the first day of the month following the later of the Participant’s Separation from Service or the Participant’s attainment of age 55, the Normal Supplemental Pension computed under Section 2.1 as of the date the Participant had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-807720</wp:posOffset>
            </wp:positionV>
            <wp:extent cx="15722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determining any Supplemental Pension to be paid to the Participant commencing prior to Normal Retirement Date, (I) the amounts described in Sections 2.1(a) and 2.1(c) shall be adjusted for early payment as of the early benefit start date in accordance with Section 6.04 of the Pension Plan (taking into account any additional years of age described in Section 1.3(e)(ii) for purposes of adjusting both the gross and offset portions of the benefit, and regardless of whether the Participant’s Supplemental Plan (409A Grandfathered Component) benefit starts on that date), and (II) the amount described in Section 2.1(b) shall be adjusted for payment as of the early benefit start date in accordance with Section 6.04 of the Pension Plan (whether or not the Participant’s Pension Plan benefit starts on that date).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0" w:name="page161"/>
    <w:bookmarkEnd w:id="160"/>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Form of Vested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14211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213" w:lineRule="exact"/>
        <w:rPr>
          <w:sz w:val="20"/>
          <w:szCs w:val="20"/>
          <w:color w:val="auto"/>
        </w:rPr>
      </w:pPr>
    </w:p>
    <w:p>
      <w:pPr>
        <w:ind w:right="120" w:firstLine="1304"/>
        <w:spacing w:after="0" w:line="261" w:lineRule="exact"/>
        <w:tabs>
          <w:tab w:leader="none" w:pos="1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Payable Under Supplemental Plan and Pension Plan. If a Participant is entitled to benefits under both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and the Pension Plan, the Supplemental Pension determined under Section 4.2 shall be paid:</w:t>
      </w:r>
    </w:p>
    <w:p>
      <w:pPr>
        <w:spacing w:after="0" w:line="204" w:lineRule="exact"/>
        <w:rPr>
          <w:rFonts w:ascii="Times New Roman" w:cs="Times New Roman" w:eastAsia="Times New Roman" w:hAnsi="Times New Roman"/>
          <w:sz w:val="22"/>
          <w:szCs w:val="22"/>
          <w:color w:val="auto"/>
        </w:rPr>
      </w:pPr>
    </w:p>
    <w:p>
      <w:pPr>
        <w:ind w:right="60" w:firstLine="1952"/>
        <w:spacing w:after="0" w:line="258" w:lineRule="auto"/>
        <w:tabs>
          <w:tab w:leader="none" w:pos="236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Participant, if he or she is not married, on his or her benefit start date in the form of a single life annuity payable in equal monthly installments to the Participant for his or her lifetime; or</w:t>
      </w:r>
    </w:p>
    <w:p>
      <w:pPr>
        <w:spacing w:after="0" w:line="185" w:lineRule="exact"/>
        <w:rPr>
          <w:rFonts w:ascii="Times New Roman" w:cs="Times New Roman" w:eastAsia="Times New Roman" w:hAnsi="Times New Roman"/>
          <w:sz w:val="22"/>
          <w:szCs w:val="22"/>
          <w:color w:val="auto"/>
        </w:rPr>
      </w:pPr>
    </w:p>
    <w:p>
      <w:pPr>
        <w:ind w:right="440" w:firstLine="1952"/>
        <w:spacing w:after="0" w:line="239" w:lineRule="auto"/>
        <w:tabs>
          <w:tab w:leader="none" w:pos="242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Participant, if he or she is married, on his or her benefit start date in the form of a joint and survivor annuity with the Participant’s spouse (determined as of the benefit start date) as the beneficiary, payable in equal monthly installments for the Participant’s lifetime and with 50% of the amount of such monthly installment payable after the death of the Participant to such spouse, if then living, for the life of such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-1581785</wp:posOffset>
            </wp:positionV>
            <wp:extent cx="34855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485515" cy="8890"/>
                    </a:xfrm>
                    <a:prstGeom prst="rect">
                      <a:avLst/>
                    </a:prstGeom>
                    <a:noFill/>
                  </pic:spPr>
                </pic:pic>
              </a:graphicData>
            </a:graphic>
          </wp:anchor>
        </w:drawing>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the Participant may elect, in lieu of the normal form of benefit set forth in Section 4.3(a)(i) or (ii), as applicable, to be paid in any of the forms described in Section 3.2, and shall be subject to adjustment for form of payment and the same Beneficiary designation applicable to the Participant’s Pension Plan benefit.</w:t>
      </w:r>
    </w:p>
    <w:p>
      <w:pPr>
        <w:spacing w:after="0" w:line="200" w:lineRule="exact"/>
        <w:rPr>
          <w:sz w:val="20"/>
          <w:szCs w:val="20"/>
          <w:color w:val="auto"/>
        </w:rPr>
      </w:pPr>
    </w:p>
    <w:p>
      <w:pPr>
        <w:ind w:right="180" w:firstLine="1304"/>
        <w:spacing w:after="0" w:line="251" w:lineRule="exact"/>
        <w:tabs>
          <w:tab w:leader="none" w:pos="176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Benefits Payable Under Pension Plan. In the event a Participant is entitled to a benefit from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but is not vested in a benefit under the Pension Plan, the Participant shall receive payment of his Supplemental Pension determined under Section 4.2 in the automatic form of payment described in Section 8.02 of the Pension Plan, as adjusted for form of payment and the same Beneficiary designation applicable to the Participant’s Pension Plan benefit, that would have applied to the Participant had he been eligible for and started payment under the Pension Plan on the same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-808990</wp:posOffset>
            </wp:positionV>
            <wp:extent cx="23882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1" w:name="page162"/>
    <w:bookmarkEnd w:id="16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Certain Employee Transfers</w:t>
      </w:r>
    </w:p>
    <w:p>
      <w:pPr>
        <w:spacing w:after="0" w:line="237" w:lineRule="exact"/>
        <w:rPr>
          <w:sz w:val="20"/>
          <w:szCs w:val="20"/>
          <w:color w:val="auto"/>
        </w:rPr>
      </w:pPr>
    </w:p>
    <w:p>
      <w:pPr>
        <w:ind w:firstLine="648"/>
        <w:spacing w:after="0" w:line="250" w:lineRule="exact"/>
        <w:rPr>
          <w:sz w:val="20"/>
          <w:szCs w:val="20"/>
          <w:color w:val="auto"/>
        </w:rPr>
      </w:pPr>
      <w:r>
        <w:rPr>
          <w:rFonts w:ascii="Times New Roman" w:cs="Times New Roman" w:eastAsia="Times New Roman" w:hAnsi="Times New Roman"/>
          <w:sz w:val="22"/>
          <w:szCs w:val="22"/>
          <w:color w:val="auto"/>
        </w:rPr>
        <w:t>5.1 Transfers into Supplemental Plan from Resources Supplemental Plan. If any employee who is a participant in the Supplemental Pension Plan for Exempt Salaried Employees of Union Pacific Resources Company and Affiliates is transferred on or before October 15, 1996 to the Company and becomes a Participant after such transfer, such employee shall retain no rights in the other supplemental pension plan and shall receive all benefits to which entitled under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based upon Total Credited Service and Total Offset Service which shall include, as to such employee, any service which would have been used in determining the Participant’s benefits under such other supplemental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-963930</wp:posOffset>
            </wp:positionV>
            <wp:extent cx="39274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927475" cy="8255"/>
                    </a:xfrm>
                    <a:prstGeom prst="rect">
                      <a:avLst/>
                    </a:prstGeom>
                    <a:noFill/>
                  </pic:spPr>
                </pic:pic>
              </a:graphicData>
            </a:graphic>
          </wp:anchor>
        </w:drawing>
      </w:r>
    </w:p>
    <w:p>
      <w:pPr>
        <w:spacing w:after="0" w:line="18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5.2 Transfers to Resources Supplemental Plan. If a Participant is transferred on or before October 15, 1996 to an Affiliated Company participating in the Supplemental Pension Plan for Exempt Salaried Employees of Union Pacific Resources Company and Affiliates and becomes a participant in the supplemental pension plan of the Affiliated Company after such transfer, such former Participant shall retain no rights in this Supplemental Plan if such other supplemental pension plan has provisions that substantially conform to the transfer provisions for the protection of transferees that are contained in Section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-655320</wp:posOffset>
            </wp:positionV>
            <wp:extent cx="24536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75"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5.3 No Duplication of Benefits. There shall under no circumstances be any duplication of benefits under this Supplemental Plan or any supplemental pension plan of an Affiliated Company or former Affiliated Company by reason of the same period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-343535</wp:posOffset>
            </wp:positionV>
            <wp:extent cx="16262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Pre-Retirement Survivor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s Benefit</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Eligibility. The Surviving Spouse of a Participant who either (a) has a Separation from Service due to death,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6934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ind w:firstLine="8"/>
        <w:spacing w:after="0" w:line="235" w:lineRule="auto"/>
        <w:tabs>
          <w:tab w:leader="none" w:pos="30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has a Separation from Service other than due to death after becoming entitled to a Supplemental Pension under Article Two or Article Four, and (ii) dies prior to the commencement of payment of the Supplemental Pension shall receive the benefit determined pursuant to Section 6.2.</w:t>
      </w:r>
    </w:p>
    <w:p>
      <w:pPr>
        <w:spacing w:after="0" w:line="20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Surviving Spouse’s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16459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13" w:lineRule="exact"/>
        <w:rPr>
          <w:sz w:val="20"/>
          <w:szCs w:val="20"/>
          <w:color w:val="auto"/>
        </w:rPr>
      </w:pPr>
    </w:p>
    <w:p>
      <w:pPr>
        <w:ind w:left="1760" w:hanging="456"/>
        <w:spacing w:after="0"/>
        <w:tabs>
          <w:tab w:leader="none" w:pos="1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Subsidized Death Benefits.</w:t>
      </w:r>
    </w:p>
    <w:p>
      <w:pPr>
        <w:spacing w:after="0" w:line="233" w:lineRule="exact"/>
        <w:rPr>
          <w:rFonts w:ascii="Times New Roman" w:cs="Times New Roman" w:eastAsia="Times New Roman" w:hAnsi="Times New Roman"/>
          <w:sz w:val="22"/>
          <w:szCs w:val="22"/>
          <w:color w:val="auto"/>
        </w:rPr>
      </w:pPr>
    </w:p>
    <w:p>
      <w:pPr>
        <w:ind w:right="460" w:firstLine="1952"/>
        <w:spacing w:after="0" w:line="258" w:lineRule="auto"/>
        <w:tabs>
          <w:tab w:leader="none" w:pos="2364"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subsection (ii), the benefit payable to the Surviving Spouse of a Participant described in Section 6.1 who dies:</w:t>
      </w:r>
    </w:p>
    <w:p>
      <w:pPr>
        <w:spacing w:after="0" w:line="185"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his or her Separation from Service and before Early or Normal Retirement Date under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terms of the Pension Plan;</w:t>
      </w:r>
    </w:p>
    <w:p>
      <w:pPr>
        <w:spacing w:after="0" w:line="209" w:lineRule="exact"/>
        <w:rPr>
          <w:rFonts w:ascii="Times New Roman" w:cs="Times New Roman" w:eastAsia="Times New Roman" w:hAnsi="Times New Roman"/>
          <w:sz w:val="21"/>
          <w:szCs w:val="21"/>
          <w:color w:val="auto"/>
        </w:rPr>
      </w:pPr>
    </w:p>
    <w:p>
      <w:pPr>
        <w:ind w:left="3100" w:hanging="500"/>
        <w:spacing w:after="0"/>
        <w:tabs>
          <w:tab w:leader="none" w:pos="3100"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his or her Separation from Service and after Early or Normal Retirement Date under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Pension Plan; or</w:t>
      </w:r>
    </w:p>
    <w:p>
      <w:pPr>
        <w:spacing w:after="0" w:line="209" w:lineRule="exact"/>
        <w:rPr>
          <w:rFonts w:ascii="Times New Roman" w:cs="Times New Roman" w:eastAsia="Times New Roman" w:hAnsi="Times New Roman"/>
          <w:sz w:val="22"/>
          <w:szCs w:val="22"/>
          <w:color w:val="auto"/>
        </w:rPr>
      </w:pPr>
    </w:p>
    <w:p>
      <w:pPr>
        <w:ind w:right="360" w:firstLine="2600"/>
        <w:spacing w:after="0" w:line="258" w:lineRule="auto"/>
        <w:tabs>
          <w:tab w:leader="none" w:pos="3096"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his or her Separation from Service, providing such Separation from Service occurred after Early or Normal Retirement Date under the terms of the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-1896110</wp:posOffset>
            </wp:positionV>
            <wp:extent cx="1591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165" w:lineRule="exact"/>
        <w:rPr>
          <w:sz w:val="20"/>
          <w:szCs w:val="20"/>
          <w:color w:val="auto"/>
        </w:rPr>
      </w:pPr>
    </w:p>
    <w:p>
      <w:pPr>
        <w:jc w:val="both"/>
        <w:spacing w:after="0" w:line="251" w:lineRule="exact"/>
        <w:rPr>
          <w:sz w:val="20"/>
          <w:szCs w:val="20"/>
          <w:color w:val="auto"/>
        </w:rPr>
      </w:pPr>
      <w:r>
        <w:rPr>
          <w:rFonts w:ascii="Times New Roman" w:cs="Times New Roman" w:eastAsia="Times New Roman" w:hAnsi="Times New Roman"/>
          <w:sz w:val="22"/>
          <w:szCs w:val="22"/>
          <w:color w:val="auto"/>
        </w:rPr>
        <w:t>shall be a monthly annuity payable for the Surviving Spouse’s life. Monthly payments to the Surviving Spouse shall equal one-half of the monthly Supplemental Pension such Participant would have received (assuming, for a Participant described in Section 6.1(a), the Participant had vested) in the form of a single life annuity, if the Participant had survived (but accrued no additional benefits after death) and started his Supplemental Pension on the date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benefits begin to the Surviving Spouse under Section 6.3. Notwithstanding anything in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to the contrary, the Surviving Spouse’s benefit with respect to a Participant described in (A), above, shall be determined by applying, for purposes of any adjustment for payment prior to Normal Retirement Date, the early retirement reduction factors of Section 6.03 of the Pension Plan.</w:t>
      </w:r>
    </w:p>
    <w:p>
      <w:pPr>
        <w:spacing w:after="0" w:line="207" w:lineRule="exact"/>
        <w:rPr>
          <w:sz w:val="20"/>
          <w:szCs w:val="20"/>
          <w:color w:val="auto"/>
        </w:rPr>
      </w:pPr>
    </w:p>
    <w:p>
      <w:pPr>
        <w:ind w:right="80" w:firstLine="1952"/>
        <w:spacing w:after="0" w:line="255" w:lineRule="exact"/>
        <w:tabs>
          <w:tab w:leader="none" w:pos="242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payable to the Surviving Spouse of a Participant described in Section 6.1, who dies other than under circumstances described in Section 6.2(a)(i) or 6.2(a)(iii) but after becoming eligible for an Early Supplemental Pension under Section 2.2 based on an Early Supplemental Pension Retirement Date, shall be an annuity payable for the Surviving Spouse’s life calculated as follows. Monthly payments to the Surviving Spouse shall equal one-half of the monthly Supplemental Pension in the form of a single life annuity calculated for the Participant as described in Section 2.2(b) as if the Participant had survived (but accrued no additional benefits after death) and started his Supplemental Pension on the date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benefits begin to the Surviving Spouse under Section 6.3.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3" w:name="page164"/>
    <w:bookmarkEnd w:id="163"/>
    <w:p>
      <w:pPr>
        <w:ind w:firstLine="1952"/>
        <w:spacing w:after="0" w:line="251" w:lineRule="exact"/>
        <w:tabs>
          <w:tab w:leader="none" w:pos="2484"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other benefit due to the Surviving Spouse under this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if a Participant dies while a Disabled Participant but before Early or Normal Retirement Date under the terms of the Pension Plan (as determined for purposes of the Additional Disability Pay Benefit), the Surviving Spouse shall be entitled to an additional monthly annuity payable for the Surviving Spouse’s life. Monthly payments to the Surviving Spouse shall equal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half of the monthly Additional Disability Pay Benefit such Disabled Participant would have received (assuming the Disabled Participant had vested) in the form of a single life annuity, if the Disabled Participant had survived (but accrued no additional benefits after death) and started his Additional Disability Pay Benefit on the date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benefits described in this Section 6.2(a)(iii) begin to the Surviving Spouse under Section 6.3. Notwithstanding anything in the Supplemental Plan (409A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Grandfathered Component) to the contrary, the Surviving Spouse’s benefit described in this Section 6.2(a)(iii) shall be determined by applying, for purposes of any adjustment for payment prior to Normal Retirement Date, the early retirement reduction factors of Section 6.03 of the Pension Plan.</w:t>
      </w:r>
    </w:p>
    <w:p>
      <w:pPr>
        <w:spacing w:after="0" w:line="214" w:lineRule="exact"/>
        <w:rPr>
          <w:rFonts w:ascii="Times New Roman" w:cs="Times New Roman" w:eastAsia="Times New Roman" w:hAnsi="Times New Roman"/>
          <w:sz w:val="21"/>
          <w:szCs w:val="21"/>
          <w:color w:val="auto"/>
        </w:rPr>
      </w:pPr>
    </w:p>
    <w:p>
      <w:pPr>
        <w:ind w:right="220" w:firstLine="1304"/>
        <w:spacing w:after="0" w:line="257" w:lineRule="exact"/>
        <w:tabs>
          <w:tab w:leader="none" w:pos="176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Non-Subsidized Death Benefits. The benefit payable to the Surviving Spouse of a Participant described in Section 6.1 who dies under circumstances other than those described in Section 6.2(a) shall be an annuity payable for the Surviving Spouse’s life with monthly payments equal to 50% of the monthly Supplemental Pension the Participant would have received in the form of a Qualified Joint and Survivor Annuity determined as if the Participant had survived (and accrued no additional benefits after his death) and started his Supplemental Pension on the date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benefits begin to the Surviving Spouse under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-829310</wp:posOffset>
            </wp:positionV>
            <wp:extent cx="18738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spacing w:after="0" w:line="158" w:lineRule="exact"/>
        <w:rPr>
          <w:sz w:val="20"/>
          <w:szCs w:val="20"/>
          <w:color w:val="auto"/>
        </w:rPr>
      </w:pPr>
    </w:p>
    <w:p>
      <w:pPr>
        <w:jc w:val="both"/>
        <w:ind w:right="300" w:firstLine="648"/>
        <w:spacing w:after="0" w:line="239" w:lineRule="auto"/>
        <w:rPr>
          <w:sz w:val="20"/>
          <w:szCs w:val="20"/>
          <w:color w:val="auto"/>
        </w:rPr>
      </w:pPr>
      <w:r>
        <w:rPr>
          <w:rFonts w:ascii="Times New Roman" w:cs="Times New Roman" w:eastAsia="Times New Roman" w:hAnsi="Times New Roman"/>
          <w:sz w:val="22"/>
          <w:szCs w:val="22"/>
          <w:color w:val="auto"/>
        </w:rPr>
        <w:t>6.3 Timing of Surviving Spouse’s Benefit. The benefit to which a Surviving Spouse of a Participant shall be entitled pursuant to Section 6.2(a) or (b) shall be paid monthly to such Surviving Spouse, commencing as of the first day of the month following the later of the Participant’s death or the date the Participant would have attained age 55. Payments to the Surviving Spouse shall end with the payment made for the month in which the Surviving Spouse 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-493395</wp:posOffset>
            </wp:positionV>
            <wp:extent cx="22250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2225040" cy="8890"/>
                    </a:xfrm>
                    <a:prstGeom prst="rect">
                      <a:avLst/>
                    </a:prstGeom>
                    <a:noFill/>
                  </pic:spPr>
                </pic:pic>
              </a:graphicData>
            </a:graphic>
          </wp:anchor>
        </w:drawing>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3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The Company’s obligations hereunder shall constitute a general, unsecured obligation of the Company payable solely out of its general assets, and no Participant or former Participant shall have any right to any specific assets of the Company. To the extent that any Participant or former Participant acquires a right to receive payments under the Plan, such right shall be no greater than the right of an unsecured general creditor of the Company. The Board of Directors of Union Pacific may, but shall not be required to, authorize Union Pacific to establish a trust to hold assets to be used to discharge the Company’s obligations hereunder, provided that such trust shall not confer upon Participants or former Participants any rights other than the rights of unsecured general creditors of the Company.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b w:val="1"/>
          <w:bCs w:val="1"/>
          <w:color w:val="auto"/>
        </w:rPr>
        <w:t>ARTICLE EIGHT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ind w:right="380" w:firstLine="648"/>
        <w:spacing w:after="0" w:line="238" w:lineRule="auto"/>
        <w:rPr>
          <w:sz w:val="20"/>
          <w:szCs w:val="20"/>
          <w:color w:val="auto"/>
        </w:rPr>
      </w:pPr>
      <w:r>
        <w:rPr>
          <w:rFonts w:ascii="Times New Roman" w:cs="Times New Roman" w:eastAsia="Times New Roman" w:hAnsi="Times New Roman"/>
          <w:sz w:val="22"/>
          <w:szCs w:val="22"/>
          <w:color w:val="auto"/>
        </w:rPr>
        <w:t>8.1 Responsibilities and Powers of Administrator. Except for the responsibilities and powers elsewhere herein given specifically to the Board of Directors of Union Pacific, the Administrator shall have all responsibilities for the operation and administration of the Supplemental Plan and shall have all powers and discretionary authority necessary to carry out those responsibilities hereunder. Without limiting the generality of the foregoing, the Administrator shall have full power and discretionary authority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26365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2636520" cy="8255"/>
                    </a:xfrm>
                    <a:prstGeom prst="rect">
                      <a:avLst/>
                    </a:prstGeom>
                    <a:noFill/>
                  </pic:spPr>
                </pic:pic>
              </a:graphicData>
            </a:graphic>
          </wp:anchor>
        </w:drawing>
      </w:r>
    </w:p>
    <w:p>
      <w:pPr>
        <w:spacing w:after="0" w:line="184" w:lineRule="exact"/>
        <w:rPr>
          <w:sz w:val="20"/>
          <w:szCs w:val="20"/>
          <w:color w:val="auto"/>
        </w:rPr>
      </w:pPr>
    </w:p>
    <w:p>
      <w:pPr>
        <w:ind w:right="540" w:firstLine="1304"/>
        <w:spacing w:after="0" w:line="258" w:lineRule="auto"/>
        <w:tabs>
          <w:tab w:leader="none" w:pos="175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and maintain such accounts and records with respect to Participants and former Participants as are deemed necessary or proper;</w:t>
      </w:r>
    </w:p>
    <w:p>
      <w:pPr>
        <w:spacing w:after="0" w:line="185" w:lineRule="exact"/>
        <w:rPr>
          <w:rFonts w:ascii="Times New Roman" w:cs="Times New Roman" w:eastAsia="Times New Roman" w:hAnsi="Times New Roman"/>
          <w:sz w:val="22"/>
          <w:szCs w:val="22"/>
          <w:color w:val="auto"/>
        </w:rPr>
      </w:pPr>
    </w:p>
    <w:p>
      <w:pPr>
        <w:ind w:right="20" w:firstLine="1304"/>
        <w:spacing w:after="0" w:line="261" w:lineRule="auto"/>
        <w:tabs>
          <w:tab w:leader="none" w:pos="176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all questions of the eligibility for participation and benefits and of the status and rights of Participants, former Participants, and any other person hereunder, make all required factual determinations, interpret and construe the Supplemental Plan in connection therewith and correct defects, resolve ambiguities therein and supply omissions thereto;</w:t>
      </w:r>
    </w:p>
    <w:p>
      <w:pPr>
        <w:spacing w:after="0" w:line="184" w:lineRule="exact"/>
        <w:rPr>
          <w:rFonts w:ascii="Times New Roman" w:cs="Times New Roman" w:eastAsia="Times New Roman" w:hAnsi="Times New Roman"/>
          <w:sz w:val="21"/>
          <w:szCs w:val="21"/>
          <w:color w:val="auto"/>
        </w:rPr>
      </w:pPr>
    </w:p>
    <w:p>
      <w:pPr>
        <w:ind w:right="420" w:firstLine="1304"/>
        <w:spacing w:after="0" w:line="282" w:lineRule="auto"/>
        <w:tabs>
          <w:tab w:leader="none" w:pos="1752"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from time to time mortality and other tables and interest rates upon which all actuarial calculations shall be based, including the determination of the appropriate factors for the adjustment of pension payments; and</w:t>
      </w:r>
    </w:p>
    <w:p>
      <w:pPr>
        <w:spacing w:after="0" w:line="161"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from time to time rules and regulations governing this Supplemental Plan.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Administrator shall carry out all responsibilities and exercise all powers in accordance with the terms of the Supplemental Plan. The determination of the Administrator as to any questions involving the responsibilities hereunder shall be final, conclusive and binding on all persons.</w:t>
      </w:r>
    </w:p>
    <w:p>
      <w:pPr>
        <w:spacing w:after="0" w:line="200" w:lineRule="exact"/>
        <w:rPr>
          <w:sz w:val="20"/>
          <w:szCs w:val="20"/>
          <w:color w:val="auto"/>
        </w:rPr>
      </w:pPr>
    </w:p>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8.2 Certification and Payment of Benefits. The Administrator shall compute the amount and manner of payment of benefits to which the Participants, former or retired Participants, Surviving Spouses and beneficiaries become entitled. All payments of benefits shall be made directly by the Company upon the instructions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-343535</wp:posOffset>
            </wp:positionV>
            <wp:extent cx="22167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18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8.3 Reports to Board of Directors. As the Administrator deems necessary or proper or as the Board of Directors of Union Pacific may require, but in any event at least once during each calendar year, the Administrator shall report to such Board on the operation and administration of the Supplemental Plan and on any other matter concerning the Supplemental Plan deemed advisable or required by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-493395</wp:posOffset>
            </wp:positionV>
            <wp:extent cx="17672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1767205" cy="8255"/>
                    </a:xfrm>
                    <a:prstGeom prst="rect">
                      <a:avLst/>
                    </a:prstGeom>
                    <a:noFill/>
                  </pic:spPr>
                </pic:pic>
              </a:graphicData>
            </a:graphic>
          </wp:anchor>
        </w:drawing>
      </w:r>
    </w:p>
    <w:p>
      <w:pPr>
        <w:spacing w:after="0" w:line="18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8.4 Designation and Delegation. The Administrator may designate other persons to carry out such of the responsibilities hereunder for the operating and administration of the Supplemental Plan as the Administrator deems advisable and delegate to the persons so designated such of the powers as the Administrator deems necessary to carry out such responsibilities. Such designation and delegation shall be subject to such terms and conditions as the Administrator deems necessary or proper. Any action or determination made or taken in carrying out responsibilities hereunder by the persons so designated by the Administrator shall have the same force and effect for all purposes as if such action or determinations had been made or taken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-954405</wp:posOffset>
            </wp:positionV>
            <wp:extent cx="1668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1668145"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6" w:name="page167"/>
    <w:bookmarkEnd w:id="166"/>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8.5 Outside Services. The Administrator may engage counsel and such clerical, medical, financial, actuarial, accounting and other specialized services as is deemed necessary or desirable for the operation and administration of the Supplemental Plan. The Administrator and persons so designated shall be entitled to rely, and shall be fully protected in any action or determination or omission taken or made or omitted in good faith in so relying, upon any opinions, reports or other advice which is furnished by counsel or other specialist engaged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10629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8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8.6 Expenses. All expenses, including any fees for outside services under Section 8.5, incurred by the Administrator and by persons designated by the Administrator under Section 8.4 in the operation and administration of the Supplemental Plan shall be paid by the Company. Neither the Administrator nor any other person who is an employee of the Company or an Affiliated Company shall receive any compensation solely for services in carrying out any responsibility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-493395</wp:posOffset>
            </wp:positionV>
            <wp:extent cx="655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Bonding. No bond or other security shall be required of the Administrator or of any person designated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6096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8.4.</w:t>
      </w:r>
    </w:p>
    <w:p>
      <w:pPr>
        <w:spacing w:after="0" w:line="20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8.8 Liability. The Administrator and persons designated by him under Section 8.4 shall use ordinary care and diligence in the performance of their duties. The Company shall indemnify and defend the Administrator and each other person so designated under Section 8.4 against any and all claims, loss, damages, expense (including reasonable counsel fees), and liability arising from any action or failure to act or other conduct in their official capacity, except when the same is due to the gross negligence or willful misconduct of the Administrator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6096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18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8.9 Finality of Actions. Any action required of Union Pacific, the Company, the Board of Directors of Union Pacific, or the Chief Executive Officer of Union Pacific (the “CEO”) under this Supplemental Plan, or made by the Administrator acting on their behalf, shall be made in the Company’s, the Board’s or the CEO’s sole discretion, not in a fiduciary capacity and need not be uniformly applied to similarly situated persons. Any such action shall be final, conclusive and binding on all persons interested in the Supplemental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-649605</wp:posOffset>
            </wp:positionV>
            <wp:extent cx="11734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NINE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or Termination</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9.1 Amendment or Termination. The Board of Directors of Union Pacific, acting by written resolution, reserves the right to modify, alter, amend or terminate the Supplemental Plan from time to time and to modify, withdraw or terminate the Supplemental Plan, to any extent that it may deem advisable; provided, that no such modification, alteration, amendment or termination shall impair any rights which have accrued to Participants hereunder to the date of such modification, alteration, amendment or termination. Notwithstanding the foregoing, (i) prior to March 1, 2013 the Senior Vice President - Human Resources of Union Pacific; and (ii) on and after March 1, 2013 the Vice President-Human Resources of Union Pacific Railroad Company or such other officer or employee of Union Pacific Railroad Company or Union Pacific with similar authority, may make all technical, administrative, regulatory and compliance amendments to the Supplemental Plan, and any other amendment that will not significantly increase the cost of the Supplemental Plan to the Company, as he or she shall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-1419860</wp:posOffset>
            </wp:positionV>
            <wp:extent cx="16586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TEN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3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10.1 Certain Rights Reserved. Nothing herein contained shall confer upon any Employee or other person the right (a) to continue in Employment or service of the Company or affect any right that the Company may have to terminate the Employment or service of (or to demote or to exclude from future participation in the Supplemental Plan) any such Employee or other person at any time for any reason, (b) to participate in the Supplemental Plan, or (c) to receive an annual base salary of any particular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-649605</wp:posOffset>
            </wp:positionV>
            <wp:extent cx="14776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spacing w:after="0" w:line="18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Alienability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-13970</wp:posOffset>
            </wp:positionV>
            <wp:extent cx="14249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spacing w:after="0" w:line="213" w:lineRule="exact"/>
        <w:rPr>
          <w:sz w:val="20"/>
          <w:szCs w:val="20"/>
          <w:color w:val="auto"/>
        </w:rPr>
      </w:pPr>
    </w:p>
    <w:p>
      <w:pPr>
        <w:ind w:firstLine="1304"/>
        <w:spacing w:after="0" w:line="233" w:lineRule="auto"/>
        <w:tabs>
          <w:tab w:leader="none" w:pos="1752"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the Supplemental Plan may not be assigned, transferred, pledged or hypothecated, and to the extent permitted by law, no such payments shall be subject to legal process or attachment for the payment of any claims against any person entitled to receive the same. Compliance with the provisions and conditions of any domestic relations order assigning a portion of a Participant’s benefit to an alternate payee (as defined in Section 414(p)(8) of the Code) (“Alternate Payee”) relating to an individual’s Supplemental Plan benefits, which the Administrator (i) has determined is a lawful order of a domestic relations court and (ii) has approved as consistent with the terms of the Supplemental Plan (a “DRO” or “Approved DRO”), shall not be considered a violation of this provision. An Approved DRO must identify the Alternate Payee and this Supplemental Pension Plan (409A Non-Grandfathered Component) as the plan to which the DRO applies, describe the amount payable to the Alternate Payee (or the formula by which such amount may be determined), and must not provide for any type or form of benefit not provided under the Supplemental Plan (409A Non-Grandfathered Component), require the Supplemental Plan (409A Non-Grandfathered Component) to provide increased benefits (determined on the basis of actuarial value) or require the payment of benefits to an Alternate Payee which are required to be paid to another Alternate Payee in accordance with another previously Approved DRO.</w:t>
      </w:r>
    </w:p>
    <w:p>
      <w:pPr>
        <w:spacing w:after="0" w:line="20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assigned to an Alternate Payee in accordance with an Approved DRO shall be paid in the form of</w:t>
      </w:r>
    </w:p>
    <w:p>
      <w:pPr>
        <w:spacing w:after="0" w:line="25" w:lineRule="exact"/>
        <w:rPr>
          <w:rFonts w:ascii="Times New Roman" w:cs="Times New Roman" w:eastAsia="Times New Roman" w:hAnsi="Times New Roman"/>
          <w:sz w:val="21"/>
          <w:szCs w:val="21"/>
          <w:color w:val="auto"/>
        </w:rPr>
      </w:pPr>
    </w:p>
    <w:p>
      <w:pPr>
        <w:ind w:right="60" w:firstLine="8"/>
        <w:spacing w:after="0" w:line="234" w:lineRule="auto"/>
        <w:tabs>
          <w:tab w:leader="none" w:pos="25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actuarially-equivalent (using factors set forth in the Pension Plan) single life annuity payable in equal monthly installments to the Alternate Payee for his or her lifetime, or (ii) subject to Section 10.2(d), a designated dollar amount or percentage of each periodic payment to the Participant from the Supplemental Plan (409A Non-Grandfathered Component) as, when and if payable. No other forms of payment to an Alternate Payee are available.</w:t>
      </w:r>
    </w:p>
    <w:p>
      <w:pPr>
        <w:spacing w:after="0" w:line="20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Alternate Payee’s benefit shall commence as follows: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69" w:name="page170"/>
    <w:bookmarkEnd w:id="169"/>
    <w:p>
      <w:pPr>
        <w:ind w:right="60" w:firstLine="1952"/>
        <w:spacing w:after="0" w:line="246" w:lineRule="auto"/>
        <w:tabs>
          <w:tab w:leader="none" w:pos="2364"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Alternate Payee’s benefit under the Supplemental Plan (409A Non-Grandfathered Component) is payable in the form of a single life annuity for the lifetime of the Alternate Payee, as of the first day of any month specified in the DRO or elected by the Alternate Payee in accordance with terms of the DRO; provided, however, that payment of such benefit shall not commence prior to the later of: (A) the first day of the month next following the date the Participant attains Earliest Retirement Age (as defined in Section 414(p)(4)(B) of the Code); or (B) the first day of the month next following the month in which the Administrator makes the determination, as described in Section 10.2(a) above, that the domestic relations order is an Approved DRO and is able to determine the amount payable to the Alternate Payee. Furthermore payment of such benefit shall commence not later than the later of: (X) the Participant’s Normal Retirement Date; or (Y) the first day of the month next following the month in which the Administrator makes the determination, as described in Section 10.2(a) above, that the domestic relations order is an Approved DRO and is able to determine the amount payable to the Alternate Payee.</w:t>
      </w:r>
    </w:p>
    <w:p>
      <w:pPr>
        <w:spacing w:after="0" w:line="197" w:lineRule="exact"/>
        <w:rPr>
          <w:rFonts w:ascii="Times New Roman" w:cs="Times New Roman" w:eastAsia="Times New Roman" w:hAnsi="Times New Roman"/>
          <w:sz w:val="21"/>
          <w:szCs w:val="21"/>
          <w:color w:val="auto"/>
        </w:rPr>
      </w:pPr>
    </w:p>
    <w:p>
      <w:pPr>
        <w:ind w:right="100" w:firstLine="1952"/>
        <w:spacing w:after="0" w:line="234" w:lineRule="auto"/>
        <w:tabs>
          <w:tab w:leader="none" w:pos="242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DRO assigns a benefit to the Alternate Payee of a designated dollar amount or percentage of each periodic payment to the Participant from the Supplemental Plan (409A Non-Grandfathered Component) as, when and if payable, such benefit shall commence on the later of: (A) the date on which payments to the Participant from the Supplemental Plan (409A Non-Grandfathered Component) commence; or (B) the first day of the month coinciding with or next following the date specified in the DRO; provided, however, in no case shall payment of such benefit commence prior to the first day of the month next following the month in which the Administrator makes the determination, as described in Section 10.2(a) above, that the domestic relations order is an Approved DRO and is able to determine the amount payable to the Alternate Payee. Subject to Section 10.2(d), payments under the form described in this Section 10.2(c)(ii) shall cease as of the payment due for the month in which the death of the Participant or Alternate Payee occurs, whichever occurs first, or as of such earlier date specified in the DRO.</w:t>
      </w:r>
    </w:p>
    <w:p>
      <w:pPr>
        <w:spacing w:after="0" w:line="206" w:lineRule="exact"/>
        <w:rPr>
          <w:rFonts w:ascii="Times New Roman" w:cs="Times New Roman" w:eastAsia="Times New Roman" w:hAnsi="Times New Roman"/>
          <w:sz w:val="22"/>
          <w:szCs w:val="22"/>
          <w:color w:val="auto"/>
        </w:rPr>
      </w:pPr>
    </w:p>
    <w:p>
      <w:pPr>
        <w:jc w:val="both"/>
        <w:ind w:firstLine="1304"/>
        <w:spacing w:after="0" w:line="238" w:lineRule="auto"/>
        <w:tabs>
          <w:tab w:leader="none" w:pos="227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Alternate Payee shall have the right with respect to any benefit payable by reason of a DRO to designate a beneficiary with respect to amounts becoming payable under the Supplemental Plan (409A Non-Grandfathered Component), except in the case of a DRO assigning a benefit to the Alternate Payee of a designated dollar amount or percentage of each periodic payment to the Participant from the Supplemental Plan (409A Non-Grandfathered Component), but only to the extent that such beneficiary could be an Alternate Payee with respect to the Participant’s benefit.</w:t>
      </w:r>
    </w:p>
    <w:p>
      <w:pPr>
        <w:spacing w:after="0" w:line="20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10.3 Payment Due an Incompetent. If it shall be found that any person to whom a payment is due hereunder is unable to care for that person’s affairs because of physical or mental disability, as determined by a licensed physician, the Administrator shall have the authority to cause the payments becoming due such person to be made to the legally appointed guardian of any such person or to the spouse, brother, sister, or other person as it shall determine. Payments made pursuant to such power shall operate as a complete discharge of the Company’s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-649605</wp:posOffset>
            </wp:positionV>
            <wp:extent cx="17633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1763395" cy="8255"/>
                    </a:xfrm>
                    <a:prstGeom prst="rect">
                      <a:avLst/>
                    </a:prstGeom>
                    <a:noFill/>
                  </pic:spPr>
                </pic:pic>
              </a:graphicData>
            </a:graphic>
          </wp:anchor>
        </w:drawing>
      </w:r>
    </w:p>
    <w:p>
      <w:pPr>
        <w:spacing w:after="0" w:line="184"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10.4 Governing Law. The Supplemental Plan shall be construed and enforced in accordance with the laws of the State of Nebraska (without regard to the legislative or judicial conflict of laws rules of any state), except to the extent superseded by any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-343535</wp:posOffset>
            </wp:positionV>
            <wp:extent cx="10020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8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10.5 Successors. This Supplemental Plan shall be binding upon any successor (whether direct or indirect, by purchase, merger, consolidated or otherwise) to all or substantially all of the business and/or assets of the Company in the same manner and to the same extent that the Company would be bound to perform if no such succession had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-343535</wp:posOffset>
            </wp:positionV>
            <wp:extent cx="7391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3914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0" w:name="page171"/>
    <w:bookmarkEnd w:id="170"/>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10.6 Titles and Headings Not To Control. The titles and Articles of the Supplemental Plan and the headings of Sections and subsections of the Supplemental Plan are placed herein for convenience of reference only and, as such, shall have no force and effect in the interpretation of the Supplemental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-343535</wp:posOffset>
            </wp:positionV>
            <wp:extent cx="20974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80"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10.7 Severability. If any provisions of the Supplemental Plan shall be held unlawful or otherwise invalid or unenforceable in whole or in part, the unlawfulness, invalidity, or unenforceability shall not affect any provision of the Plan or part thereof, each of which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-343535</wp:posOffset>
            </wp:positionV>
            <wp:extent cx="8001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8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10.8 Determination and Withholding of Taxes. The Administrator shall have full authority to satisfy the responsibility of Union Pacific or any Affiliated Company to withhold taxes with respect to a Participant or former Participant, including FICA taxes, by withholding such taxes from any distributions under the Plan to the Participant or former Participant or his beneficiary or estate. The Administrator shall also have full authority, with or without the consent of the Participant of former Participant, to withhold from the individual’s compensation from any and all sources, any FICA or other taxes applicable to benefits accrued under the Supplemental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-801370</wp:posOffset>
            </wp:positionV>
            <wp:extent cx="23844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2384425" cy="8890"/>
                    </a:xfrm>
                    <a:prstGeom prst="rect">
                      <a:avLst/>
                    </a:prstGeom>
                    <a:noFill/>
                  </pic:spPr>
                </pic:pic>
              </a:graphicData>
            </a:graphic>
          </wp:anchor>
        </w:drawing>
      </w:r>
    </w:p>
    <w:p>
      <w:pPr>
        <w:spacing w:after="0" w:line="18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10.9 Interpretation. This Supplemental Plan (409A Non-Grandfathered Component) is intended to satisfy the requirements of Section 409A of the Code, shall be interpreted in a manner consistent with such intent, and has been operated in reasonable good faith compliance with the requirements of Section 409A during the period of January 1, 2005 through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-493395</wp:posOffset>
            </wp:positionV>
            <wp:extent cx="8832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ELEVEN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Transfers to Non-Covered Employment</w:t>
      </w:r>
    </w:p>
    <w:p>
      <w:pPr>
        <w:spacing w:after="0" w:line="203" w:lineRule="exact"/>
        <w:rPr>
          <w:sz w:val="20"/>
          <w:szCs w:val="20"/>
          <w:color w:val="auto"/>
        </w:rPr>
      </w:pPr>
    </w:p>
    <w:p>
      <w:pPr>
        <w:ind w:firstLine="648"/>
        <w:spacing w:after="0" w:line="253" w:lineRule="exact"/>
        <w:rPr>
          <w:sz w:val="20"/>
          <w:szCs w:val="20"/>
          <w:color w:val="auto"/>
        </w:rPr>
      </w:pPr>
      <w:r>
        <w:rPr>
          <w:rFonts w:ascii="Times New Roman" w:cs="Times New Roman" w:eastAsia="Times New Roman" w:hAnsi="Times New Roman"/>
          <w:sz w:val="22"/>
          <w:szCs w:val="22"/>
          <w:color w:val="auto"/>
        </w:rPr>
        <w:t>11.1 Notwithstanding any other provision of this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to the contrary, if a Participant is transferred to the employment of an Affiliated Company that has not adopted the Supplemental Plan (“non-covered employment”), upon the approval of the Chief Executive Officer of Union Pacific, any benefits to which such Participant (or his Surviving Spouse or other beneficiary) would be entitled under the Pension Plan,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or both, by treating such Participant’s non-covered employment as if it were service covered by such Plans and by aggregating such service with the Participant’s other service covered by the Plans shall be provided to the Participant under this Section 11.1 to the extent that such benefits exceed the aggregate of (a) the Participant’s benefits under the Pension Plan, (b) the Participant’s benefits under the Supplemental Plan (409A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Grandfathered Component) determined without regard to this Section 11.1, and (c) the Participant’s benefits under any pension plan of the Affiliated Company that are based on the Participant’s non-covered employment and/or employment otherwise covered by the Pension and Supplemental Plans.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TWELVE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Claims Procedure</w:t>
      </w:r>
    </w:p>
    <w:p>
      <w:pPr>
        <w:spacing w:after="0" w:line="23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12.1 Application for Benefits. Each Participant, former Participant, Surviving Spouse or other beneficiary, or alternate payee under a domestic relations order believing himself or herself eligible for a benefit under this Supplemental Plan shall apply for such benefit by completing and filing with the Administrator an application for benefits on a form supplied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-493395</wp:posOffset>
            </wp:positionV>
            <wp:extent cx="14624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1462405" cy="8255"/>
                    </a:xfrm>
                    <a:prstGeom prst="rect">
                      <a:avLst/>
                    </a:prstGeom>
                    <a:noFill/>
                  </pic:spPr>
                </pic:pic>
              </a:graphicData>
            </a:graphic>
          </wp:anchor>
        </w:drawing>
      </w:r>
    </w:p>
    <w:p>
      <w:pPr>
        <w:spacing w:after="0" w:line="18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Claims. The following provisions are effective on and after January 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-13970</wp:posOffset>
            </wp:positionV>
            <wp:extent cx="5257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213" w:lineRule="exact"/>
        <w:rPr>
          <w:sz w:val="20"/>
          <w:szCs w:val="20"/>
          <w:color w:val="auto"/>
        </w:rPr>
      </w:pPr>
    </w:p>
    <w:p>
      <w:pPr>
        <w:ind w:left="1760" w:hanging="456"/>
        <w:spacing w:after="0"/>
        <w:tabs>
          <w:tab w:leader="none" w:pos="17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for Benefits. A claim for Supplemental Plan benefits may be filed by:</w:t>
      </w:r>
    </w:p>
    <w:p>
      <w:pPr>
        <w:spacing w:after="0" w:line="233" w:lineRule="exact"/>
        <w:rPr>
          <w:rFonts w:ascii="Times New Roman" w:cs="Times New Roman" w:eastAsia="Times New Roman" w:hAnsi="Times New Roman"/>
          <w:sz w:val="22"/>
          <w:szCs w:val="22"/>
          <w:color w:val="auto"/>
        </w:rPr>
      </w:pPr>
    </w:p>
    <w:p>
      <w:pPr>
        <w:ind w:right="40" w:firstLine="1952"/>
        <w:spacing w:after="0" w:line="239" w:lineRule="auto"/>
        <w:tabs>
          <w:tab w:leader="none" w:pos="236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his duly authorized representative) who has applied for and/or received benefits from the Supplemental Plan pursuant to Section 12.1 and who believes that the amount and/or form of benefits provided (including no benefits) or any change in or termination or reduction of benefits previously provided results in a denial of benefits to which he is entitled for any reason (whether under the terms of the Supplemental Plan or by reason of any provision of law); or</w:t>
      </w:r>
    </w:p>
    <w:p>
      <w:pPr>
        <w:spacing w:after="0" w:line="207" w:lineRule="exact"/>
        <w:rPr>
          <w:rFonts w:ascii="Times New Roman" w:cs="Times New Roman" w:eastAsia="Times New Roman" w:hAnsi="Times New Roman"/>
          <w:sz w:val="22"/>
          <w:szCs w:val="22"/>
          <w:color w:val="auto"/>
        </w:rPr>
      </w:pPr>
    </w:p>
    <w:p>
      <w:pPr>
        <w:ind w:right="180" w:firstLine="1952"/>
        <w:spacing w:after="0" w:line="258" w:lineRule="auto"/>
        <w:tabs>
          <w:tab w:leader="none" w:pos="242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or other individual (or his duly authorized representative) who believes himself to be entitled to benefits from the Supplemental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-1278890</wp:posOffset>
            </wp:positionV>
            <wp:extent cx="1158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claim for benefits must be filed with the Administrator, in writing and in accordance with such other requirements as may be prescribed by the Administrator. Any claim shall be processed as follows:</w:t>
      </w:r>
    </w:p>
    <w:p>
      <w:pPr>
        <w:spacing w:after="0" w:line="185" w:lineRule="exact"/>
        <w:rPr>
          <w:sz w:val="20"/>
          <w:szCs w:val="20"/>
          <w:color w:val="auto"/>
        </w:rPr>
      </w:pPr>
    </w:p>
    <w:p>
      <w:pPr>
        <w:ind w:firstLine="2600"/>
        <w:spacing w:after="0" w:line="235" w:lineRule="auto"/>
        <w:tabs>
          <w:tab w:leader="none" w:pos="310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claim for benefits has been filed by the claimant (or his duly authorized representative), such claim for benefits shall be evaluated and the claimant shall be notified by the Administrator of the approval or denial within a reasonable period of time, but not later than 90 days after the receipt of such claim unless special circumstances require an extension of time for processing the claim. If such an extension of time for processing is required, written notice of the extension shall be furnished to the claimant prior to the termination of the initial 90-day period and shall specify the special circumstances requiring an extension and the date by which a final decision will be reached (which date shall not be later than 180 days after the date on which the claim was received).</w:t>
      </w:r>
    </w:p>
    <w:p>
      <w:pPr>
        <w:spacing w:after="0" w:line="210" w:lineRule="exact"/>
        <w:rPr>
          <w:rFonts w:ascii="Times New Roman" w:cs="Times New Roman" w:eastAsia="Times New Roman" w:hAnsi="Times New Roman"/>
          <w:sz w:val="22"/>
          <w:szCs w:val="22"/>
          <w:color w:val="auto"/>
        </w:rPr>
      </w:pPr>
    </w:p>
    <w:p>
      <w:pPr>
        <w:ind w:right="20" w:firstLine="2600"/>
        <w:spacing w:after="0" w:line="234" w:lineRule="auto"/>
        <w:tabs>
          <w:tab w:leader="none" w:pos="308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shall be given written notice in which the claimant shall be advised as to whether the claim is granted or denied, in whole or in part. If a claim is denied, in whole or in part, the claimant shall be given written notice which shall contain (I) the specific reasons for the denial, (II) references to the specific Supplemental Plan provisions upon which the denial is based, (III) a description of any additional material or information necessary to perfect the claim and an explanation of why such material or information is necessary, (IV) a statement that the claimant is entitled to receive, upon request and free of charge, reasonable access to, and copies of, all documents, records, and other information relevant to the claim, (V) the claimant’s rights to seek review of the denial and time limits and other aspects of the Supplemental Plan’s claim review procedures, and (VI) a statement of the claimant’s right to bring a civil action under ERISA section 502(a) following an adverse determination upon review.</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73" w:name="page174"/>
    <w:bookmarkEnd w:id="173"/>
    <w:p>
      <w:pPr>
        <w:ind w:right="80" w:firstLine="1304"/>
        <w:spacing w:after="0" w:line="234" w:lineRule="auto"/>
        <w:tabs>
          <w:tab w:leader="none" w:pos="176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of Claim Denial. If a claim for benefits is denied, in whole or in part, the claimant (or his duly authorized representative) shall have the right to request that the Administrator review the denial, provided that the claimant files in accordance with such requirements as may be prescribed by the Administrator a written request for review with the Administrator within 60 days after the date on which the claimant received written notification of the denial. A claimant (or his duly authorized representative) may review relevant documents, records and other information relevant to the claim (or receive copies free of charge) and may submit to the Administrator with the written request for review documents, records, written comments and other information relevant to the claim for benefits, which shall be considered upon review whether or not such information and other items were available when the claim was originally determined. Requests for review not timely filed shall be barred. A timely request for claim review shall be processed as follows:</w:t>
      </w:r>
    </w:p>
    <w:p>
      <w:pPr>
        <w:spacing w:after="0" w:line="210" w:lineRule="exact"/>
        <w:rPr>
          <w:rFonts w:ascii="Times New Roman" w:cs="Times New Roman" w:eastAsia="Times New Roman" w:hAnsi="Times New Roman"/>
          <w:sz w:val="22"/>
          <w:szCs w:val="22"/>
          <w:color w:val="auto"/>
        </w:rPr>
      </w:pPr>
    </w:p>
    <w:p>
      <w:pPr>
        <w:ind w:firstLine="1952"/>
        <w:spacing w:after="0" w:line="234" w:lineRule="auto"/>
        <w:tabs>
          <w:tab w:leader="none" w:pos="236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period of time, but not later than 60 days after a request for review is received, the review shall be made and the claimant shall be advised in writing of the decision on review, unless special circumstances require an extension of time for processing the review. If an extension is needed, the claimant shall be given a written notification within such initial 60-day period specifying the reasons for the extension and when such review shall be completed (provided that such review shall be completed within 120 days after the date on which the request for review was filed). However, if the period for deciding the claim has been extended under this paragraph (i) due to a claimant’s failure to provide information necessary to decide a claim, the period for making a decision on review shall be tolled from the date the claimant is sent written notice of the extension until the date on which the claimant responds to the request for information (or such earlier date as may be prescribed by the Administrator in accordance with applicable law and regulations).</w:t>
      </w:r>
    </w:p>
    <w:p>
      <w:pPr>
        <w:spacing w:after="0" w:line="210" w:lineRule="exact"/>
        <w:rPr>
          <w:rFonts w:ascii="Times New Roman" w:cs="Times New Roman" w:eastAsia="Times New Roman" w:hAnsi="Times New Roman"/>
          <w:sz w:val="22"/>
          <w:szCs w:val="22"/>
          <w:color w:val="auto"/>
        </w:rPr>
      </w:pPr>
    </w:p>
    <w:p>
      <w:pPr>
        <w:ind w:right="160" w:firstLine="1952"/>
        <w:spacing w:after="0" w:line="238" w:lineRule="auto"/>
        <w:tabs>
          <w:tab w:leader="none" w:pos="242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be forwarded to the claimant in writing and shall include (A) specific reasons for the decision, (B) references to the specific Plan provisions upon which the decision is based, (C) a statement that the claimant is entitled to receive, upon request and free of charge, reasonable access to, and copies of, all documents, records, and other information relevant to the claim, and (D) a statement of the claimant’s right to bring an action under ERISA section 502(a). A decision on review shall be final and binding on all persons for all purposes.</w:t>
      </w:r>
    </w:p>
    <w:p>
      <w:pPr>
        <w:spacing w:after="0" w:line="203" w:lineRule="exact"/>
        <w:rPr>
          <w:rFonts w:ascii="Times New Roman" w:cs="Times New Roman" w:eastAsia="Times New Roman" w:hAnsi="Times New Roman"/>
          <w:sz w:val="22"/>
          <w:szCs w:val="22"/>
          <w:color w:val="auto"/>
        </w:rPr>
      </w:pPr>
    </w:p>
    <w:p>
      <w:pPr>
        <w:jc w:val="both"/>
        <w:ind w:right="160" w:firstLine="1304"/>
        <w:spacing w:after="0" w:line="253" w:lineRule="auto"/>
        <w:tabs>
          <w:tab w:leader="none" w:pos="175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Exhaustion of Claims Review Process. A claimant shall have no right to seek review of a denial of benefits, or to bring any action in any court to enforce a claim for benefits prior to his filing a claim for benefits and exhausting his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-4188460</wp:posOffset>
            </wp:positionV>
            <wp:extent cx="1473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147383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-176530</wp:posOffset>
            </wp:positionV>
            <wp:extent cx="22320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2232025" cy="825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22"/>
          <w:szCs w:val="22"/>
          <w:color w:val="auto"/>
        </w:rPr>
        <w:t>to review under this Section 12.3.</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598"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780" w:type="dxa"/>
            <w:vAlign w:val="bottom"/>
          </w:tcPr>
          <w:p>
            <w:pPr>
              <w:ind w:left="940"/>
              <w:spacing w:after="0"/>
              <w:rPr>
                <w:sz w:val="20"/>
                <w:szCs w:val="20"/>
                <w:color w:val="auto"/>
              </w:rPr>
            </w:pPr>
            <w:r>
              <w:rPr>
                <w:rFonts w:ascii="Arial" w:cs="Arial" w:eastAsia="Arial" w:hAnsi="Arial"/>
                <w:sz w:val="18"/>
                <w:szCs w:val="18"/>
                <w:b w:val="1"/>
                <w:bCs w:val="1"/>
                <w:color w:val="auto"/>
                <w:w w:val="96"/>
              </w:rPr>
              <w:t>Exhibit 21</w:t>
            </w:r>
          </w:p>
        </w:tc>
      </w:tr>
      <w:tr>
        <w:trPr>
          <w:trHeight w:val="608"/>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SIGNIFICANT SUBSIDIARIES OF UNION PACIFIC CORPORATION</w:t>
            </w:r>
          </w:p>
        </w:tc>
        <w:tc>
          <w:tcPr>
            <w:tcW w:w="1780" w:type="dxa"/>
            <w:vAlign w:val="bottom"/>
          </w:tcPr>
          <w:p>
            <w:pPr>
              <w:spacing w:after="0"/>
              <w:rPr>
                <w:sz w:val="24"/>
                <w:szCs w:val="24"/>
                <w:color w:val="auto"/>
              </w:rPr>
            </w:pPr>
          </w:p>
        </w:tc>
      </w:tr>
      <w:tr>
        <w:trPr>
          <w:trHeight w:val="58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of Corporation</w:t>
            </w:r>
          </w:p>
        </w:tc>
        <w:tc>
          <w:tcPr>
            <w:tcW w:w="55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 of Incorporation</w:t>
            </w:r>
          </w:p>
        </w:tc>
      </w:tr>
      <w:tr>
        <w:trPr>
          <w:trHeight w:val="416"/>
        </w:trPr>
        <w:tc>
          <w:tcPr>
            <w:tcW w:w="9460" w:type="dxa"/>
            <w:vAlign w:val="bottom"/>
            <w:gridSpan w:val="2"/>
          </w:tcPr>
          <w:p>
            <w:pPr>
              <w:spacing w:after="0"/>
              <w:rPr>
                <w:sz w:val="20"/>
                <w:szCs w:val="20"/>
                <w:color w:val="auto"/>
              </w:rPr>
            </w:pPr>
            <w:r>
              <w:rPr>
                <w:rFonts w:ascii="Arial" w:cs="Arial" w:eastAsia="Arial" w:hAnsi="Arial"/>
                <w:sz w:val="18"/>
                <w:szCs w:val="18"/>
                <w:color w:val="auto"/>
              </w:rPr>
              <w:t>Union Pacific Railroad Company</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2"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Post-Effective Amendment No.1 to Registration Statement No. 33-12513, Registration Statement No. 33-53968, Registration Statement No. 33-49785, Registration Statement No. 33-49849, Registration Statement No. 333-10797, Registration Statement No. 333-88709, Registration Statement No. 333-42768, Registration Statement No. 333-106707, Registration Statement No. 333-106708, Registration Statement No. 333-105714, Registration Statement No. 333-105715, Registration Statement No. 333-116003, Registration Statement No. 333-132324, Registration Statement No. 333-155708, Registration Statement No. 333-170209, Registration Statement No. 333-170208, Registration Statement No. 333-188671, Registration Statement No. 333-260789, Registration Statement No. 333 -260788, Registration Statement No. 333-256460, Registration Statement No. 333-276121, and Registration Statement No.333-276122 on Form S-8, Registration Statement No. 333-214407, Registration Statement No. 333-236860, Registration Statement No. 333-258422, and Registration Statement No. 333-252948 on Form S-4, and Registration Statement No. 333-201958, Registration Statement No. 333-222979, and Registration Statement No. 333-252947 on Form S-3 of our reports dated February 9, 2024, relating to the consolidated financial statements of Union Pacific Corporation and Subsidiary Companies (the Corporation), and the effectiveness of the Corporation's internal control over financial reporting, appearing in this Annual Report on Form 10-K for the year ended December 31,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9, 2024</w:t>
      </w:r>
    </w:p>
    <w:p>
      <w:pPr>
        <w:sectPr>
          <w:pgSz w:w="11900" w:h="16838" w:orient="portrait"/>
          <w:cols w:equalWidth="0" w:num="1">
            <w:col w:w="11240"/>
          </w:cols>
          <w:pgMar w:left="320" w:top="12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Attorney</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the undersigned directors of Union Pacific Corporation, a Utah corporation (the Company), do hereby appoint each of V. James Vena and Craig V. Richardson his or her true and lawful attorney-in-fact and agent, to sign on his or her behalf the Company’s Annual Report on Form 10-K, for the year ended December 31, 2023, and any and all amendments thereto, and to file the same, with all exhibits thereto, with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Power of Attorney as of February 8, 2024.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William J.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742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William J. DeLaney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David B.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742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 B. Dillon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Sheri H. Edison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742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Sheri H. Edison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742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Teresa M. Finley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Deborah C.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742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Deborah C. Hopkins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Jane H. 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3742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Jane H. Lute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Michael R.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3831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Michael R. McCarthy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Doyle R.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3831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Doyle R. Simons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John K. Tien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3831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John K. Tien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John P. Wiehoff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3831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John P. Wiehoff</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Christopher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383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Christopher J. Williams</w:t>
      </w:r>
    </w:p>
    <w:p>
      <w:pPr>
        <w:sectPr>
          <w:pgSz w:w="11900" w:h="16838" w:orient="portrait"/>
          <w:cols w:equalWidth="0" w:num="2">
            <w:col w:w="6760" w:space="720"/>
            <w:col w:w="3760"/>
          </w:cols>
          <w:pgMar w:left="320" w:top="122" w:right="3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198" w:lineRule="exact"/>
        <w:rPr>
          <w:sz w:val="20"/>
          <w:szCs w:val="20"/>
          <w:color w:val="auto"/>
        </w:rPr>
      </w:pPr>
    </w:p>
    <w:p>
      <w:pPr>
        <w:ind w:left="200" w:hanging="192"/>
        <w:spacing w:after="0"/>
        <w:tabs>
          <w:tab w:leader="none" w:pos="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1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2024</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 James Vena</w:t>
      </w: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198" w:lineRule="exact"/>
        <w:rPr>
          <w:sz w:val="20"/>
          <w:szCs w:val="20"/>
          <w:color w:val="auto"/>
        </w:rPr>
      </w:pPr>
    </w:p>
    <w:p>
      <w:pPr>
        <w:ind w:left="200" w:hanging="192"/>
        <w:spacing w:after="0"/>
        <w:tabs>
          <w:tab w:leader="none" w:pos="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1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2024</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Jennifer L. Hamann</w:t>
      </w:r>
    </w:p>
    <w:p>
      <w:pPr>
        <w:ind w:left="56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accompanying Annual Report of Union Pacific Corporation (the Corporation) on Form 10-K for the period ending December 31, 2023,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60" w:lineRule="exact"/>
        <w:rPr>
          <w:sz w:val="20"/>
          <w:szCs w:val="20"/>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854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 James Vena</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9,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accompanying Annual Report of Union Pacific Corporation (the Corporation) on Form 10-K for the period ending December 31, 2023,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60"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854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Jennifer L. Hamann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9, 2024</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1]"/>
      <w:numFmt w:val="decimal"/>
      <w:start w:val="1"/>
    </w:lvl>
  </w:abstractNum>
  <w:abstractNum w:abstractNumId="3">
    <w:nsid w:val="39EE015C"/>
    <w:multiLevelType w:val="hybridMultilevel"/>
    <w:lvl w:ilvl="0">
      <w:lvlJc w:val="left"/>
      <w:lvlText w:val="[%1]"/>
      <w:numFmt w:val="lowerLetter"/>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1]"/>
      <w:numFmt w:val="lowerLetter"/>
      <w:start w:val="1"/>
    </w:lvl>
  </w:abstractNum>
  <w:abstractNum w:abstractNumId="10">
    <w:nsid w:val="49DA307D"/>
    <w:multiLevelType w:val="hybridMultilevel"/>
    <w:lvl w:ilvl="0">
      <w:lvlJc w:val="left"/>
      <w:lvlText w:val="[%1]"/>
      <w:numFmt w:val="lowerLetter"/>
      <w:start w:val="1"/>
    </w:lvl>
  </w:abstractNum>
  <w:abstractNum w:abstractNumId="11">
    <w:nsid w:val="7055A5F5"/>
    <w:multiLevelType w:val="hybridMultilevel"/>
    <w:lvl w:ilvl="0">
      <w:lvlJc w:val="left"/>
      <w:lvlText w:val="[%1]"/>
      <w:numFmt w:val="lowerLetter"/>
      <w:start w:val="1"/>
    </w:lvl>
  </w:abstractNum>
  <w:abstractNum w:abstractNumId="12">
    <w:nsid w:val="5FB8370B"/>
    <w:multiLevelType w:val="hybridMultilevel"/>
    <w:lvl w:ilvl="0">
      <w:lvlJc w:val="left"/>
      <w:lvlText w:val="&amp;"/>
      <w:numFmt w:val="bullet"/>
      <w:start w:val="1"/>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
      <w:numFmt w:val="bullet"/>
      <w:start w:val="1"/>
    </w:lvl>
  </w:abstractNum>
  <w:abstractNum w:abstractNumId="15">
    <w:nsid w:val="5FB8011C"/>
    <w:multiLevelType w:val="hybridMultilevel"/>
    <w:lvl w:ilvl="0">
      <w:lvlJc w:val="left"/>
      <w:lvlText w:val="●"/>
      <w:numFmt w:val="bullet"/>
      <w:start w:val="1"/>
    </w:lvl>
    <w:lvl w:ilvl="1">
      <w:lvlJc w:val="left"/>
      <w:lvlText w:val="o"/>
      <w:numFmt w:val="bullet"/>
      <w:start w:val="1"/>
    </w:lvl>
  </w:abstractNum>
  <w:abstractNum w:abstractNumId="16">
    <w:nsid w:val="6AA78F7F"/>
    <w:multiLevelType w:val="hybridMultilevel"/>
    <w:lvl w:ilvl="0">
      <w:lvlJc w:val="left"/>
      <w:lvlText w:val="[%1]"/>
      <w:numFmt w:val="lowerLetter"/>
      <w:start w:val="1"/>
    </w:lvl>
  </w:abstractNum>
  <w:abstractNum w:abstractNumId="17">
    <w:nsid w:val="7672BD23"/>
    <w:multiLevelType w:val="hybridMultilevel"/>
    <w:lvl w:ilvl="0">
      <w:lvlJc w:val="left"/>
      <w:lvlText w:val="%1."/>
      <w:numFmt w:val="decimal"/>
      <w:start w:val="5"/>
    </w:lvl>
  </w:abstractNum>
  <w:abstractNum w:abstractNumId="18">
    <w:nsid w:val="6FC75AF8"/>
    <w:multiLevelType w:val="hybridMultilevel"/>
    <w:lvl w:ilvl="0">
      <w:lvlJc w:val="left"/>
      <w:lvlText w:val="[%1]"/>
      <w:numFmt w:val="lowerLetter"/>
      <w:start w:val="1"/>
    </w:lvl>
  </w:abstractNum>
  <w:abstractNum w:abstractNumId="19">
    <w:nsid w:val="6A5F7029"/>
    <w:multiLevelType w:val="hybridMultilevel"/>
    <w:lvl w:ilvl="0">
      <w:lvlJc w:val="left"/>
      <w:lvlText w:val="[%1]"/>
      <w:numFmt w:val="lowerLetter"/>
      <w:start w:val="1"/>
    </w:lvl>
  </w:abstractNum>
  <w:abstractNum w:abstractNumId="20">
    <w:nsid w:val="7D5E18F8"/>
    <w:multiLevelType w:val="hybridMultilevel"/>
    <w:lvl w:ilvl="0">
      <w:lvlJc w:val="left"/>
      <w:lvlText w:val="[%1]"/>
      <w:numFmt w:val="lowerLetter"/>
      <w:start w:val="1"/>
    </w:lvl>
  </w:abstractNum>
  <w:abstractNum w:abstractNumId="21">
    <w:nsid w:val="5F3534A4"/>
    <w:multiLevelType w:val="hybridMultilevel"/>
    <w:lvl w:ilvl="0">
      <w:lvlJc w:val="left"/>
      <w:lvlText w:val="[%1]"/>
      <w:numFmt w:val="lowerLetter"/>
      <w:start w:val="1"/>
    </w:lvl>
  </w:abstractNum>
  <w:abstractNum w:abstractNumId="22">
    <w:nsid w:val="73A1821B"/>
    <w:multiLevelType w:val="hybridMultilevel"/>
    <w:lvl w:ilvl="0">
      <w:lvlJc w:val="left"/>
      <w:lvlText w:val="●"/>
      <w:numFmt w:val="bullet"/>
      <w:start w:val="1"/>
    </w:lvl>
  </w:abstractNum>
  <w:abstractNum w:abstractNumId="23">
    <w:nsid w:val="7DE67713"/>
    <w:multiLevelType w:val="hybridMultilevel"/>
    <w:lvl w:ilvl="0">
      <w:lvlJc w:val="left"/>
      <w:lvlText w:val="[%1]"/>
      <w:numFmt w:val="lowerLetter"/>
      <w:start w:val="1"/>
    </w:lvl>
  </w:abstractNum>
  <w:abstractNum w:abstractNumId="24">
    <w:nsid w:val="555C55B5"/>
    <w:multiLevelType w:val="hybridMultilevel"/>
    <w:lvl w:ilvl="0">
      <w:lvlJc w:val="left"/>
      <w:lvlText w:val="[%1]"/>
      <w:numFmt w:val="lowerLetter"/>
      <w:start w:val="1"/>
    </w:lvl>
  </w:abstractNum>
  <w:abstractNum w:abstractNumId="25">
    <w:nsid w:val="3FA62ACA"/>
    <w:multiLevelType w:val="hybridMultilevel"/>
    <w:lvl w:ilvl="0">
      <w:lvlJc w:val="left"/>
      <w:lvlText w:val="[%1]"/>
      <w:numFmt w:val="lowerLetter"/>
      <w:start w:val="1"/>
    </w:lvl>
  </w:abstractNum>
  <w:abstractNum w:abstractNumId="26">
    <w:nsid w:val="14FCE74E"/>
    <w:multiLevelType w:val="hybridMultilevel"/>
    <w:lvl w:ilvl="0">
      <w:lvlJc w:val="left"/>
      <w:lvlText w:val="(%1)"/>
      <w:numFmt w:val="lowerLetter"/>
      <w:start w:val="1"/>
    </w:lvl>
  </w:abstractNum>
  <w:abstractNum w:abstractNumId="27">
    <w:nsid w:val="6A3DD3E8"/>
    <w:multiLevelType w:val="hybridMultilevel"/>
    <w:lvl w:ilvl="0">
      <w:lvlJc w:val="left"/>
      <w:lvlText w:val="[%1]"/>
      <w:numFmt w:val="decimal"/>
      <w:start w:val="1"/>
    </w:lvl>
  </w:abstractNum>
  <w:abstractNum w:abstractNumId="28">
    <w:nsid w:val="71C91298"/>
    <w:multiLevelType w:val="hybridMultilevel"/>
    <w:lvl w:ilvl="0">
      <w:lvlJc w:val="left"/>
      <w:lvlText w:val="(%1)"/>
      <w:numFmt w:val="lowerLetter"/>
      <w:start w:val="1"/>
    </w:lvl>
    <w:lvl w:ilvl="1">
      <w:lvlJc w:val="left"/>
      <w:lvlText w:val="(%2)"/>
      <w:numFmt w:val="decimal"/>
      <w:start w:val="1"/>
    </w:lvl>
  </w:abstractNum>
  <w:abstractNum w:abstractNumId="29">
    <w:nsid w:val="9DAF632"/>
    <w:multiLevelType w:val="hybridMultilevel"/>
    <w:lvl w:ilvl="0">
      <w:lvlJc w:val="left"/>
      <w:lvlText w:val="%1."/>
      <w:numFmt w:val="decimal"/>
      <w:start w:val="1"/>
    </w:lvl>
  </w:abstractNum>
  <w:abstractNum w:abstractNumId="30">
    <w:nsid w:val="53299938"/>
    <w:multiLevelType w:val="hybridMultilevel"/>
    <w:lvl w:ilvl="0">
      <w:lvlJc w:val="left"/>
      <w:lvlText w:val="%1."/>
      <w:numFmt w:val="decimal"/>
      <w:start w:val="2"/>
    </w:lvl>
  </w:abstractNum>
  <w:abstractNum w:abstractNumId="31">
    <w:nsid w:val="1FBFE8E0"/>
    <w:multiLevelType w:val="hybridMultilevel"/>
    <w:lvl w:ilvl="0">
      <w:lvlJc w:val="left"/>
      <w:lvlText w:val="%1."/>
      <w:numFmt w:val="decimal"/>
      <w:start w:val="3"/>
    </w:lvl>
  </w:abstractNum>
  <w:abstractNum w:abstractNumId="32">
    <w:nsid w:val="5092CA79"/>
    <w:multiLevelType w:val="hybridMultilevel"/>
    <w:lvl w:ilvl="0">
      <w:lvlJc w:val="left"/>
      <w:lvlText w:val="%1."/>
      <w:numFmt w:val="decimal"/>
      <w:start w:val="4"/>
    </w:lvl>
  </w:abstractNum>
  <w:abstractNum w:abstractNumId="33">
    <w:nsid w:val="1D545C4D"/>
    <w:multiLevelType w:val="hybridMultilevel"/>
    <w:lvl w:ilvl="0">
      <w:lvlJc w:val="left"/>
      <w:lvlText w:val="%1."/>
      <w:numFmt w:val="decimal"/>
      <w:start w:val="5"/>
    </w:lvl>
  </w:abstractNum>
  <w:abstractNum w:abstractNumId="34">
    <w:nsid w:val="59ADEA3D"/>
    <w:multiLevelType w:val="hybridMultilevel"/>
    <w:lvl w:ilvl="0">
      <w:lvlJc w:val="left"/>
      <w:lvlText w:val="(%1)"/>
      <w:numFmt w:val="lowerRoman"/>
      <w:start w:val="1"/>
    </w:lvl>
  </w:abstractNum>
  <w:abstractNum w:abstractNumId="35">
    <w:nsid w:val="288F1A34"/>
    <w:multiLevelType w:val="hybridMultilevel"/>
    <w:lvl w:ilvl="0">
      <w:lvlJc w:val="left"/>
      <w:lvlText w:val="%1."/>
      <w:numFmt w:val="decimal"/>
      <w:start w:val="6"/>
    </w:lvl>
  </w:abstractNum>
  <w:abstractNum w:abstractNumId="36">
    <w:nsid w:val="2A155DBC"/>
    <w:multiLevelType w:val="hybridMultilevel"/>
    <w:lvl w:ilvl="0">
      <w:lvlJc w:val="left"/>
      <w:lvlText w:val="(%1)"/>
      <w:numFmt w:val="lowerRoman"/>
      <w:start w:val="1"/>
    </w:lvl>
  </w:abstractNum>
  <w:abstractNum w:abstractNumId="37">
    <w:nsid w:val="1D9F6E5F"/>
    <w:multiLevelType w:val="hybridMultilevel"/>
    <w:lvl w:ilvl="0">
      <w:lvlJc w:val="left"/>
      <w:lvlText w:val="(%1)"/>
      <w:numFmt w:val="lowerRoman"/>
      <w:start w:val="3"/>
    </w:lvl>
  </w:abstractNum>
  <w:abstractNum w:abstractNumId="38">
    <w:nsid w:val="97E1B4E"/>
    <w:multiLevelType w:val="hybridMultilevel"/>
    <w:lvl w:ilvl="0">
      <w:lvlJc w:val="left"/>
      <w:lvlText w:val="%1"/>
      <w:numFmt w:val="decimal"/>
      <w:start w:val="1"/>
    </w:lvl>
    <w:lvl w:ilvl="1">
      <w:lvlJc w:val="left"/>
      <w:lvlText w:val="(%2)"/>
      <w:numFmt w:val="lowerRoman"/>
      <w:start w:val="6"/>
    </w:lvl>
  </w:abstractNum>
  <w:abstractNum w:abstractNumId="39">
    <w:nsid w:val="51088277"/>
    <w:multiLevelType w:val="hybridMultilevel"/>
    <w:lvl w:ilvl="0">
      <w:lvlJc w:val="left"/>
      <w:lvlText w:val="%1."/>
      <w:numFmt w:val="decimal"/>
      <w:start w:val="7"/>
    </w:lvl>
    <w:lvl w:ilvl="1">
      <w:lvlJc w:val="left"/>
      <w:lvlText w:val="%2"/>
      <w:numFmt w:val="lowerRoman"/>
      <w:start w:val="1"/>
    </w:lvl>
  </w:abstractNum>
  <w:abstractNum w:abstractNumId="40">
    <w:nsid w:val="1CA0C5FA"/>
    <w:multiLevelType w:val="hybridMultilevel"/>
    <w:lvl w:ilvl="0">
      <w:lvlJc w:val="left"/>
      <w:lvlText w:val="%1."/>
      <w:numFmt w:val="upperLetter"/>
      <w:start w:val="1"/>
    </w:lvl>
  </w:abstractNum>
  <w:abstractNum w:abstractNumId="41">
    <w:nsid w:val="53584BCB"/>
    <w:multiLevelType w:val="hybridMultilevel"/>
    <w:lvl w:ilvl="0">
      <w:lvlJc w:val="left"/>
      <w:lvlText w:val="%1."/>
      <w:numFmt w:val="upperLetter"/>
      <w:start w:val="2"/>
    </w:lvl>
  </w:abstractNum>
  <w:abstractNum w:abstractNumId="42">
    <w:nsid w:val="415E286C"/>
    <w:multiLevelType w:val="hybridMultilevel"/>
    <w:lvl w:ilvl="0">
      <w:lvlJc w:val="left"/>
      <w:lvlText w:val="%1."/>
      <w:numFmt w:val="upperLetter"/>
      <w:start w:val="3"/>
    </w:lvl>
  </w:abstractNum>
  <w:abstractNum w:abstractNumId="43">
    <w:nsid w:val="7C58FD05"/>
    <w:multiLevelType w:val="hybridMultilevel"/>
    <w:lvl w:ilvl="0">
      <w:lvlJc w:val="left"/>
      <w:lvlText w:val="%1."/>
      <w:numFmt w:val="upperLetter"/>
      <w:start w:val="4"/>
    </w:lvl>
  </w:abstractNum>
  <w:abstractNum w:abstractNumId="44">
    <w:nsid w:val="23D86AAC"/>
    <w:multiLevelType w:val="hybridMultilevel"/>
    <w:lvl w:ilvl="0">
      <w:lvlJc w:val="left"/>
      <w:lvlText w:val="%1."/>
      <w:numFmt w:val="upperLetter"/>
      <w:start w:val="5"/>
    </w:lvl>
  </w:abstractNum>
  <w:abstractNum w:abstractNumId="45">
    <w:nsid w:val="45E6D486"/>
    <w:multiLevelType w:val="hybridMultilevel"/>
    <w:lvl w:ilvl="0">
      <w:lvlJc w:val="left"/>
      <w:lvlText w:val="%1."/>
      <w:numFmt w:val="upperLetter"/>
      <w:start w:val="6"/>
    </w:lvl>
  </w:abstractNum>
  <w:abstractNum w:abstractNumId="46">
    <w:nsid w:val="5C10FE21"/>
    <w:multiLevelType w:val="hybridMultilevel"/>
    <w:lvl w:ilvl="0">
      <w:lvlJc w:val="left"/>
      <w:lvlText w:val="%1."/>
      <w:numFmt w:val="upperLetter"/>
      <w:start w:val="7"/>
    </w:lvl>
  </w:abstractNum>
  <w:abstractNum w:abstractNumId="47">
    <w:nsid w:val="E7FFA2B"/>
    <w:multiLevelType w:val="hybridMultilevel"/>
    <w:lvl w:ilvl="0">
      <w:lvlJc w:val="left"/>
      <w:lvlText w:val="%1."/>
      <w:numFmt w:val="upperLetter"/>
      <w:start w:val="8"/>
    </w:lvl>
  </w:abstractNum>
  <w:abstractNum w:abstractNumId="48">
    <w:nsid w:val="3C5991AA"/>
    <w:multiLevelType w:val="hybridMultilevel"/>
    <w:lvl w:ilvl="0">
      <w:lvlJc w:val="left"/>
      <w:lvlText w:val="(%1)"/>
      <w:numFmt w:val="lowerLetter"/>
      <w:start w:val="9"/>
    </w:lvl>
    <w:lvl w:ilvl="1">
      <w:lvlJc w:val="left"/>
      <w:lvlText w:val="(%2)"/>
      <w:numFmt w:val="lowerLetter"/>
      <w:start w:val="1"/>
    </w:lvl>
  </w:abstractNum>
  <w:abstractNum w:abstractNumId="49">
    <w:nsid w:val="4BD8591A"/>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50">
    <w:nsid w:val="78DF6A55"/>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51">
    <w:nsid w:val="39B7AAA2"/>
    <w:multiLevelType w:val="hybridMultilevel"/>
    <w:lvl w:ilvl="0">
      <w:lvlJc w:val="left"/>
      <w:lvlText w:val="%1."/>
      <w:numFmt w:val="decimal"/>
      <w:start w:val="9"/>
    </w:lvl>
  </w:abstractNum>
  <w:abstractNum w:abstractNumId="52">
    <w:nsid w:val="2B0D8DBE"/>
    <w:multiLevelType w:val="hybridMultilevel"/>
    <w:lvl w:ilvl="0">
      <w:lvlJc w:val="left"/>
      <w:lvlText w:val="%1."/>
      <w:numFmt w:val="decimal"/>
      <w:start w:val="10"/>
    </w:lvl>
    <w:lvl w:ilvl="1">
      <w:lvlJc w:val="left"/>
      <w:lvlText w:val="(%2)"/>
      <w:numFmt w:val="lowerRoman"/>
      <w:start w:val="1"/>
    </w:lvl>
  </w:abstractNum>
  <w:abstractNum w:abstractNumId="53">
    <w:nsid w:val="6C80EC70"/>
    <w:multiLevelType w:val="hybridMultilevel"/>
    <w:lvl w:ilvl="0">
      <w:lvlJc w:val="left"/>
      <w:lvlText w:val="%1"/>
      <w:numFmt w:val="decimal"/>
      <w:start w:val="1"/>
    </w:lvl>
    <w:lvl w:ilvl="1">
      <w:lvlJc w:val="left"/>
      <w:lvlText w:val="(%2)"/>
      <w:numFmt w:val="lowerRoman"/>
      <w:start w:val="2"/>
    </w:lvl>
  </w:abstractNum>
  <w:abstractNum w:abstractNumId="54">
    <w:nsid w:val="379E21B5"/>
    <w:multiLevelType w:val="hybridMultilevel"/>
    <w:lvl w:ilvl="0">
      <w:lvlJc w:val="left"/>
      <w:lvlText w:val="%1."/>
      <w:numFmt w:val="decimal"/>
      <w:start w:val="11"/>
    </w:lvl>
    <w:lvl w:ilvl="1">
      <w:lvlJc w:val="left"/>
      <w:lvlText w:val="%2"/>
      <w:numFmt w:val="lowerRoman"/>
      <w:start w:val="1"/>
    </w:lvl>
  </w:abstractNum>
  <w:abstractNum w:abstractNumId="55">
    <w:nsid w:val="69E373"/>
    <w:multiLevelType w:val="hybridMultilevel"/>
    <w:lvl w:ilvl="0">
      <w:lvlJc w:val="left"/>
      <w:lvlText w:val="%1."/>
      <w:numFmt w:val="decimal"/>
      <w:start w:val="1"/>
    </w:lvl>
  </w:abstractNum>
  <w:abstractNum w:abstractNumId="56">
    <w:nsid w:val="2C27173B"/>
    <w:multiLevelType w:val="hybridMultilevel"/>
    <w:lvl w:ilvl="0">
      <w:lvlJc w:val="left"/>
      <w:lvlText w:val="%1."/>
      <w:numFmt w:val="decimal"/>
      <w:start w:val="2"/>
    </w:lvl>
  </w:abstractNum>
  <w:abstractNum w:abstractNumId="57">
    <w:nsid w:val="4C9B0904"/>
    <w:multiLevelType w:val="hybridMultilevel"/>
    <w:lvl w:ilvl="0">
      <w:lvlJc w:val="left"/>
      <w:lvlText w:val="%1."/>
      <w:numFmt w:val="decimal"/>
      <w:start w:val="3"/>
    </w:lvl>
  </w:abstractNum>
  <w:abstractNum w:abstractNumId="58">
    <w:nsid w:val="6AA7B75C"/>
    <w:multiLevelType w:val="hybridMultilevel"/>
    <w:lvl w:ilvl="0">
      <w:lvlJc w:val="left"/>
      <w:lvlText w:val="%1."/>
      <w:numFmt w:val="decimal"/>
      <w:start w:val="4"/>
    </w:lvl>
  </w:abstractNum>
  <w:abstractNum w:abstractNumId="59">
    <w:nsid w:val="1DF029D3"/>
    <w:multiLevelType w:val="hybridMultilevel"/>
    <w:lvl w:ilvl="0">
      <w:lvlJc w:val="left"/>
      <w:lvlText w:val="%1."/>
      <w:numFmt w:val="upperLetter"/>
      <w:start w:val="1"/>
    </w:lvl>
  </w:abstractNum>
  <w:abstractNum w:abstractNumId="60">
    <w:nsid w:val="5675FF36"/>
    <w:multiLevelType w:val="hybridMultilevel"/>
    <w:lvl w:ilvl="0">
      <w:lvlJc w:val="left"/>
      <w:lvlText w:val="%1"/>
      <w:numFmt w:val="decimal"/>
      <w:start w:val="1"/>
    </w:lvl>
    <w:lvl w:ilvl="1">
      <w:lvlJc w:val="left"/>
      <w:lvlText w:val="%2."/>
      <w:numFmt w:val="upperLetter"/>
      <w:start w:val="4"/>
    </w:lvl>
    <w:lvl w:ilvl="2">
      <w:lvlJc w:val="left"/>
      <w:lvlText w:val="(%3)"/>
      <w:numFmt w:val="decimal"/>
      <w:start w:val="5"/>
    </w:lvl>
  </w:abstractNum>
  <w:abstractNum w:abstractNumId="61">
    <w:nsid w:val="3DD15094"/>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62">
    <w:nsid w:val="3DB012B3"/>
    <w:multiLevelType w:val="hybridMultilevel"/>
    <w:lvl w:ilvl="0">
      <w:lvlJc w:val="left"/>
      <w:lvlText w:val="%1."/>
      <w:numFmt w:val="upperLetter"/>
      <w:start w:val="2"/>
    </w:lvl>
  </w:abstractNum>
  <w:abstractNum w:abstractNumId="63">
    <w:nsid w:val="2708C9AF"/>
    <w:multiLevelType w:val="hybridMultilevel"/>
    <w:lvl w:ilvl="0">
      <w:lvlJc w:val="left"/>
      <w:lvlText w:val="%1."/>
      <w:numFmt w:val="upperLetter"/>
      <w:start w:val="3"/>
    </w:lvl>
  </w:abstractNum>
  <w:abstractNum w:abstractNumId="64">
    <w:nsid w:val="5B25ACE2"/>
    <w:multiLevelType w:val="hybridMultilevel"/>
    <w:lvl w:ilvl="0">
      <w:lvlJc w:val="left"/>
      <w:lvlText w:val="%1."/>
      <w:numFmt w:val="upperLetter"/>
      <w:start w:val="5"/>
    </w:lvl>
  </w:abstractNum>
  <w:abstractNum w:abstractNumId="65">
    <w:nsid w:val="175DFCF0"/>
    <w:multiLevelType w:val="hybridMultilevel"/>
    <w:lvl w:ilvl="0">
      <w:lvlJc w:val="left"/>
      <w:lvlText w:val="%1."/>
      <w:numFmt w:val="upperLetter"/>
      <w:start w:val="6"/>
    </w:lvl>
  </w:abstractNum>
  <w:abstractNum w:abstractNumId="66">
    <w:nsid w:val="4F97E3E4"/>
    <w:multiLevelType w:val="hybridMultilevel"/>
    <w:lvl w:ilvl="0">
      <w:lvlJc w:val="left"/>
      <w:lvlText w:val="%1."/>
      <w:numFmt w:val="upperLetter"/>
      <w:start w:val="7"/>
    </w:lvl>
  </w:abstractNum>
  <w:abstractNum w:abstractNumId="67">
    <w:nsid w:val="53B0A9E"/>
    <w:multiLevelType w:val="hybridMultilevel"/>
    <w:lvl w:ilvl="0">
      <w:lvlJc w:val="left"/>
      <w:lvlText w:val="%1."/>
      <w:numFmt w:val="upperLetter"/>
      <w:start w:val="8"/>
    </w:lvl>
  </w:abstractNum>
  <w:abstractNum w:abstractNumId="68">
    <w:nsid w:val="34FD6B4F"/>
    <w:multiLevelType w:val="hybridMultilevel"/>
    <w:lvl w:ilvl="0">
      <w:lvlJc w:val="left"/>
      <w:lvlText w:val="(%1)"/>
      <w:numFmt w:val="lowerLetter"/>
      <w:start w:val="9"/>
    </w:lvl>
    <w:lvl w:ilvl="1">
      <w:lvlJc w:val="left"/>
      <w:lvlText w:val="(%2)"/>
      <w:numFmt w:val="lowerLetter"/>
      <w:start w:val="1"/>
    </w:lvl>
  </w:abstractNum>
  <w:abstractNum w:abstractNumId="69">
    <w:nsid w:val="5915FF32"/>
    <w:multiLevelType w:val="hybridMultilevel"/>
    <w:lvl w:ilvl="0">
      <w:lvlJc w:val="left"/>
      <w:lvlText w:val="(%1)"/>
      <w:numFmt w:val="lowerRoman"/>
      <w:start w:val="2"/>
    </w:lvl>
    <w:lvl w:ilvl="1">
      <w:lvlJc w:val="left"/>
      <w:lvlText w:val="(%2)"/>
      <w:numFmt w:val="lowerLetter"/>
      <w:start w:val="1"/>
    </w:lvl>
  </w:abstractNum>
  <w:abstractNum w:abstractNumId="70">
    <w:nsid w:val="56438D15"/>
    <w:multiLevelType w:val="hybridMultilevel"/>
    <w:lvl w:ilvl="0">
      <w:lvlJc w:val="left"/>
      <w:lvlText w:val="%1."/>
      <w:numFmt w:val="decimal"/>
      <w:start w:val="8"/>
    </w:lvl>
    <w:lvl w:ilvl="1">
      <w:lvlJc w:val="left"/>
      <w:lvlText w:val="(%2)"/>
      <w:numFmt w:val="lowerRoman"/>
      <w:start w:val="1"/>
    </w:lvl>
  </w:abstractNum>
  <w:abstractNum w:abstractNumId="71">
    <w:nsid w:val="519E3149"/>
    <w:multiLevelType w:val="hybridMultilevel"/>
    <w:lvl w:ilvl="0">
      <w:lvlJc w:val="left"/>
      <w:lvlText w:val="%1."/>
      <w:numFmt w:val="decimal"/>
      <w:start w:val="9"/>
    </w:lvl>
  </w:abstractNum>
  <w:abstractNum w:abstractNumId="72">
    <w:nsid w:val="2C6E4AFD"/>
    <w:multiLevelType w:val="hybridMultilevel"/>
    <w:lvl w:ilvl="0">
      <w:lvlJc w:val="left"/>
      <w:lvlText w:val="%1."/>
      <w:numFmt w:val="decimal"/>
      <w:start w:val="11"/>
    </w:lvl>
  </w:abstractNum>
  <w:abstractNum w:abstractNumId="73">
    <w:nsid w:val="17A1B582"/>
    <w:multiLevelType w:val="hybridMultilevel"/>
    <w:lvl w:ilvl="0">
      <w:lvlJc w:val="left"/>
      <w:lvlText w:val="%1."/>
      <w:numFmt w:val="decimal"/>
      <w:start w:val="14"/>
    </w:lvl>
  </w:abstractNum>
  <w:abstractNum w:abstractNumId="74">
    <w:nsid w:val="4DF72E4E"/>
    <w:multiLevelType w:val="hybridMultilevel"/>
    <w:lvl w:ilvl="0">
      <w:lvlJc w:val="left"/>
      <w:lvlText w:val="%1."/>
      <w:numFmt w:val="decimal"/>
      <w:start w:val="15"/>
    </w:lvl>
  </w:abstractNum>
  <w:abstractNum w:abstractNumId="75">
    <w:nsid w:val="5046B5A9"/>
    <w:multiLevelType w:val="hybridMultilevel"/>
    <w:lvl w:ilvl="0">
      <w:lvlJc w:val="left"/>
      <w:lvlText w:val="%1."/>
      <w:numFmt w:val="decimal"/>
      <w:start w:val="16"/>
    </w:lvl>
  </w:abstractNum>
  <w:abstractNum w:abstractNumId="76">
    <w:nsid w:val="5D888A08"/>
    <w:multiLevelType w:val="hybridMultilevel"/>
    <w:lvl w:ilvl="0">
      <w:lvlJc w:val="left"/>
      <w:lvlText w:val="%1."/>
      <w:numFmt w:val="decimal"/>
      <w:start w:val="17"/>
    </w:lvl>
  </w:abstractNum>
  <w:abstractNum w:abstractNumId="77">
    <w:nsid w:val="2A082C70"/>
    <w:multiLevelType w:val="hybridMultilevel"/>
    <w:lvl w:ilvl="0">
      <w:lvlJc w:val="left"/>
      <w:lvlText w:val="%1."/>
      <w:numFmt w:val="decimal"/>
      <w:start w:val="18"/>
    </w:lvl>
  </w:abstractNum>
  <w:abstractNum w:abstractNumId="78">
    <w:nsid w:val="5EC6AFD4"/>
    <w:multiLevelType w:val="hybridMultilevel"/>
    <w:lvl w:ilvl="0">
      <w:lvlJc w:val="left"/>
      <w:lvlText w:val="%1."/>
      <w:numFmt w:val="decimal"/>
      <w:start w:val="3"/>
    </w:lvl>
  </w:abstractNum>
  <w:abstractNum w:abstractNumId="79">
    <w:nsid w:val="19E21BB2"/>
    <w:multiLevelType w:val="hybridMultilevel"/>
    <w:lvl w:ilvl="0">
      <w:lvlJc w:val="left"/>
      <w:lvlText w:val="%1"/>
      <w:numFmt w:val="decimal"/>
      <w:start w:val="1"/>
    </w:lvl>
    <w:lvl w:ilvl="1">
      <w:lvlJc w:val="left"/>
      <w:lvlText w:val="%2)"/>
      <w:numFmt w:val="decimal"/>
      <w:start w:val="6"/>
    </w:lvl>
  </w:abstractNum>
  <w:abstractNum w:abstractNumId="80">
    <w:nsid w:val="75E0858A"/>
    <w:multiLevelType w:val="hybridMultilevel"/>
    <w:lvl w:ilvl="0">
      <w:lvlJc w:val="left"/>
      <w:lvlText w:val="%1."/>
      <w:numFmt w:val="decimal"/>
      <w:start w:val="4"/>
    </w:lvl>
    <w:lvl w:ilvl="1">
      <w:lvlJc w:val="left"/>
      <w:lvlText w:val="%2"/>
      <w:numFmt w:val="decimal"/>
      <w:start w:val="1"/>
    </w:lvl>
  </w:abstractNum>
  <w:abstractNum w:abstractNumId="81">
    <w:nsid w:val="57A61A29"/>
    <w:multiLevelType w:val="hybridMultilevel"/>
    <w:lvl w:ilvl="0">
      <w:lvlJc w:val="left"/>
      <w:lvlText w:val="%1."/>
      <w:numFmt w:val="decimal"/>
      <w:start w:val="5"/>
    </w:lvl>
    <w:lvl w:ilvl="1">
      <w:lvlJc w:val="left"/>
      <w:lvlText w:val="(%2)"/>
      <w:numFmt w:val="lowerRoman"/>
      <w:start w:val="1"/>
    </w:lvl>
  </w:abstractNum>
  <w:abstractNum w:abstractNumId="82">
    <w:nsid w:val="5399C654"/>
    <w:multiLevelType w:val="hybridMultilevel"/>
    <w:lvl w:ilvl="0">
      <w:lvlJc w:val="left"/>
      <w:lvlText w:val="(%1)"/>
      <w:numFmt w:val="lowerRoman"/>
      <w:start w:val="1"/>
    </w:lvl>
  </w:abstractNum>
  <w:abstractNum w:abstractNumId="83">
    <w:nsid w:val="20EE1348"/>
    <w:multiLevelType w:val="hybridMultilevel"/>
    <w:lvl w:ilvl="0">
      <w:lvlJc w:val="left"/>
      <w:lvlText w:val="(%1)"/>
      <w:numFmt w:val="lowerRoman"/>
      <w:start w:val="2"/>
    </w:lvl>
  </w:abstractNum>
  <w:abstractNum w:abstractNumId="84">
    <w:nsid w:val="4427069A"/>
    <w:multiLevelType w:val="hybridMultilevel"/>
    <w:lvl w:ilvl="0">
      <w:lvlJc w:val="left"/>
      <w:lvlText w:val="(%1)"/>
      <w:numFmt w:val="lowerRoman"/>
      <w:start w:val="4"/>
    </w:lvl>
  </w:abstractNum>
  <w:abstractNum w:abstractNumId="85">
    <w:nsid w:val="B37E80A"/>
    <w:multiLevelType w:val="hybridMultilevel"/>
    <w:lvl w:ilvl="0">
      <w:lvlJc w:val="left"/>
      <w:lvlText w:val="(%1)"/>
      <w:numFmt w:val="lowerRoman"/>
      <w:start w:val="7"/>
    </w:lvl>
  </w:abstractNum>
  <w:abstractNum w:abstractNumId="86">
    <w:nsid w:val="2157F6BC"/>
    <w:multiLevelType w:val="hybridMultilevel"/>
    <w:lvl w:ilvl="0">
      <w:lvlJc w:val="left"/>
      <w:lvlText w:val="%1."/>
      <w:numFmt w:val="decimal"/>
      <w:start w:val="7"/>
    </w:lvl>
    <w:lvl w:ilvl="1">
      <w:lvlJc w:val="left"/>
      <w:lvlText w:val="%2"/>
      <w:numFmt w:val="upperLetter"/>
      <w:start w:val="1"/>
    </w:lvl>
  </w:abstractNum>
  <w:abstractNum w:abstractNumId="87">
    <w:nsid w:val="704E1DD5"/>
    <w:multiLevelType w:val="hybridMultilevel"/>
    <w:lvl w:ilvl="0">
      <w:lvlJc w:val="left"/>
      <w:lvlText w:val="%1."/>
      <w:numFmt w:val="upperLetter"/>
      <w:start w:val="2"/>
    </w:lvl>
  </w:abstractNum>
  <w:abstractNum w:abstractNumId="88">
    <w:nsid w:val="57D2F10E"/>
    <w:multiLevelType w:val="hybridMultilevel"/>
    <w:lvl w:ilvl="0">
      <w:lvlJc w:val="left"/>
      <w:lvlText w:val="%1."/>
      <w:numFmt w:val="upperLetter"/>
      <w:start w:val="3"/>
    </w:lvl>
  </w:abstractNum>
  <w:abstractNum w:abstractNumId="89">
    <w:nsid w:val="BFFAE18"/>
    <w:multiLevelType w:val="hybridMultilevel"/>
    <w:lvl w:ilvl="0">
      <w:lvlJc w:val="left"/>
      <w:lvlText w:val="%1."/>
      <w:numFmt w:val="upperLetter"/>
      <w:start w:val="4"/>
    </w:lvl>
  </w:abstractNum>
  <w:abstractNum w:abstractNumId="90">
    <w:nsid w:val="E3E47A8"/>
    <w:multiLevelType w:val="hybridMultilevel"/>
    <w:lvl w:ilvl="0">
      <w:lvlJc w:val="left"/>
      <w:lvlText w:val="%1."/>
      <w:numFmt w:val="upperLetter"/>
      <w:start w:val="5"/>
    </w:lvl>
  </w:abstractNum>
  <w:abstractNum w:abstractNumId="91">
    <w:nsid w:val="2E48F044"/>
    <w:multiLevelType w:val="hybridMultilevel"/>
    <w:lvl w:ilvl="0">
      <w:lvlJc w:val="left"/>
      <w:lvlText w:val="%1."/>
      <w:numFmt w:val="upperLetter"/>
      <w:start w:val="6"/>
    </w:lvl>
  </w:abstractNum>
  <w:abstractNum w:abstractNumId="92">
    <w:nsid w:val="49D0FEAC"/>
    <w:multiLevelType w:val="hybridMultilevel"/>
    <w:lvl w:ilvl="0">
      <w:lvlJc w:val="left"/>
      <w:lvlText w:val="%1."/>
      <w:numFmt w:val="upperLetter"/>
      <w:start w:val="7"/>
    </w:lvl>
  </w:abstractNum>
  <w:abstractNum w:abstractNumId="93">
    <w:nsid w:val="4BEE5A5B"/>
    <w:multiLevelType w:val="hybridMultilevel"/>
    <w:lvl w:ilvl="0">
      <w:lvlJc w:val="left"/>
      <w:lvlText w:val="%1."/>
      <w:numFmt w:val="upperLetter"/>
      <w:start w:val="8"/>
    </w:lvl>
  </w:abstractNum>
  <w:abstractNum w:abstractNumId="94">
    <w:nsid w:val="5551B9F3"/>
    <w:multiLevelType w:val="hybridMultilevel"/>
    <w:lvl w:ilvl="0">
      <w:lvlJc w:val="left"/>
      <w:lvlText w:val="(%1)"/>
      <w:numFmt w:val="lowerLetter"/>
      <w:start w:val="9"/>
    </w:lvl>
    <w:lvl w:ilvl="1">
      <w:lvlJc w:val="left"/>
      <w:lvlText w:val="(%2)"/>
      <w:numFmt w:val="lowerLetter"/>
      <w:start w:val="1"/>
    </w:lvl>
  </w:abstractNum>
  <w:abstractNum w:abstractNumId="95">
    <w:nsid w:val="24F6AB8E"/>
    <w:multiLevelType w:val="hybridMultilevel"/>
    <w:lvl w:ilvl="0">
      <w:lvlJc w:val="left"/>
      <w:lvlText w:val="(%1)"/>
      <w:numFmt w:val="lowerRoman"/>
      <w:start w:val="2"/>
    </w:lvl>
  </w:abstractNum>
  <w:abstractNum w:abstractNumId="96">
    <w:nsid w:val="634C574C"/>
    <w:multiLevelType w:val="hybridMultilevel"/>
    <w:lvl w:ilvl="0">
      <w:lvlJc w:val="left"/>
      <w:lvlText w:val="(%1)"/>
      <w:numFmt w:val="lowerRoman"/>
      <w:start w:val="3"/>
    </w:lvl>
    <w:lvl w:ilvl="1">
      <w:lvlJc w:val="left"/>
      <w:lvlText w:val="(%2)"/>
      <w:numFmt w:val="lowerLetter"/>
      <w:start w:val="1"/>
    </w:lvl>
  </w:abstractNum>
  <w:abstractNum w:abstractNumId="97">
    <w:nsid w:val="24E99DD7"/>
    <w:multiLevelType w:val="hybridMultilevel"/>
    <w:lvl w:ilvl="0">
      <w:lvlJc w:val="left"/>
      <w:lvlText w:val="%1"/>
      <w:numFmt w:val="decimal"/>
      <w:start w:val="1"/>
    </w:lvl>
    <w:lvl w:ilvl="1">
      <w:lvlJc w:val="left"/>
      <w:lvlText w:val="(%2)"/>
      <w:numFmt w:val="lowerRoman"/>
      <w:start w:val="10"/>
    </w:lvl>
  </w:abstractNum>
  <w:abstractNum w:abstractNumId="98">
    <w:nsid w:val="2A31B62D"/>
    <w:multiLevelType w:val="hybridMultilevel"/>
    <w:lvl w:ilvl="0">
      <w:lvlJc w:val="left"/>
      <w:lvlText w:val="%1."/>
      <w:numFmt w:val="decimal"/>
      <w:start w:val="8"/>
    </w:lvl>
    <w:lvl w:ilvl="1">
      <w:lvlJc w:val="left"/>
      <w:lvlText w:val="%2"/>
      <w:numFmt w:val="lowerRoman"/>
      <w:start w:val="1"/>
    </w:lvl>
  </w:abstractNum>
  <w:abstractNum w:abstractNumId="99">
    <w:nsid w:val="1849C29B"/>
    <w:multiLevelType w:val="hybridMultilevel"/>
    <w:lvl w:ilvl="0">
      <w:lvlJc w:val="left"/>
      <w:lvlText w:val="%1."/>
      <w:numFmt w:val="decimal"/>
      <w:start w:val="10"/>
    </w:lvl>
    <w:lvl w:ilvl="1">
      <w:lvlJc w:val="left"/>
      <w:lvlText w:val="(%2)"/>
      <w:numFmt w:val="lowerRoman"/>
      <w:start w:val="1"/>
    </w:lvl>
  </w:abstractNum>
  <w:abstractNum w:abstractNumId="100">
    <w:nsid w:val="7DFF9D09"/>
    <w:multiLevelType w:val="hybridMultilevel"/>
    <w:lvl w:ilvl="0">
      <w:lvlJc w:val="left"/>
      <w:lvlText w:val="%1"/>
      <w:numFmt w:val="decimal"/>
      <w:start w:val="1"/>
    </w:lvl>
    <w:lvl w:ilvl="1">
      <w:lvlJc w:val="left"/>
      <w:lvlText w:val="(%2)"/>
      <w:numFmt w:val="lowerRoman"/>
      <w:start w:val="3"/>
    </w:lvl>
  </w:abstractNum>
  <w:abstractNum w:abstractNumId="101">
    <w:nsid w:val="754342"/>
    <w:multiLevelType w:val="hybridMultilevel"/>
    <w:lvl w:ilvl="0">
      <w:lvlJc w:val="left"/>
      <w:lvlText w:val="%1."/>
      <w:numFmt w:val="decimal"/>
      <w:start w:val="11"/>
    </w:lvl>
    <w:lvl w:ilvl="1">
      <w:lvlJc w:val="left"/>
      <w:lvlText w:val="%2"/>
      <w:numFmt w:val="lowerRoman"/>
      <w:start w:val="1"/>
    </w:lvl>
  </w:abstractNum>
  <w:abstractNum w:abstractNumId="102">
    <w:nsid w:val="69E7F3E5"/>
    <w:multiLevelType w:val="hybridMultilevel"/>
    <w:lvl w:ilvl="0">
      <w:lvlJc w:val="left"/>
      <w:lvlText w:val="%1."/>
      <w:numFmt w:val="decimal"/>
      <w:start w:val="13"/>
    </w:lvl>
  </w:abstractNum>
  <w:abstractNum w:abstractNumId="103">
    <w:nsid w:val="2A6DE806"/>
    <w:multiLevelType w:val="hybridMultilevel"/>
    <w:lvl w:ilvl="0">
      <w:lvlJc w:val="left"/>
      <w:lvlText w:val="%1."/>
      <w:numFmt w:val="decimal"/>
      <w:start w:val="14"/>
    </w:lvl>
  </w:abstractNum>
  <w:abstractNum w:abstractNumId="104">
    <w:nsid w:val="1816F8C4"/>
    <w:multiLevelType w:val="hybridMultilevel"/>
    <w:lvl w:ilvl="0">
      <w:lvlJc w:val="left"/>
      <w:lvlText w:val="%1."/>
      <w:numFmt w:val="decimal"/>
      <w:start w:val="15"/>
    </w:lvl>
  </w:abstractNum>
  <w:abstractNum w:abstractNumId="105">
    <w:nsid w:val="37DF2233"/>
    <w:multiLevelType w:val="hybridMultilevel"/>
    <w:lvl w:ilvl="0">
      <w:lvlJc w:val="left"/>
      <w:lvlText w:val="%1."/>
      <w:numFmt w:val="decimal"/>
      <w:start w:val="16"/>
    </w:lvl>
  </w:abstractNum>
  <w:abstractNum w:abstractNumId="106">
    <w:nsid w:val="7AB49DAF"/>
    <w:multiLevelType w:val="hybridMultilevel"/>
    <w:lvl w:ilvl="0">
      <w:lvlJc w:val="left"/>
      <w:lvlText w:val="%1."/>
      <w:numFmt w:val="decimal"/>
      <w:start w:val="17"/>
    </w:lvl>
  </w:abstractNum>
  <w:abstractNum w:abstractNumId="107">
    <w:nsid w:val="759F82CD"/>
    <w:multiLevelType w:val="hybridMultilevel"/>
    <w:lvl w:ilvl="0">
      <w:lvlJc w:val="left"/>
      <w:lvlText w:val="%1."/>
      <w:numFmt w:val="decimal"/>
      <w:start w:val="18"/>
    </w:lvl>
  </w:abstractNum>
  <w:abstractNum w:abstractNumId="108">
    <w:nsid w:val="61E74EA3"/>
    <w:multiLevelType w:val="hybridMultilevel"/>
    <w:lvl w:ilvl="0">
      <w:lvlJc w:val="left"/>
      <w:lvlText w:val="%1."/>
      <w:numFmt w:val="decimal"/>
      <w:start w:val="19"/>
    </w:lvl>
  </w:abstractNum>
  <w:abstractNum w:abstractNumId="109">
    <w:nsid w:val="597B4D84"/>
    <w:multiLevelType w:val="hybridMultilevel"/>
    <w:lvl w:ilvl="0">
      <w:lvlJc w:val="left"/>
      <w:lvlText w:val="%1."/>
      <w:numFmt w:val="decimal"/>
      <w:start w:val="20"/>
    </w:lvl>
  </w:abstractNum>
  <w:abstractNum w:abstractNumId="110">
    <w:nsid w:val="F819E7F"/>
    <w:multiLevelType w:val="hybridMultilevel"/>
    <w:lvl w:ilvl="0">
      <w:lvlJc w:val="left"/>
      <w:lvlText w:val="%1."/>
      <w:numFmt w:val="upperLetter"/>
      <w:start w:val="1"/>
    </w:lvl>
  </w:abstractNum>
  <w:abstractNum w:abstractNumId="111">
    <w:nsid w:val="57C7D42D"/>
    <w:multiLevelType w:val="hybridMultilevel"/>
    <w:lvl w:ilvl="0">
      <w:lvlJc w:val="left"/>
      <w:lvlText w:val="%1."/>
      <w:numFmt w:val="upperLetter"/>
      <w:start w:val="3"/>
    </w:lvl>
  </w:abstractNum>
  <w:abstractNum w:abstractNumId="112">
    <w:nsid w:val="312167AD"/>
    <w:multiLevelType w:val="hybridMultilevel"/>
    <w:lvl w:ilvl="0">
      <w:lvlJc w:val="left"/>
      <w:lvlText w:val="%1"/>
      <w:numFmt w:val="decimal"/>
      <w:start w:val="1"/>
    </w:lvl>
    <w:lvl w:ilvl="1">
      <w:lvlJc w:val="left"/>
      <w:lvlText w:val="%2."/>
      <w:numFmt w:val="upperLetter"/>
      <w:start w:val="8"/>
    </w:lvl>
  </w:abstractNum>
  <w:abstractNum w:abstractNumId="113">
    <w:nsid w:val="631B64D4"/>
    <w:multiLevelType w:val="hybridMultilevel"/>
    <w:lvl w:ilvl="0">
      <w:lvlJc w:val="left"/>
      <w:lvlText w:val="%1."/>
      <w:numFmt w:val="decimal"/>
      <w:start w:val="5"/>
    </w:lvl>
    <w:lvl w:ilvl="1">
      <w:lvlJc w:val="left"/>
      <w:lvlText w:val="%2."/>
      <w:numFmt w:val="upperLetter"/>
      <w:start w:val="1"/>
    </w:lvl>
  </w:abstractNum>
  <w:abstractNum w:abstractNumId="114">
    <w:nsid w:val="78B5E776"/>
    <w:multiLevelType w:val="hybridMultilevel"/>
    <w:lvl w:ilvl="0">
      <w:lvlJc w:val="left"/>
      <w:lvlText w:val="%1."/>
      <w:numFmt w:val="upperLetter"/>
      <w:start w:val="2"/>
    </w:lvl>
  </w:abstractNum>
  <w:abstractNum w:abstractNumId="115">
    <w:nsid w:val="75486E47"/>
    <w:multiLevelType w:val="hybridMultilevel"/>
    <w:lvl w:ilvl="0">
      <w:lvlJc w:val="left"/>
      <w:lvlText w:val="%1."/>
      <w:numFmt w:val="upperLetter"/>
      <w:start w:val="3"/>
    </w:lvl>
  </w:abstractNum>
  <w:abstractNum w:abstractNumId="116">
    <w:nsid w:val="6E534CDE"/>
    <w:multiLevelType w:val="hybridMultilevel"/>
    <w:lvl w:ilvl="0">
      <w:lvlJc w:val="left"/>
      <w:lvlText w:val="%1."/>
      <w:numFmt w:val="upperLetter"/>
      <w:start w:val="4"/>
    </w:lvl>
  </w:abstractNum>
  <w:abstractNum w:abstractNumId="117">
    <w:nsid w:val="1A0DDE32"/>
    <w:multiLevelType w:val="hybridMultilevel"/>
    <w:lvl w:ilvl="0">
      <w:lvlJc w:val="left"/>
      <w:lvlText w:val="%1."/>
      <w:numFmt w:val="upperLetter"/>
      <w:start w:val="5"/>
    </w:lvl>
  </w:abstractNum>
  <w:abstractNum w:abstractNumId="118">
    <w:nsid w:val="65968C1C"/>
    <w:multiLevelType w:val="hybridMultilevel"/>
    <w:lvl w:ilvl="0">
      <w:lvlJc w:val="left"/>
      <w:lvlText w:val="%1."/>
      <w:numFmt w:val="upperLetter"/>
      <w:start w:val="6"/>
    </w:lvl>
  </w:abstractNum>
  <w:abstractNum w:abstractNumId="119">
    <w:nsid w:val="46263DEC"/>
    <w:multiLevelType w:val="hybridMultilevel"/>
    <w:lvl w:ilvl="0">
      <w:lvlJc w:val="left"/>
      <w:lvlText w:val="%1."/>
      <w:numFmt w:val="upperLetter"/>
      <w:start w:val="8"/>
    </w:lvl>
  </w:abstractNum>
  <w:abstractNum w:abstractNumId="120">
    <w:nsid w:val="260D8C4A"/>
    <w:multiLevelType w:val="hybridMultilevel"/>
    <w:lvl w:ilvl="0">
      <w:lvlJc w:val="left"/>
      <w:lvlText w:val="(%1)"/>
      <w:numFmt w:val="lowerLetter"/>
      <w:start w:val="9"/>
    </w:lvl>
    <w:lvl w:ilvl="1">
      <w:lvlJc w:val="left"/>
      <w:lvlText w:val="(%2)"/>
      <w:numFmt w:val="lowerLetter"/>
      <w:start w:val="1"/>
    </w:lvl>
  </w:abstractNum>
  <w:abstractNum w:abstractNumId="121">
    <w:nsid w:val="73D4D3C4"/>
    <w:multiLevelType w:val="hybridMultilevel"/>
    <w:lvl w:ilvl="0">
      <w:lvlJc w:val="left"/>
      <w:lvlText w:val="(%1)"/>
      <w:numFmt w:val="lowerRoman"/>
      <w:start w:val="2"/>
    </w:lvl>
  </w:abstractNum>
  <w:abstractNum w:abstractNumId="122">
    <w:nsid w:val="746F2E30"/>
    <w:multiLevelType w:val="hybridMultilevel"/>
    <w:lvl w:ilvl="0">
      <w:lvlJc w:val="left"/>
      <w:lvlText w:val="(%1)"/>
      <w:numFmt w:val="lowerRoman"/>
      <w:start w:val="4"/>
    </w:lvl>
  </w:abstractNum>
  <w:abstractNum w:abstractNumId="123">
    <w:nsid w:val="6FDE8AF6"/>
    <w:multiLevelType w:val="hybridMultilevel"/>
    <w:lvl w:ilvl="0">
      <w:lvlJc w:val="left"/>
      <w:lvlText w:val="(%1)"/>
      <w:numFmt w:val="lowerRoman"/>
      <w:start w:val="9"/>
    </w:lvl>
    <w:lvl w:ilvl="1">
      <w:lvlJc w:val="left"/>
      <w:lvlText w:val="(%2)"/>
      <w:numFmt w:val="lowerLetter"/>
      <w:start w:val="1"/>
    </w:lvl>
  </w:abstractNum>
  <w:abstractNum w:abstractNumId="124">
    <w:nsid w:val="3FC32E20"/>
    <w:multiLevelType w:val="hybridMultilevel"/>
    <w:lvl w:ilvl="0">
      <w:lvlJc w:val="left"/>
      <w:lvlText w:val="%1."/>
      <w:numFmt w:val="decimal"/>
      <w:start w:val="8"/>
    </w:lvl>
    <w:lvl w:ilvl="1">
      <w:lvlJc w:val="left"/>
      <w:lvlText w:val="(%2)"/>
      <w:numFmt w:val="lowerRoman"/>
      <w:start w:val="1"/>
    </w:lvl>
  </w:abstractNum>
  <w:abstractNum w:abstractNumId="125">
    <w:nsid w:val="49C0E823"/>
    <w:multiLevelType w:val="hybridMultilevel"/>
    <w:lvl w:ilvl="0">
      <w:lvlJc w:val="left"/>
      <w:lvlText w:val="%1"/>
      <w:numFmt w:val="decimal"/>
      <w:start w:val="1"/>
    </w:lvl>
    <w:lvl w:ilvl="1">
      <w:lvlJc w:val="left"/>
      <w:lvlText w:val="(%2)"/>
      <w:numFmt w:val="lowerRoman"/>
      <w:start w:val="2"/>
    </w:lvl>
  </w:abstractNum>
  <w:abstractNum w:abstractNumId="126">
    <w:nsid w:val="14D53685"/>
    <w:multiLevelType w:val="hybridMultilevel"/>
    <w:lvl w:ilvl="0">
      <w:lvlJc w:val="left"/>
      <w:lvlText w:val="%1."/>
      <w:numFmt w:val="decimal"/>
      <w:start w:val="9"/>
    </w:lvl>
    <w:lvl w:ilvl="1">
      <w:lvlJc w:val="left"/>
      <w:lvlText w:val="%2"/>
      <w:numFmt w:val="lowerRoman"/>
      <w:start w:val="1"/>
    </w:lvl>
  </w:abstractNum>
  <w:abstractNum w:abstractNumId="127">
    <w:nsid w:val="230F856C"/>
    <w:multiLevelType w:val="hybridMultilevel"/>
    <w:lvl w:ilvl="0">
      <w:lvlJc w:val="left"/>
      <w:lvlText w:val="%1."/>
      <w:numFmt w:val="decimal"/>
      <w:start w:val="11"/>
    </w:lvl>
  </w:abstractNum>
  <w:abstractNum w:abstractNumId="128">
    <w:nsid w:val="6EAA85FB"/>
    <w:multiLevelType w:val="hybridMultilevel"/>
    <w:lvl w:ilvl="0">
      <w:lvlJc w:val="left"/>
      <w:lvlText w:val="%1."/>
      <w:numFmt w:val="decimal"/>
      <w:start w:val="12"/>
    </w:lvl>
  </w:abstractNum>
  <w:abstractNum w:abstractNumId="129">
    <w:nsid w:val="3F06ECB2"/>
    <w:multiLevelType w:val="hybridMultilevel"/>
    <w:lvl w:ilvl="0">
      <w:lvlJc w:val="left"/>
      <w:lvlText w:val="%1."/>
      <w:numFmt w:val="decimal"/>
      <w:start w:val="13"/>
    </w:lvl>
  </w:abstractNum>
  <w:abstractNum w:abstractNumId="130">
    <w:nsid w:val="3B594807"/>
    <w:multiLevelType w:val="hybridMultilevel"/>
    <w:lvl w:ilvl="0">
      <w:lvlJc w:val="left"/>
      <w:lvlText w:val="%1."/>
      <w:numFmt w:val="decimal"/>
      <w:start w:val="14"/>
    </w:lvl>
  </w:abstractNum>
  <w:abstractNum w:abstractNumId="131">
    <w:nsid w:val="6CAA2304"/>
    <w:multiLevelType w:val="hybridMultilevel"/>
    <w:lvl w:ilvl="0">
      <w:lvlJc w:val="left"/>
      <w:lvlText w:val="%1."/>
      <w:numFmt w:val="decimal"/>
      <w:start w:val="15"/>
    </w:lvl>
  </w:abstractNum>
  <w:abstractNum w:abstractNumId="132">
    <w:nsid w:val="3F7C2FF4"/>
    <w:multiLevelType w:val="hybridMultilevel"/>
    <w:lvl w:ilvl="0">
      <w:lvlJc w:val="left"/>
      <w:lvlText w:val="%1."/>
      <w:numFmt w:val="decimal"/>
      <w:start w:val="16"/>
    </w:lvl>
  </w:abstractNum>
  <w:abstractNum w:abstractNumId="133">
    <w:nsid w:val="25413BEC"/>
    <w:multiLevelType w:val="hybridMultilevel"/>
    <w:lvl w:ilvl="0">
      <w:lvlJc w:val="left"/>
      <w:lvlText w:val="%1."/>
      <w:numFmt w:val="decimal"/>
      <w:start w:val="17"/>
    </w:lvl>
  </w:abstractNum>
  <w:abstractNum w:abstractNumId="134">
    <w:nsid w:val="17180B0B"/>
    <w:multiLevelType w:val="hybridMultilevel"/>
    <w:lvl w:ilvl="0">
      <w:lvlJc w:val="left"/>
      <w:lvlText w:val="%1."/>
      <w:numFmt w:val="decimal"/>
      <w:start w:val="18"/>
    </w:lvl>
  </w:abstractNum>
  <w:abstractNum w:abstractNumId="135">
    <w:nsid w:val="579328B9"/>
    <w:multiLevelType w:val="hybridMultilevel"/>
    <w:lvl w:ilvl="0">
      <w:lvlJc w:val="left"/>
      <w:lvlText w:val="(%1)"/>
      <w:numFmt w:val="lowerRoman"/>
      <w:start w:val="1"/>
    </w:lvl>
  </w:abstractNum>
  <w:abstractNum w:abstractNumId="136">
    <w:nsid w:val="5D205E20"/>
    <w:multiLevelType w:val="hybridMultilevel"/>
    <w:lvl w:ilvl="0">
      <w:lvlJc w:val="left"/>
      <w:lvlText w:val="(%1)"/>
      <w:numFmt w:val="lowerRoman"/>
      <w:start w:val="2"/>
    </w:lvl>
  </w:abstractNum>
  <w:abstractNum w:abstractNumId="137">
    <w:nsid w:val="11CCA8BA"/>
    <w:multiLevelType w:val="hybridMultilevel"/>
    <w:lvl w:ilvl="0">
      <w:lvlJc w:val="left"/>
      <w:lvlText w:val="(%1)"/>
      <w:numFmt w:val="lowerRoman"/>
      <w:start w:val="1"/>
    </w:lvl>
    <w:lvl w:ilvl="1">
      <w:lvlJc w:val="left"/>
      <w:lvlText w:val="(%2)"/>
      <w:numFmt w:val="upperLetter"/>
      <w:start w:val="1"/>
    </w:lvl>
  </w:abstractNum>
  <w:abstractNum w:abstractNumId="138">
    <w:nsid w:val="4D32AB86"/>
    <w:multiLevelType w:val="hybridMultilevel"/>
    <w:lvl w:ilvl="0">
      <w:lvlJc w:val="left"/>
      <w:lvlText w:val="(%1)"/>
      <w:numFmt w:val="lowerRoman"/>
      <w:start w:val="3"/>
    </w:lvl>
  </w:abstractNum>
  <w:abstractNum w:abstractNumId="139">
    <w:nsid w:val="3F07ACC3"/>
    <w:multiLevelType w:val="hybridMultilevel"/>
    <w:lvl w:ilvl="0">
      <w:lvlJc w:val="left"/>
      <w:lvlText w:val="(%1)"/>
      <w:numFmt w:val="lowerRoman"/>
      <w:start w:val="5"/>
    </w:lvl>
  </w:abstractNum>
  <w:abstractNum w:abstractNumId="140">
    <w:nsid w:val="6B47F63E"/>
    <w:multiLevelType w:val="hybridMultilevel"/>
    <w:lvl w:ilvl="0">
      <w:lvlJc w:val="left"/>
      <w:lvlText w:val="(%1)"/>
      <w:numFmt w:val="lowerRoman"/>
      <w:start w:val="1"/>
    </w:lvl>
    <w:lvl w:ilvl="1">
      <w:lvlJc w:val="left"/>
      <w:lvlText w:val="(%2)"/>
      <w:numFmt w:val="upperLetter"/>
      <w:start w:val="1"/>
    </w:lvl>
  </w:abstractNum>
  <w:abstractNum w:abstractNumId="141">
    <w:nsid w:val="5CB44A05"/>
    <w:multiLevelType w:val="hybridMultilevel"/>
    <w:lvl w:ilvl="0">
      <w:lvlJc w:val="left"/>
      <w:lvlText w:val="(%1)"/>
      <w:numFmt w:val="lowerRoman"/>
      <w:start w:val="1"/>
    </w:lvl>
  </w:abstractNum>
  <w:abstractNum w:abstractNumId="142">
    <w:nsid w:val="16CF80F1"/>
    <w:multiLevelType w:val="hybridMultilevel"/>
    <w:lvl w:ilvl="0">
      <w:lvlJc w:val="left"/>
      <w:lvlText w:val="(%1)"/>
      <w:numFmt w:val="lowerRoman"/>
      <w:start w:val="3"/>
    </w:lvl>
  </w:abstractNum>
  <w:abstractNum w:abstractNumId="143">
    <w:nsid w:val="1C695DEC"/>
    <w:multiLevelType w:val="hybridMultilevel"/>
    <w:lvl w:ilvl="0">
      <w:lvlJc w:val="left"/>
      <w:lvlText w:val="(%1)"/>
      <w:numFmt w:val="lowerRoman"/>
      <w:start w:val="2"/>
    </w:lvl>
  </w:abstractNum>
  <w:abstractNum w:abstractNumId="144">
    <w:nsid w:val="3FCFAED9"/>
    <w:multiLevelType w:val="hybridMultilevel"/>
    <w:lvl w:ilvl="0">
      <w:lvlJc w:val="left"/>
      <w:lvlText w:val="(%1)"/>
      <w:numFmt w:val="lowerLetter"/>
      <w:start w:val="23"/>
    </w:lvl>
  </w:abstractNum>
  <w:abstractNum w:abstractNumId="145">
    <w:nsid w:val="F856867"/>
    <w:multiLevelType w:val="hybridMultilevel"/>
    <w:lvl w:ilvl="0">
      <w:lvlJc w:val="left"/>
      <w:lvlText w:val="(%1)"/>
      <w:numFmt w:val="lowerLetter"/>
      <w:start w:val="1"/>
    </w:lvl>
  </w:abstractNum>
  <w:abstractNum w:abstractNumId="146">
    <w:nsid w:val="11B1CC33"/>
    <w:multiLevelType w:val="hybridMultilevel"/>
    <w:lvl w:ilvl="0">
      <w:lvlJc w:val="left"/>
      <w:lvlText w:val="(%1)"/>
      <w:numFmt w:val="lowerRoman"/>
      <w:start w:val="1"/>
    </w:lvl>
  </w:abstractNum>
  <w:abstractNum w:abstractNumId="147">
    <w:nsid w:val="2E22FBB7"/>
    <w:multiLevelType w:val="hybridMultilevel"/>
    <w:lvl w:ilvl="0">
      <w:lvlJc w:val="left"/>
      <w:lvlText w:val="(%1)"/>
      <w:numFmt w:val="lowerLetter"/>
      <w:start w:val="2"/>
    </w:lvl>
  </w:abstractNum>
  <w:abstractNum w:abstractNumId="148">
    <w:nsid w:val="299346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49">
    <w:nsid w:val="7748585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150">
    <w:nsid w:val="744939A3"/>
    <w:multiLevelType w:val="hybridMultilevel"/>
    <w:lvl w:ilvl="0">
      <w:lvlJc w:val="left"/>
      <w:lvlText w:val="(%1)"/>
      <w:numFmt w:val="lowerLetter"/>
      <w:start w:val="1"/>
    </w:lvl>
  </w:abstractNum>
  <w:abstractNum w:abstractNumId="151">
    <w:nsid w:val="4FA0D2E3"/>
    <w:multiLevelType w:val="hybridMultilevel"/>
    <w:lvl w:ilvl="0">
      <w:lvlJc w:val="left"/>
      <w:lvlText w:val="(%1)"/>
      <w:numFmt w:val="lowerLetter"/>
      <w:start w:val="1"/>
    </w:lvl>
  </w:abstractNum>
  <w:abstractNum w:abstractNumId="152">
    <w:nsid w:val="6B1D2C14"/>
    <w:multiLevelType w:val="hybridMultilevel"/>
    <w:lvl w:ilvl="0">
      <w:lvlJc w:val="left"/>
      <w:lvlText w:val="(%1)"/>
      <w:numFmt w:val="lowerLetter"/>
      <w:start w:val="2"/>
    </w:lvl>
  </w:abstractNum>
  <w:abstractNum w:abstractNumId="153">
    <w:nsid w:val="68B867D3"/>
    <w:multiLevelType w:val="hybridMultilevel"/>
    <w:lvl w:ilvl="0">
      <w:lvlJc w:val="left"/>
      <w:lvlText w:val="(%1)"/>
      <w:numFmt w:val="lowerLetter"/>
      <w:start w:val="1"/>
    </w:lvl>
    <w:lvl w:ilvl="1">
      <w:lvlJc w:val="left"/>
      <w:lvlText w:val="(%2)"/>
      <w:numFmt w:val="lowerRoman"/>
      <w:start w:val="1"/>
    </w:lvl>
  </w:abstractNum>
  <w:abstractNum w:abstractNumId="154">
    <w:nsid w:val="3F7F5DD9"/>
    <w:multiLevelType w:val="hybridMultilevel"/>
    <w:lvl w:ilvl="0">
      <w:lvlJc w:val="left"/>
      <w:lvlText w:val="(%1)"/>
      <w:numFmt w:val="lowerLetter"/>
      <w:start w:val="2"/>
    </w:lvl>
  </w:abstractNum>
  <w:abstractNum w:abstractNumId="155">
    <w:nsid w:val="2AE05A34"/>
    <w:multiLevelType w:val="hybridMultilevel"/>
    <w:lvl w:ilvl="0">
      <w:lvlJc w:val="left"/>
      <w:lvlText w:val="(%1)"/>
      <w:numFmt w:val="lowerLetter"/>
      <w:start w:val="1"/>
    </w:lvl>
  </w:abstractNum>
  <w:abstractNum w:abstractNumId="156">
    <w:nsid w:val="32794FF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7">
    <w:nsid w:val="5454945E"/>
    <w:multiLevelType w:val="hybridMultilevel"/>
    <w:lvl w:ilvl="0">
      <w:lvlJc w:val="left"/>
      <w:lvlText w:val="(%1)"/>
      <w:numFmt w:val="lowerLetter"/>
      <w:start w:val="1"/>
    </w:lvl>
  </w:abstractNum>
  <w:abstractNum w:abstractNumId="158">
    <w:nsid w:val="4DEFDFA0"/>
    <w:multiLevelType w:val="hybridMultilevel"/>
    <w:lvl w:ilvl="0">
      <w:lvlJc w:val="left"/>
      <w:lvlText w:val="(%1)"/>
      <w:numFmt w:val="lowerLetter"/>
      <w:start w:val="1"/>
    </w:lvl>
  </w:abstractNum>
  <w:abstractNum w:abstractNumId="159">
    <w:nsid w:val="2123D5F2"/>
    <w:multiLevelType w:val="hybridMultilevel"/>
    <w:lvl w:ilvl="0">
      <w:lvlJc w:val="left"/>
      <w:lvlText w:val="%1."/>
      <w:numFmt w:val="lowerLetter"/>
      <w:start w:val="3"/>
    </w:lvl>
  </w:abstractNum>
  <w:abstractNum w:abstractNumId="160">
    <w:nsid w:val="135B8110"/>
    <w:multiLevelType w:val="hybridMultilevel"/>
    <w:lvl w:ilvl="0">
      <w:lvlJc w:val="left"/>
      <w:lvlText w:val="(%1)"/>
      <w:numFmt w:val="lowerLetter"/>
      <w:start w:val="1"/>
    </w:lvl>
  </w:abstractNum>
  <w:abstractNum w:abstractNumId="161">
    <w:nsid w:val="94927A8"/>
    <w:multiLevelType w:val="hybridMultilevel"/>
    <w:lvl w:ilvl="0">
      <w:lvlJc w:val="left"/>
      <w:lvlText w:val="(%1)"/>
      <w:numFmt w:val="lowerLetter"/>
      <w:start w:val="1"/>
    </w:lvl>
    <w:lvl w:ilvl="1">
      <w:lvlJc w:val="left"/>
      <w:lvlText w:val="(%2)"/>
      <w:numFmt w:val="lowerRoman"/>
      <w:start w:val="1"/>
    </w:lvl>
  </w:abstractNum>
  <w:abstractNum w:abstractNumId="162">
    <w:nsid w:val="DCDF8F6"/>
    <w:multiLevelType w:val="hybridMultilevel"/>
    <w:lvl w:ilvl="0">
      <w:lvlJc w:val="left"/>
      <w:lvlText w:val="(%1)"/>
      <w:numFmt w:val="lowerLetter"/>
      <w:start w:val="2"/>
    </w:lvl>
  </w:abstractNum>
  <w:abstractNum w:abstractNumId="163">
    <w:nsid w:val="52D7B105"/>
    <w:multiLevelType w:val="hybridMultilevel"/>
    <w:lvl w:ilvl="0">
      <w:lvlJc w:val="left"/>
      <w:lvlText w:val="(%1)"/>
      <w:numFmt w:val="lowerLetter"/>
      <w:start w:val="2"/>
    </w:lvl>
  </w:abstractNum>
  <w:abstractNum w:abstractNumId="164">
    <w:nsid w:val="2E8A63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5">
    <w:nsid w:val="24E60401"/>
    <w:multiLevelType w:val="hybridMultilevel"/>
    <w:lvl w:ilvl="0">
      <w:lvlJc w:val="left"/>
      <w:lvlText w:val="(%1)"/>
      <w:numFmt w:val="lowerRoman"/>
      <w:start w:val="2"/>
    </w:lvl>
  </w:abstractNum>
  <w:abstractNum w:abstractNumId="166">
    <w:nsid w:val="2A6AD9BE"/>
    <w:multiLevelType w:val="hybridMultilevel"/>
    <w:lvl w:ilvl="0">
      <w:lvlJc w:val="left"/>
      <w:lvlText w:val="%1"/>
      <w:numFmt w:val="lowerLetter"/>
      <w:start w:val="1"/>
    </w:lvl>
    <w:lvl w:ilvl="1">
      <w:lvlJc w:val="left"/>
      <w:lvlText w:val="(%2)"/>
      <w:numFmt w:val="lowerLetter"/>
      <w:start w:val="61"/>
    </w:lvl>
  </w:abstractNum>
  <w:abstractNum w:abstractNumId="167">
    <w:nsid w:val="BAAC1B4"/>
    <w:multiLevelType w:val="hybridMultilevel"/>
    <w:lvl w:ilvl="0">
      <w:lvlJc w:val="left"/>
      <w:lvlText w:val="(%1)"/>
      <w:numFmt w:val="lowerLetter"/>
      <w:start w:val="2"/>
    </w:lvl>
    <w:lvl w:ilvl="1">
      <w:lvlJc w:val="left"/>
      <w:lvlText w:val="%2"/>
      <w:numFmt w:val="lowerLetter"/>
      <w:start w:val="1"/>
    </w:lvl>
  </w:abstractNum>
  <w:abstractNum w:abstractNumId="168">
    <w:nsid w:val="36B2ACBC"/>
    <w:multiLevelType w:val="hybridMultilevel"/>
    <w:lvl w:ilvl="0">
      <w:lvlJc w:val="left"/>
      <w:lvlText w:val="(%1)"/>
      <w:numFmt w:val="lowerLetter"/>
      <w:start w:val="1"/>
    </w:lvl>
  </w:abstractNum>
  <w:abstractNum w:abstractNumId="169">
    <w:nsid w:val="779D8544"/>
    <w:multiLevelType w:val="hybridMultilevel"/>
    <w:lvl w:ilvl="0">
      <w:lvlJc w:val="left"/>
      <w:lvlText w:val="%1"/>
      <w:numFmt w:val="lowerLetter"/>
      <w:start w:val="1"/>
    </w:lvl>
    <w:lvl w:ilvl="1">
      <w:lvlJc w:val="left"/>
      <w:lvlText w:val="(%2)"/>
      <w:numFmt w:val="lowerLetter"/>
      <w:start w:val="1"/>
    </w:lvl>
  </w:abstractNum>
  <w:abstractNum w:abstractNumId="170">
    <w:nsid w:val="4AB26E78"/>
    <w:multiLevelType w:val="hybridMultilevel"/>
    <w:lvl w:ilvl="0">
      <w:lvlJc w:val="left"/>
      <w:lvlText w:val="(%1)"/>
      <w:numFmt w:val="lowerLetter"/>
      <w:start w:val="9"/>
    </w:lvl>
    <w:lvl w:ilvl="1">
      <w:lvlJc w:val="left"/>
      <w:lvlText w:val="(%2)"/>
      <w:numFmt w:val="lowerLetter"/>
      <w:start w:val="3"/>
    </w:lvl>
  </w:abstractNum>
  <w:abstractNum w:abstractNumId="171">
    <w:nsid w:val="21FAA2FA"/>
    <w:multiLevelType w:val="hybridMultilevel"/>
    <w:lvl w:ilvl="0">
      <w:lvlJc w:val="left"/>
      <w:lvlText w:val="%1"/>
      <w:numFmt w:val="lowerLetter"/>
      <w:start w:val="1"/>
    </w:lvl>
    <w:lvl w:ilvl="1">
      <w:lvlJc w:val="left"/>
      <w:lvlText w:val="(%2)"/>
      <w:numFmt w:val="lowerRoman"/>
      <w:start w:val="1"/>
    </w:lvl>
  </w:abstractNum>
  <w:abstractNum w:abstractNumId="172">
    <w:nsid w:val="5451CF49"/>
    <w:multiLevelType w:val="hybridMultilevel"/>
    <w:lvl w:ilvl="0">
      <w:lvlJc w:val="left"/>
      <w:lvlText w:val="(%1)"/>
      <w:numFmt w:val="lowerLetter"/>
      <w:start w:val="4"/>
    </w:lvl>
    <w:lvl w:ilvl="1">
      <w:lvlJc w:val="left"/>
      <w:lvlText w:val="%2"/>
      <w:numFmt w:val="lowerRoman"/>
      <w:start w:val="1"/>
    </w:lvl>
  </w:abstractNum>
  <w:abstractNum w:abstractNumId="173">
    <w:nsid w:val="6181EF69"/>
    <w:multiLevelType w:val="hybridMultilevel"/>
    <w:lvl w:ilvl="0">
      <w:lvlJc w:val="left"/>
      <w:lvlText w:val="(%1)"/>
      <w:numFmt w:val="lowerLetter"/>
      <w:start w:val="1"/>
    </w:lvl>
    <w:lvl w:ilvl="1">
      <w:lvlJc w:val="left"/>
      <w:lvlText w:val="(%2)"/>
      <w:numFmt w:val="lowerRoman"/>
      <w:start w:val="1"/>
    </w:lvl>
  </w:abstractNum>
  <w:abstractNum w:abstractNumId="174">
    <w:nsid w:val="3E6400E6"/>
    <w:multiLevelType w:val="hybridMultilevel"/>
    <w:lvl w:ilvl="0">
      <w:lvlJc w:val="left"/>
      <w:lvlText w:val="(%1)"/>
      <w:numFmt w:val="upperLetter"/>
      <w:start w:val="1"/>
    </w:lvl>
  </w:abstractNum>
  <w:abstractNum w:abstractNumId="175">
    <w:nsid w:val="14217E23"/>
    <w:multiLevelType w:val="hybridMultilevel"/>
    <w:lvl w:ilvl="0">
      <w:lvlJc w:val="left"/>
      <w:lvlText w:val="(%1)"/>
      <w:numFmt w:val="lowerLetter"/>
      <w:start w:val="2"/>
    </w:lvl>
    <w:lvl w:ilvl="1">
      <w:lvlJc w:val="left"/>
      <w:lvlText w:val="(%2)"/>
      <w:numFmt w:val="lowerRoman"/>
      <w:start w:val="1"/>
    </w:lvl>
  </w:abstractNum>
  <w:abstractNum w:abstractNumId="176">
    <w:nsid w:val="710757D0"/>
    <w:multiLevelType w:val="hybridMultilevel"/>
    <w:lvl w:ilvl="0">
      <w:lvlJc w:val="left"/>
      <w:lvlText w:val="%1."/>
      <w:numFmt w:val="decimal"/>
      <w:start w:val="1"/>
    </w:lvl>
    <w:lvl w:ilvl="1">
      <w:lvlJc w:val="left"/>
      <w:lvlText w:val="(%2)"/>
      <w:numFmt w:val="lowerLetter"/>
      <w:start w:val="1"/>
    </w:lvl>
  </w:abstractNum>
  <w:abstractNum w:abstractNumId="177">
    <w:nsid w:val="5015CD1A"/>
    <w:multiLevelType w:val="hybridMultilevel"/>
    <w:lvl w:ilvl="0">
      <w:lvlJc w:val="left"/>
      <w:lvlText w:val="%1."/>
      <w:numFmt w:val="decimal"/>
      <w:start w:val="1"/>
    </w:lvl>
    <w:lvl w:ilvl="1">
      <w:lvlJc w:val="left"/>
      <w:lvlText w:val="(%2)"/>
      <w:numFmt w:val="lowerLetter"/>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86" Type="http://schemas.openxmlformats.org/officeDocument/2006/relationships/hyperlink" Target="http://www.sec.gov/Archives/edgar/data/100885/000119312514280047/d761509dex3a.htm" TargetMode="External"/><Relationship Id="rId87" Type="http://schemas.openxmlformats.org/officeDocument/2006/relationships/hyperlink" Target="http://www.sec.gov/Archives/edgar/data/100885/000010088515000208/unp-20151119ex32a605ee0.htm" TargetMode="External"/><Relationship Id="rId88" Type="http://schemas.openxmlformats.org/officeDocument/2006/relationships/hyperlink" Target="http://www.sec.gov/Archives/edgar/data/100885/000010088520000065/unp-20191231xex4_a.htm" TargetMode="External"/><Relationship Id="rId89" Type="http://schemas.openxmlformats.org/officeDocument/2006/relationships/hyperlink" Target="http://www.sec.gov/Archives/edgar/data/100885/0000950123-96-007490.txt" TargetMode="External"/><Relationship Id="rId90" Type="http://schemas.openxmlformats.org/officeDocument/2006/relationships/hyperlink" Target="http://www.sec.gov/Archives/edgar/data/100885/0000930661-99-000779.txt" TargetMode="External"/><Relationship Id="rId91" Type="http://schemas.openxmlformats.org/officeDocument/2006/relationships/hyperlink" Target="http://www.sec.gov/Archives/edgar/data/100885/000143774923003966/ex_477375.htm" TargetMode="External"/><Relationship Id="rId92" Type="http://schemas.openxmlformats.org/officeDocument/2006/relationships/hyperlink" Target="http://www.sec.gov/Archives/edgar/data/100885/000143774923003966/ex_477376.htm" TargetMode="External"/><Relationship Id="rId93" Type="http://schemas.openxmlformats.org/officeDocument/2006/relationships/hyperlink" Target="http://www.sec.gov/Archives/edgar/data/100885/000143774923023361/ex_558886.htm" TargetMode="External"/><Relationship Id="rId94" Type="http://schemas.openxmlformats.org/officeDocument/2006/relationships/hyperlink" Target="http://www.sec.gov/Archives/edgar/data/100885/000143774922002494/ex_321031.htm" TargetMode="External"/><Relationship Id="rId95" Type="http://schemas.openxmlformats.org/officeDocument/2006/relationships/hyperlink" Target="http://www.sec.gov/Archives/edgar/data/100885/000119312513160892/d521471dex10d.htm" TargetMode="External"/><Relationship Id="rId96" Type="http://schemas.openxmlformats.org/officeDocument/2006/relationships/hyperlink" Target="http://www.sec.gov/Archives/edgar/data/100885/000010088518000048/unp-20171231xex10_d.htm" TargetMode="External"/><Relationship Id="rId97" Type="http://schemas.openxmlformats.org/officeDocument/2006/relationships/hyperlink" Target="http://www.sec.gov/Archives/edgar/data/100885/000119312513160892/d521471dex10f.htm" TargetMode="External"/><Relationship Id="rId98" Type="http://schemas.openxmlformats.org/officeDocument/2006/relationships/hyperlink" Target="http://www.sec.gov/Archives/edgar/data/100885/000119312513160892/d521471dex10b.htm" TargetMode="External"/><Relationship Id="rId99" Type="http://schemas.openxmlformats.org/officeDocument/2006/relationships/hyperlink" Target="http://www.sec.gov/Archives/edgar/data/100885/000010088521000068/unp-20201231xex10_c.htm" TargetMode="External"/><Relationship Id="rId100" Type="http://schemas.openxmlformats.org/officeDocument/2006/relationships/hyperlink" Target="http://www.sec.gov/Archives/edgar/data/100885/000119312509021370/dex10j.htm" TargetMode="External"/><Relationship Id="rId101" Type="http://schemas.openxmlformats.org/officeDocument/2006/relationships/hyperlink" Target="http://www.sec.gov/Archives/edgar/data/100885/000119312509021370/dex10k.htm" TargetMode="External"/><Relationship Id="rId102" Type="http://schemas.openxmlformats.org/officeDocument/2006/relationships/hyperlink" Target="http://www.sec.gov/Archives/edgar/data/100885/000119312509021370/dex10l.htm" TargetMode="External"/><Relationship Id="rId103" Type="http://schemas.openxmlformats.org/officeDocument/2006/relationships/hyperlink" Target="http://www.sec.gov/Archives/edgar/data/100885/000010088520000065/unp-20191231xex10_d.htm" TargetMode="External"/><Relationship Id="rId104" Type="http://schemas.openxmlformats.org/officeDocument/2006/relationships/hyperlink" Target="http://www.sec.gov/Archives/edgar/data/100885/000010088520000065/unp-20191231xex10_e.htm" TargetMode="External"/><Relationship Id="rId105" Type="http://schemas.openxmlformats.org/officeDocument/2006/relationships/hyperlink" Target="http://www.sec.gov/Archives/edgar/data/100885/000114036121018681/brhc10025044_ex99-1.htm" TargetMode="External"/><Relationship Id="rId106" Type="http://schemas.openxmlformats.org/officeDocument/2006/relationships/hyperlink" Target="http://www.sec.gov/Archives/edgar/data/100885/0000889812-96-000886.txt" TargetMode="External"/><Relationship Id="rId107" Type="http://schemas.openxmlformats.org/officeDocument/2006/relationships/hyperlink" Target="http://www.sec.gov/Archives/edgar/data/100885/0000889812-95-000752.txt" TargetMode="External"/><Relationship Id="rId108" Type="http://schemas.openxmlformats.org/officeDocument/2006/relationships/hyperlink" Target="http://www.sec.gov/Archives/edgar/data/100885/000119312514040752/d668613dex10c.htm" TargetMode="External"/><Relationship Id="rId109" Type="http://schemas.openxmlformats.org/officeDocument/2006/relationships/hyperlink" Target="http://www.sec.gov/Archives/edgar/data/100885/000010088521000068/unp-20201231xex10_a.htm" TargetMode="External"/><Relationship Id="rId110" Type="http://schemas.openxmlformats.org/officeDocument/2006/relationships/hyperlink" Target="http://www.sec.gov/Archives/edgar/data/100885/000143774922002494/ex_321029.htm" TargetMode="External"/><Relationship Id="rId111" Type="http://schemas.openxmlformats.org/officeDocument/2006/relationships/hyperlink" Target="http://www.sec.gov/Archives/edgar/data/100885/000143774923002959/ex_421477.htm" TargetMode="External"/><Relationship Id="rId112" Type="http://schemas.openxmlformats.org/officeDocument/2006/relationships/hyperlink" Target="http://www.sec.gov/Archives/edgar/data/100885/000119312506038383/dex10g.htm" TargetMode="External"/><Relationship Id="rId113" Type="http://schemas.openxmlformats.org/officeDocument/2006/relationships/hyperlink" Target="http://www.sec.gov/Archives/edgar/data/100885/000143774923028607/ex_5776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2024-02-09T13:08:25Z</dcterms:created>
  <dcterms:modified xsi:type="dcterms:W3CDTF">2024-02-09T13:08:25Z</dcterms:modified>
</cp:coreProperties>
</file>